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B9" w:rsidRDefault="001F7993" w:rsidP="00C54BB9">
      <w:pPr>
        <w:ind w:firstLine="0"/>
        <w:jc w:val="center"/>
        <w:rPr>
          <w:rFonts w:cs="AL-Mohanad Bold"/>
          <w:b/>
          <w:bCs/>
          <w:sz w:val="36"/>
          <w:szCs w:val="36"/>
          <w:rtl/>
        </w:rPr>
      </w:pPr>
      <w:r w:rsidRPr="001F7993">
        <w:rPr>
          <w:rFonts w:cs="AL-Mohanad"/>
          <w:b/>
          <w:bCs/>
          <w:noProof/>
          <w:sz w:val="36"/>
          <w:szCs w:val="36"/>
          <w:rtl/>
        </w:rPr>
        <w:pict>
          <v:rect id="_x0000_s1042" style="position:absolute;left:0;text-align:left;margin-left:-7.15pt;margin-top:663.65pt;width:441pt;height:68.25pt;z-index:251660288" stroked="f">
            <w10:wrap anchorx="page"/>
          </v:rect>
        </w:pict>
      </w:r>
      <w:r w:rsidRPr="001F7993">
        <w:rPr>
          <w:rFonts w:cs="AL-Mohanad"/>
          <w:b/>
          <w:bCs/>
          <w:noProof/>
          <w:sz w:val="36"/>
          <w:szCs w:val="36"/>
          <w:rtl/>
        </w:rPr>
        <w:pict>
          <v:rect id="_x0000_s1041" style="position:absolute;left:0;text-align:left;margin-left:-7.9pt;margin-top:-59.35pt;width:441pt;height:68.25pt;z-index:251659264" stroked="f">
            <w10:wrap anchorx="page"/>
          </v:rect>
        </w:pict>
      </w:r>
      <w:r w:rsidRPr="001F7993">
        <w:rPr>
          <w:rFonts w:cs="AL-Mohanad"/>
          <w:b/>
          <w:bCs/>
          <w:noProof/>
          <w:sz w:val="36"/>
          <w:szCs w:val="36"/>
          <w:rtl/>
        </w:rPr>
        <w:pict>
          <v:group id="_x0000_s1035" style="position:absolute;left:0;text-align:left;margin-left:0;margin-top:0;width:441pt;height:612pt;z-index:251658240;mso-position-horizontal:center;mso-position-horizontal-relative:margin;mso-position-vertical:center;mso-position-vertical-relative:margin" coordorigin="1443,2010" coordsize="8820,12240">
            <v:group id="_x0000_s1036" style="position:absolute;left:1443;top:2010;width:8820;height:12240" coordorigin="1443,2010" coordsize="8820,12240">
              <v:rect id="_x0000_s1037" style="position:absolute;left:1800;top:2340;width:8100;height:11520" filled="f" strokeweight="3pt"/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38" type="#_x0000_t21" style="position:absolute;left:1443;top:2010;width:8820;height:12240" filled="f" strokeweight="6pt">
                <v:stroke linestyle="thinThi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778;top:2318;width:8143;height:11520" filled="f" stroked="f">
              <v:textbox>
                <w:txbxContent>
                  <w:p w:rsidR="00C66035" w:rsidRDefault="00C66035" w:rsidP="00C66035">
                    <w:pPr>
                      <w:jc w:val="center"/>
                      <w:rPr>
                        <w:sz w:val="72"/>
                        <w:szCs w:val="72"/>
                        <w:rtl/>
                      </w:rPr>
                    </w:pPr>
                  </w:p>
                  <w:p w:rsidR="00C66035" w:rsidRDefault="00C66035" w:rsidP="00C66035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C66035" w:rsidRDefault="00C66035" w:rsidP="00C66035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C66035" w:rsidRPr="000E69C4" w:rsidRDefault="00C66035" w:rsidP="00C66035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C66035" w:rsidRDefault="00C66035" w:rsidP="00C66035">
                    <w:pPr>
                      <w:jc w:val="center"/>
                      <w:rPr>
                        <w:rFonts w:cs="Shurooq 03"/>
                        <w:sz w:val="16"/>
                        <w:szCs w:val="14"/>
                        <w:rtl/>
                      </w:rPr>
                    </w:pPr>
                  </w:p>
                  <w:p w:rsidR="00C66035" w:rsidRDefault="00C66035" w:rsidP="00C66035">
                    <w:pPr>
                      <w:ind w:firstLine="0"/>
                      <w:rPr>
                        <w:rFonts w:cs="Shurooq 03"/>
                        <w:sz w:val="16"/>
                        <w:szCs w:val="14"/>
                        <w:rtl/>
                      </w:rPr>
                    </w:pPr>
                  </w:p>
                  <w:p w:rsidR="001B55CF" w:rsidRDefault="001B55CF" w:rsidP="00C66035">
                    <w:pPr>
                      <w:ind w:firstLine="0"/>
                      <w:rPr>
                        <w:rFonts w:cs="Shurooq 03"/>
                        <w:sz w:val="16"/>
                        <w:szCs w:val="14"/>
                        <w:rtl/>
                      </w:rPr>
                    </w:pPr>
                  </w:p>
                  <w:p w:rsidR="001B55CF" w:rsidRPr="00AB463C" w:rsidRDefault="001B55CF" w:rsidP="00C66035">
                    <w:pPr>
                      <w:ind w:firstLine="0"/>
                      <w:rPr>
                        <w:rFonts w:cs="Shurooq 03"/>
                        <w:sz w:val="16"/>
                        <w:szCs w:val="14"/>
                      </w:rPr>
                    </w:pPr>
                  </w:p>
                  <w:p w:rsidR="00C66035" w:rsidRPr="00AC4261" w:rsidRDefault="00404039" w:rsidP="00C66035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Hesham Fostat"/>
                        <w:sz w:val="70"/>
                        <w:szCs w:val="70"/>
                        <w:rtl/>
                      </w:rPr>
                    </w:pPr>
                    <w:r>
                      <w:rPr>
                        <w:rFonts w:cs="Hesham Fostat" w:hint="cs"/>
                        <w:sz w:val="70"/>
                        <w:szCs w:val="70"/>
                        <w:rtl/>
                      </w:rPr>
                      <w:t>المبحث الرابع</w:t>
                    </w:r>
                  </w:p>
                  <w:p w:rsidR="00C66035" w:rsidRPr="00C66035" w:rsidRDefault="001B55CF" w:rsidP="00A578D8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sz w:val="50"/>
                        <w:szCs w:val="50"/>
                        <w:rtl/>
                      </w:rPr>
                    </w:pP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 xml:space="preserve">حكم </w:t>
                    </w:r>
                    <w:r w:rsidR="00A578D8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إدخال الزوجة من لا يأذن زوجها بإدخاله في بيته</w:t>
                    </w: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 xml:space="preserve">, </w:t>
                    </w:r>
                    <w:r w:rsidR="00C66035" w:rsidRPr="005A104F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والأثر المترتب على ذلك.</w:t>
                    </w:r>
                    <w:r w:rsidR="00C66035" w:rsidRPr="005A104F">
                      <w:rPr>
                        <w:rFonts w:cs="AL-Mohanad"/>
                        <w:sz w:val="58"/>
                        <w:szCs w:val="56"/>
                        <w:rtl/>
                      </w:rPr>
                      <w:t xml:space="preserve"> </w:t>
                    </w:r>
                  </w:p>
                  <w:p w:rsidR="00C66035" w:rsidRPr="00D96D77" w:rsidRDefault="00C66035" w:rsidP="00C66035">
                    <w:pPr>
                      <w:jc w:val="center"/>
                      <w:rPr>
                        <w:sz w:val="36"/>
                      </w:rPr>
                    </w:pPr>
                  </w:p>
                </w:txbxContent>
              </v:textbox>
            </v:shape>
            <w10:wrap anchorx="margin" anchory="margin"/>
          </v:group>
        </w:pict>
      </w:r>
      <w:r w:rsidR="009813E7" w:rsidRPr="00D73905">
        <w:rPr>
          <w:rFonts w:cs="AL-Mohanad"/>
          <w:b/>
          <w:bCs/>
          <w:sz w:val="36"/>
          <w:szCs w:val="36"/>
          <w:rtl/>
        </w:rPr>
        <w:br w:type="page"/>
      </w:r>
    </w:p>
    <w:p w:rsidR="00C54BB9" w:rsidRDefault="005A104F" w:rsidP="00404039">
      <w:pPr>
        <w:ind w:firstLine="0"/>
        <w:jc w:val="center"/>
        <w:rPr>
          <w:rtl/>
        </w:rPr>
      </w:pPr>
      <w:r>
        <w:rPr>
          <w:rFonts w:cs="AL-Mohanad Bold" w:hint="cs"/>
          <w:b/>
          <w:bCs/>
          <w:sz w:val="36"/>
          <w:szCs w:val="36"/>
          <w:rtl/>
        </w:rPr>
        <w:lastRenderedPageBreak/>
        <w:t>المبحث</w:t>
      </w:r>
      <w:r w:rsidR="004A7C5F">
        <w:rPr>
          <w:rFonts w:cs="AL-Mohanad Bold" w:hint="cs"/>
          <w:b/>
          <w:bCs/>
          <w:sz w:val="36"/>
          <w:szCs w:val="36"/>
          <w:rtl/>
        </w:rPr>
        <w:t xml:space="preserve"> </w:t>
      </w:r>
      <w:r w:rsidR="00C54BB9">
        <w:rPr>
          <w:rFonts w:cs="AL-Mohanad Bold" w:hint="cs"/>
          <w:b/>
          <w:bCs/>
          <w:sz w:val="36"/>
          <w:szCs w:val="36"/>
          <w:rtl/>
        </w:rPr>
        <w:t>ال</w:t>
      </w:r>
      <w:r w:rsidR="00404039">
        <w:rPr>
          <w:rFonts w:cs="AL-Mohanad Bold" w:hint="cs"/>
          <w:b/>
          <w:bCs/>
          <w:sz w:val="36"/>
          <w:szCs w:val="36"/>
          <w:rtl/>
        </w:rPr>
        <w:t>رابع</w:t>
      </w:r>
      <w:r w:rsidR="004A7C5F">
        <w:rPr>
          <w:rFonts w:cs="AL-Mohanad Bold" w:hint="cs"/>
          <w:b/>
          <w:bCs/>
          <w:sz w:val="36"/>
          <w:szCs w:val="36"/>
          <w:rtl/>
        </w:rPr>
        <w:t xml:space="preserve">: </w:t>
      </w:r>
      <w:r>
        <w:rPr>
          <w:rFonts w:cs="AL-Mohanad Bold" w:hint="cs"/>
          <w:b/>
          <w:bCs/>
          <w:sz w:val="36"/>
          <w:szCs w:val="36"/>
          <w:rtl/>
        </w:rPr>
        <w:t xml:space="preserve">حكم </w:t>
      </w:r>
      <w:r w:rsidR="00404039">
        <w:rPr>
          <w:rFonts w:cs="AL-Mohanad Bold" w:hint="cs"/>
          <w:b/>
          <w:bCs/>
          <w:sz w:val="36"/>
          <w:szCs w:val="36"/>
          <w:rtl/>
        </w:rPr>
        <w:t>إدخال الزوجة من لا يأذن زوجها بإدخاله في بيته</w:t>
      </w:r>
      <w:r>
        <w:rPr>
          <w:rFonts w:cs="AL-Mohanad Bold" w:hint="cs"/>
          <w:b/>
          <w:bCs/>
          <w:sz w:val="36"/>
          <w:szCs w:val="36"/>
          <w:rtl/>
        </w:rPr>
        <w:t>, والأثر المترتب على ذلك</w:t>
      </w:r>
    </w:p>
    <w:p w:rsidR="001B0CA0" w:rsidRPr="001B0CA0" w:rsidRDefault="001B0CA0" w:rsidP="00FB0AE2">
      <w:pPr>
        <w:tabs>
          <w:tab w:val="left" w:pos="720"/>
          <w:tab w:val="left" w:pos="1260"/>
        </w:tabs>
        <w:rPr>
          <w:rFonts w:ascii="Traditional Arabic" w:hAnsi="Traditional Arabic" w:cs="AL-Mohanad"/>
          <w:sz w:val="36"/>
          <w:szCs w:val="36"/>
          <w:rtl/>
        </w:rPr>
      </w:pPr>
      <w:r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صورة المسألة: </w:t>
      </w:r>
      <w:r w:rsidR="00BB764C">
        <w:rPr>
          <w:rFonts w:ascii="Traditional Arabic" w:hAnsi="Traditional Arabic" w:cs="AL-Mohanad" w:hint="cs"/>
          <w:sz w:val="36"/>
          <w:szCs w:val="36"/>
          <w:rtl/>
        </w:rPr>
        <w:t>أن يمنع الزوج زوجته أن تدخ</w:t>
      </w:r>
      <w:r w:rsidR="00FB0AE2">
        <w:rPr>
          <w:rFonts w:ascii="Traditional Arabic" w:hAnsi="Traditional Arabic" w:cs="AL-Mohanad" w:hint="cs"/>
          <w:sz w:val="36"/>
          <w:szCs w:val="36"/>
          <w:rtl/>
        </w:rPr>
        <w:t xml:space="preserve">ل من يكره إلى بيته فتقوم الزوجة بمخالفة أمره . </w:t>
      </w:r>
    </w:p>
    <w:p w:rsidR="00966BA9" w:rsidRDefault="006D4994" w:rsidP="00BB764C">
      <w:pPr>
        <w:tabs>
          <w:tab w:val="left" w:pos="720"/>
          <w:tab w:val="left" w:pos="1260"/>
        </w:tabs>
        <w:rPr>
          <w:rFonts w:ascii="Traditional Arabic" w:hAnsi="Traditional Arabic" w:cs="AL-Mohanad"/>
          <w:b/>
          <w:bCs/>
          <w:sz w:val="36"/>
          <w:szCs w:val="36"/>
          <w:rtl/>
        </w:rPr>
      </w:pPr>
      <w:r>
        <w:rPr>
          <w:rFonts w:ascii="Traditional Arabic" w:hAnsi="Traditional Arabic" w:cs="AL-Mohanad" w:hint="cs"/>
          <w:sz w:val="36"/>
          <w:szCs w:val="36"/>
          <w:rtl/>
        </w:rPr>
        <w:t xml:space="preserve"> </w:t>
      </w:r>
      <w:r w:rsidR="00A578D8">
        <w:rPr>
          <w:rFonts w:ascii="Traditional Arabic" w:hAnsi="Traditional Arabic" w:cs="AL-Mohanad" w:hint="cs"/>
          <w:sz w:val="36"/>
          <w:szCs w:val="36"/>
          <w:rtl/>
        </w:rPr>
        <w:t xml:space="preserve">ففي هذه الحالة </w:t>
      </w:r>
      <w:r>
        <w:rPr>
          <w:rFonts w:ascii="Traditional Arabic" w:hAnsi="Traditional Arabic" w:cs="AL-Mohanad" w:hint="cs"/>
          <w:sz w:val="36"/>
          <w:szCs w:val="36"/>
          <w:rtl/>
        </w:rPr>
        <w:t>لا يجوز للمرأة أن تدخل من ل</w:t>
      </w:r>
      <w:r w:rsidR="00B84933">
        <w:rPr>
          <w:rFonts w:ascii="Traditional Arabic" w:hAnsi="Traditional Arabic" w:cs="AL-Mohanad" w:hint="cs"/>
          <w:sz w:val="36"/>
          <w:szCs w:val="36"/>
          <w:rtl/>
        </w:rPr>
        <w:t>ا يأذن زوجها بإدخاله في بيته إلا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بإذنه, </w:t>
      </w:r>
      <w:r w:rsidR="00B84933">
        <w:rPr>
          <w:rFonts w:ascii="Traditional Arabic" w:hAnsi="Traditional Arabic" w:cs="AL-Mohanad" w:hint="cs"/>
          <w:sz w:val="36"/>
          <w:szCs w:val="36"/>
          <w:rtl/>
        </w:rPr>
        <w:t>وذلك للحديث الذي رواه</w:t>
      </w:r>
      <w:r w:rsidR="00547093">
        <w:rPr>
          <w:rFonts w:ascii="Traditional Arabic" w:hAnsi="Traditional Arabic" w:cs="AL-Mohanad" w:hint="cs"/>
          <w:sz w:val="36"/>
          <w:szCs w:val="36"/>
          <w:rtl/>
        </w:rPr>
        <w:t xml:space="preserve"> </w:t>
      </w:r>
      <w:r w:rsidR="00B84933">
        <w:rPr>
          <w:rFonts w:ascii="Traditional Arabic" w:hAnsi="Traditional Arabic" w:cs="AL-Mohanad" w:hint="cs"/>
          <w:sz w:val="36"/>
          <w:szCs w:val="36"/>
          <w:rtl/>
        </w:rPr>
        <w:t>أبي هريرة</w:t>
      </w:r>
      <w:r w:rsidR="00B84933">
        <w:rPr>
          <w:rStyle w:val="a6"/>
          <w:rFonts w:ascii="Traditional Arabic" w:hAnsi="Traditional Arabic" w:cs="AL-Mohanad"/>
          <w:sz w:val="36"/>
          <w:rtl/>
        </w:rPr>
        <w:footnoteReference w:id="2"/>
      </w:r>
      <w:r w:rsidR="00B84933">
        <w:rPr>
          <w:rFonts w:ascii="Traditional Arabic" w:hAnsi="Traditional Arabic" w:cs="AL-Mohanad" w:hint="cs"/>
          <w:sz w:val="36"/>
          <w:szCs w:val="36"/>
          <w:rtl/>
        </w:rPr>
        <w:t xml:space="preserve"> عن </w:t>
      </w:r>
      <w:r w:rsidR="00547093">
        <w:rPr>
          <w:rFonts w:ascii="Traditional Arabic" w:hAnsi="Traditional Arabic" w:cs="AL-Mohanad" w:hint="cs"/>
          <w:sz w:val="36"/>
          <w:szCs w:val="36"/>
          <w:rtl/>
        </w:rPr>
        <w:t xml:space="preserve">النبي </w:t>
      </w:r>
      <w:r w:rsidR="00547093">
        <w:rPr>
          <w:rFonts w:ascii="Traditional Arabic" w:hAnsi="Traditional Arabic" w:cs="SC_SHARJAH" w:hint="cs"/>
          <w:sz w:val="36"/>
          <w:szCs w:val="36"/>
          <w:rtl/>
        </w:rPr>
        <w:t>@</w:t>
      </w:r>
      <w:r w:rsidR="00547093">
        <w:rPr>
          <w:rFonts w:ascii="Traditional Arabic" w:hAnsi="Traditional Arabic" w:cs="AL-Mohanad" w:hint="cs"/>
          <w:sz w:val="36"/>
          <w:szCs w:val="36"/>
          <w:rtl/>
        </w:rPr>
        <w:t xml:space="preserve"> : " </w:t>
      </w:r>
      <w:r w:rsidR="00547093" w:rsidRPr="00547093">
        <w:rPr>
          <w:rFonts w:ascii="Traditional Arabic" w:hAnsi="Traditional Arabic" w:cs="AL-Mohanad"/>
          <w:sz w:val="36"/>
          <w:szCs w:val="36"/>
          <w:rtl/>
        </w:rPr>
        <w:t xml:space="preserve">لا تصوم المرأة وبعلها شاهد إلا بإذنه غير رمضان </w:t>
      </w:r>
      <w:r w:rsidR="00547093">
        <w:rPr>
          <w:rFonts w:ascii="Traditional Arabic" w:hAnsi="Traditional Arabic" w:cs="AL-Mohanad"/>
          <w:sz w:val="36"/>
          <w:szCs w:val="36"/>
          <w:rtl/>
        </w:rPr>
        <w:t>ولا تأذن ف</w:t>
      </w:r>
      <w:r w:rsidR="00547093">
        <w:rPr>
          <w:rFonts w:ascii="Traditional Arabic" w:hAnsi="Traditional Arabic" w:cs="AL-Mohanad" w:hint="cs"/>
          <w:sz w:val="36"/>
          <w:szCs w:val="36"/>
          <w:rtl/>
        </w:rPr>
        <w:t>ي</w:t>
      </w:r>
      <w:r w:rsidR="00547093" w:rsidRPr="00547093">
        <w:rPr>
          <w:rFonts w:ascii="Traditional Arabic" w:hAnsi="Traditional Arabic" w:cs="AL-Mohanad"/>
          <w:sz w:val="36"/>
          <w:szCs w:val="36"/>
          <w:rtl/>
        </w:rPr>
        <w:t xml:space="preserve"> بيته وهو شاهد إلا بإذنه</w:t>
      </w:r>
      <w:r w:rsidR="00547093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"</w:t>
      </w:r>
      <w:r w:rsidR="00547093" w:rsidRPr="005E100D">
        <w:rPr>
          <w:rStyle w:val="a6"/>
          <w:rFonts w:ascii="Traditional Arabic" w:hAnsi="Traditional Arabic" w:cs="AL-Mohanad"/>
          <w:sz w:val="36"/>
          <w:rtl/>
        </w:rPr>
        <w:footnoteReference w:id="3"/>
      </w:r>
      <w:r w:rsidR="00B73D69">
        <w:rPr>
          <w:rFonts w:ascii="Traditional Arabic" w:hAnsi="Traditional Arabic" w:cs="AL-Mohanad" w:hint="cs"/>
          <w:b/>
          <w:bCs/>
          <w:sz w:val="36"/>
          <w:szCs w:val="36"/>
          <w:rtl/>
        </w:rPr>
        <w:t>.</w:t>
      </w:r>
    </w:p>
    <w:p w:rsidR="001F187E" w:rsidRDefault="005E100D" w:rsidP="001F187E">
      <w:pPr>
        <w:tabs>
          <w:tab w:val="left" w:pos="720"/>
          <w:tab w:val="left" w:pos="1260"/>
        </w:tabs>
        <w:rPr>
          <w:rFonts w:ascii="Traditional Arabic" w:hAnsi="Traditional Arabic" w:cs="AL-Mohanad"/>
          <w:b/>
          <w:bCs/>
          <w:sz w:val="36"/>
          <w:szCs w:val="36"/>
          <w:rtl/>
        </w:rPr>
      </w:pPr>
      <w:r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يقول الإمام النووي </w:t>
      </w:r>
      <w:r>
        <w:rPr>
          <w:rFonts w:ascii="Traditional Arabic" w:hAnsi="Traditional Arabic" w:cs="AL-Mohanad"/>
          <w:b/>
          <w:bCs/>
          <w:sz w:val="36"/>
          <w:szCs w:val="36"/>
          <w:rtl/>
        </w:rPr>
        <w:t>–</w:t>
      </w:r>
      <w:r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رحمه الله -: " </w:t>
      </w:r>
      <w:r>
        <w:rPr>
          <w:rFonts w:ascii="Traditional Arabic" w:hAnsi="Traditional Arabic" w:cs="AL-Mohanad"/>
          <w:sz w:val="36"/>
          <w:szCs w:val="36"/>
          <w:rtl/>
        </w:rPr>
        <w:t xml:space="preserve">فيه </w:t>
      </w:r>
      <w:r>
        <w:rPr>
          <w:rFonts w:ascii="Traditional Arabic" w:hAnsi="Traditional Arabic" w:cs="AL-Mohanad" w:hint="cs"/>
          <w:sz w:val="36"/>
          <w:szCs w:val="36"/>
          <w:rtl/>
        </w:rPr>
        <w:t>إ</w:t>
      </w:r>
      <w:r w:rsidRPr="005E100D">
        <w:rPr>
          <w:rFonts w:ascii="Traditional Arabic" w:hAnsi="Traditional Arabic" w:cs="AL-Mohanad"/>
          <w:sz w:val="36"/>
          <w:szCs w:val="36"/>
          <w:rtl/>
        </w:rPr>
        <w:t>شارة إلى أنه ل</w:t>
      </w:r>
      <w:r>
        <w:rPr>
          <w:rFonts w:ascii="Traditional Arabic" w:hAnsi="Traditional Arabic" w:cs="AL-Mohanad"/>
          <w:sz w:val="36"/>
          <w:szCs w:val="36"/>
          <w:rtl/>
        </w:rPr>
        <w:t>ا يفتات على الزوج وغيره من مالك</w:t>
      </w:r>
      <w:r>
        <w:rPr>
          <w:rFonts w:ascii="Traditional Arabic" w:hAnsi="Traditional Arabic" w:cs="AL-Mohanad" w:hint="cs"/>
          <w:sz w:val="36"/>
          <w:szCs w:val="36"/>
          <w:rtl/>
        </w:rPr>
        <w:t>ي</w:t>
      </w:r>
      <w:r w:rsidRPr="005E100D">
        <w:rPr>
          <w:rFonts w:ascii="Traditional Arabic" w:hAnsi="Traditional Arabic" w:cs="AL-Mohanad"/>
          <w:sz w:val="36"/>
          <w:szCs w:val="36"/>
          <w:rtl/>
        </w:rPr>
        <w:t xml:space="preserve"> البيوت وغيرها بال</w:t>
      </w:r>
      <w:r>
        <w:rPr>
          <w:rFonts w:ascii="Traditional Arabic" w:hAnsi="Traditional Arabic" w:cs="AL-Mohanad" w:hint="cs"/>
          <w:sz w:val="36"/>
          <w:szCs w:val="36"/>
          <w:rtl/>
        </w:rPr>
        <w:t>أ</w:t>
      </w:r>
      <w:r>
        <w:rPr>
          <w:rFonts w:ascii="Traditional Arabic" w:hAnsi="Traditional Arabic" w:cs="AL-Mohanad"/>
          <w:sz w:val="36"/>
          <w:szCs w:val="36"/>
          <w:rtl/>
        </w:rPr>
        <w:t xml:space="preserve">ذن في أملاكهم </w:t>
      </w:r>
      <w:r>
        <w:rPr>
          <w:rFonts w:ascii="Traditional Arabic" w:hAnsi="Traditional Arabic" w:cs="AL-Mohanad" w:hint="cs"/>
          <w:sz w:val="36"/>
          <w:szCs w:val="36"/>
          <w:rtl/>
        </w:rPr>
        <w:t>إ</w:t>
      </w:r>
      <w:r>
        <w:rPr>
          <w:rFonts w:ascii="Traditional Arabic" w:hAnsi="Traditional Arabic" w:cs="AL-Mohanad"/>
          <w:sz w:val="36"/>
          <w:szCs w:val="36"/>
          <w:rtl/>
        </w:rPr>
        <w:t>لا ب</w:t>
      </w:r>
      <w:r>
        <w:rPr>
          <w:rFonts w:ascii="Traditional Arabic" w:hAnsi="Traditional Arabic" w:cs="AL-Mohanad" w:hint="cs"/>
          <w:sz w:val="36"/>
          <w:szCs w:val="36"/>
          <w:rtl/>
        </w:rPr>
        <w:t>إ</w:t>
      </w:r>
      <w:r w:rsidRPr="005E100D">
        <w:rPr>
          <w:rFonts w:ascii="Traditional Arabic" w:hAnsi="Traditional Arabic" w:cs="AL-Mohanad"/>
          <w:sz w:val="36"/>
          <w:szCs w:val="36"/>
          <w:rtl/>
        </w:rPr>
        <w:t>ذنهم وهذا محمول على ما لا يعلم رضا الزوج ونحوه به فان علمت المرأة ونحوها رضاه به جاز</w:t>
      </w:r>
      <w:r>
        <w:rPr>
          <w:rFonts w:ascii="Traditional Arabic" w:hAnsi="Traditional Arabic" w:cs="AL-Mohanad" w:hint="cs"/>
          <w:sz w:val="36"/>
          <w:szCs w:val="36"/>
          <w:rtl/>
        </w:rPr>
        <w:t>"</w:t>
      </w:r>
      <w:r>
        <w:rPr>
          <w:rStyle w:val="a6"/>
          <w:rFonts w:ascii="Traditional Arabic" w:hAnsi="Traditional Arabic" w:cs="AL-Mohanad"/>
          <w:sz w:val="36"/>
          <w:rtl/>
        </w:rPr>
        <w:footnoteReference w:id="4"/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, </w:t>
      </w:r>
      <w:r w:rsidR="001F187E">
        <w:rPr>
          <w:rFonts w:ascii="Traditional Arabic" w:hAnsi="Traditional Arabic" w:cs="AL-Mohanad" w:hint="cs"/>
          <w:sz w:val="36"/>
          <w:szCs w:val="36"/>
          <w:rtl/>
        </w:rPr>
        <w:t>ولأن صدور مثل هذا الفعل من الزوجة يسبب القطيعة ويجعلها في موضع الريبة ويثير عليها شكوك زوجها</w:t>
      </w:r>
      <w:r w:rsidR="001F187E">
        <w:rPr>
          <w:rStyle w:val="a6"/>
          <w:rFonts w:ascii="Traditional Arabic" w:hAnsi="Traditional Arabic" w:cs="AL-Mohanad"/>
          <w:sz w:val="36"/>
          <w:rtl/>
        </w:rPr>
        <w:footnoteReference w:id="5"/>
      </w:r>
      <w:r w:rsidR="001F187E">
        <w:rPr>
          <w:rFonts w:ascii="Traditional Arabic" w:hAnsi="Traditional Arabic" w:cs="AL-Mohanad" w:hint="cs"/>
          <w:sz w:val="36"/>
          <w:szCs w:val="36"/>
          <w:rtl/>
        </w:rPr>
        <w:t>.</w:t>
      </w:r>
    </w:p>
    <w:p w:rsidR="00BB764C" w:rsidRDefault="005E100D" w:rsidP="00532FB8">
      <w:pPr>
        <w:tabs>
          <w:tab w:val="left" w:pos="720"/>
          <w:tab w:val="left" w:pos="1260"/>
        </w:tabs>
        <w:rPr>
          <w:rFonts w:ascii="Traditional Arabic" w:hAnsi="Traditional Arabic" w:cs="AL-Mohanad"/>
          <w:sz w:val="36"/>
          <w:szCs w:val="36"/>
          <w:rtl/>
        </w:rPr>
      </w:pPr>
      <w:r>
        <w:rPr>
          <w:rFonts w:ascii="Traditional Arabic" w:hAnsi="Traditional Arabic" w:cs="AL-Mohanad" w:hint="cs"/>
          <w:sz w:val="36"/>
          <w:szCs w:val="36"/>
          <w:rtl/>
        </w:rPr>
        <w:t>وهذا هو مذهب الحنفية</w:t>
      </w:r>
      <w:r w:rsidR="00E1420D">
        <w:rPr>
          <w:rStyle w:val="a6"/>
          <w:rFonts w:ascii="Traditional Arabic" w:hAnsi="Traditional Arabic" w:cs="AL-Mohanad"/>
          <w:sz w:val="36"/>
          <w:rtl/>
        </w:rPr>
        <w:footnoteReference w:id="6"/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والمالكية</w:t>
      </w:r>
      <w:r w:rsidR="00B73D69">
        <w:rPr>
          <w:rStyle w:val="a6"/>
          <w:rFonts w:ascii="Traditional Arabic" w:hAnsi="Traditional Arabic" w:cs="AL-Mohanad"/>
          <w:sz w:val="36"/>
          <w:rtl/>
        </w:rPr>
        <w:footnoteReference w:id="7"/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والشافعية</w:t>
      </w:r>
      <w:r w:rsidR="001F187E">
        <w:rPr>
          <w:rStyle w:val="a6"/>
          <w:rFonts w:ascii="Traditional Arabic" w:hAnsi="Traditional Arabic" w:cs="AL-Mohanad"/>
          <w:sz w:val="36"/>
          <w:rtl/>
        </w:rPr>
        <w:footnoteReference w:id="8"/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والحنابلة</w:t>
      </w:r>
      <w:r>
        <w:rPr>
          <w:rStyle w:val="a6"/>
          <w:rFonts w:ascii="Traditional Arabic" w:hAnsi="Traditional Arabic" w:cs="AL-Mohanad"/>
          <w:sz w:val="36"/>
          <w:rtl/>
        </w:rPr>
        <w:footnoteReference w:id="9"/>
      </w:r>
      <w:r>
        <w:rPr>
          <w:rFonts w:ascii="Traditional Arabic" w:hAnsi="Traditional Arabic" w:cs="AL-Mohanad" w:hint="cs"/>
          <w:sz w:val="36"/>
          <w:szCs w:val="36"/>
          <w:rtl/>
        </w:rPr>
        <w:t>.</w:t>
      </w:r>
    </w:p>
    <w:p w:rsidR="001F187E" w:rsidRPr="001B0CA0" w:rsidRDefault="001F187E" w:rsidP="001B0CA0">
      <w:pPr>
        <w:pStyle w:val="a8"/>
        <w:numPr>
          <w:ilvl w:val="0"/>
          <w:numId w:val="18"/>
        </w:numPr>
        <w:tabs>
          <w:tab w:val="left" w:pos="720"/>
          <w:tab w:val="left" w:pos="1260"/>
        </w:tabs>
        <w:rPr>
          <w:rFonts w:ascii="Traditional Arabic" w:hAnsi="Traditional Arabic" w:cs="AL-Mohanad"/>
          <w:sz w:val="36"/>
          <w:szCs w:val="36"/>
          <w:rtl/>
        </w:rPr>
      </w:pPr>
      <w:r w:rsidRPr="001B0CA0">
        <w:rPr>
          <w:rFonts w:ascii="Traditional Arabic" w:hAnsi="Traditional Arabic" w:cs="AL-Mohanad" w:hint="cs"/>
          <w:b/>
          <w:bCs/>
          <w:sz w:val="36"/>
          <w:szCs w:val="36"/>
          <w:rtl/>
        </w:rPr>
        <w:lastRenderedPageBreak/>
        <w:t>الأثر المترتب على إدخال الزوجة من لا يأذن زوجها بإدخاله في بيه:-</w:t>
      </w:r>
    </w:p>
    <w:p w:rsidR="001F187E" w:rsidRDefault="001F187E" w:rsidP="001B0CA0">
      <w:pPr>
        <w:tabs>
          <w:tab w:val="left" w:pos="720"/>
          <w:tab w:val="left" w:pos="1260"/>
        </w:tabs>
        <w:rPr>
          <w:rFonts w:ascii="Traditional Arabic" w:hAnsi="Traditional Arabic" w:cs="AL-Mohanad"/>
          <w:b/>
          <w:bCs/>
          <w:sz w:val="36"/>
          <w:szCs w:val="36"/>
          <w:rtl/>
        </w:rPr>
      </w:pPr>
      <w:r w:rsidRPr="001B0CA0">
        <w:rPr>
          <w:rFonts w:ascii="Traditional Arabic" w:hAnsi="Traditional Arabic" w:cs="AL-Mohanad" w:hint="cs"/>
          <w:sz w:val="36"/>
          <w:szCs w:val="36"/>
          <w:rtl/>
        </w:rPr>
        <w:t xml:space="preserve">في هذه الحالة تكون المرأة آثمة </w:t>
      </w:r>
      <w:r w:rsidR="001B0CA0" w:rsidRPr="001B0CA0">
        <w:rPr>
          <w:rFonts w:ascii="Traditional Arabic" w:hAnsi="Traditional Arabic" w:cs="AL-Mohanad" w:hint="cs"/>
          <w:sz w:val="36"/>
          <w:szCs w:val="36"/>
          <w:rtl/>
        </w:rPr>
        <w:t xml:space="preserve">لمخالفة أمر النبي </w:t>
      </w:r>
      <w:r w:rsidR="001B0CA0" w:rsidRPr="001B0CA0">
        <w:rPr>
          <w:rFonts w:ascii="Traditional Arabic" w:hAnsi="Traditional Arabic" w:cs="SC_SHARJAH" w:hint="cs"/>
          <w:sz w:val="36"/>
          <w:szCs w:val="36"/>
          <w:rtl/>
        </w:rPr>
        <w:t>@</w:t>
      </w:r>
      <w:r w:rsidR="001B0CA0" w:rsidRPr="001B0CA0">
        <w:rPr>
          <w:rFonts w:ascii="Traditional Arabic" w:hAnsi="Traditional Arabic" w:cs="AL-Mohanad" w:hint="cs"/>
          <w:sz w:val="36"/>
          <w:szCs w:val="36"/>
          <w:rtl/>
        </w:rPr>
        <w:t xml:space="preserve"> , ولما قد تجلبه لنفسها من شكوك وريبة .</w:t>
      </w:r>
      <w:r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</w:t>
      </w:r>
    </w:p>
    <w:p w:rsidR="001B0CA0" w:rsidRPr="001F187E" w:rsidRDefault="001B0CA0" w:rsidP="001B0CA0">
      <w:pPr>
        <w:tabs>
          <w:tab w:val="left" w:pos="720"/>
          <w:tab w:val="left" w:pos="1260"/>
        </w:tabs>
        <w:rPr>
          <w:rFonts w:ascii="Traditional Arabic" w:hAnsi="Traditional Arabic" w:cs="AL-Mohanad"/>
          <w:b/>
          <w:bCs/>
          <w:sz w:val="36"/>
          <w:szCs w:val="36"/>
          <w:rtl/>
        </w:rPr>
      </w:pPr>
    </w:p>
    <w:p w:rsidR="00F20536" w:rsidRPr="000B6475" w:rsidRDefault="00F20536" w:rsidP="000B6475">
      <w:pPr>
        <w:tabs>
          <w:tab w:val="left" w:pos="720"/>
          <w:tab w:val="left" w:pos="1260"/>
        </w:tabs>
        <w:ind w:left="360" w:firstLine="0"/>
        <w:jc w:val="center"/>
        <w:rPr>
          <w:rFonts w:cs="DecoType Naskh Variants"/>
          <w:sz w:val="36"/>
          <w:szCs w:val="36"/>
        </w:rPr>
      </w:pPr>
    </w:p>
    <w:sectPr w:rsidR="00F20536" w:rsidRPr="000B6475" w:rsidSect="00BD2C74">
      <w:headerReference w:type="default" r:id="rId8"/>
      <w:footerReference w:type="default" r:id="rId9"/>
      <w:footnotePr>
        <w:numRestart w:val="eachPage"/>
      </w:footnotePr>
      <w:pgSz w:w="11906" w:h="16838"/>
      <w:pgMar w:top="1418" w:right="1985" w:bottom="1418" w:left="1418" w:header="709" w:footer="709" w:gutter="0"/>
      <w:pgNumType w:start="13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D40" w:rsidRDefault="00D42D40" w:rsidP="009813E7">
      <w:pPr>
        <w:spacing w:after="0" w:line="240" w:lineRule="auto"/>
      </w:pPr>
      <w:r>
        <w:separator/>
      </w:r>
    </w:p>
  </w:endnote>
  <w:endnote w:type="continuationSeparator" w:id="1">
    <w:p w:rsidR="00D42D40" w:rsidRDefault="00D42D40" w:rsidP="00981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C_SHARJAH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041" w:rsidRPr="00300C4E" w:rsidRDefault="001F7993" w:rsidP="00776041">
    <w:pPr>
      <w:pStyle w:val="a4"/>
      <w:pBdr>
        <w:top w:val="thinThickSmallGap" w:sz="24" w:space="1" w:color="622423" w:themeColor="accent2" w:themeShade="7F"/>
      </w:pBdr>
      <w:ind w:firstLine="0"/>
      <w:jc w:val="center"/>
      <w:rPr>
        <w:rFonts w:asciiTheme="majorHAnsi" w:hAnsiTheme="majorHAnsi" w:cs="AL-Mohanad"/>
        <w:sz w:val="28"/>
        <w:szCs w:val="28"/>
      </w:rPr>
    </w:pPr>
    <w:r w:rsidRPr="00300C4E">
      <w:rPr>
        <w:rFonts w:cs="AL-Mohanad"/>
        <w:sz w:val="28"/>
        <w:szCs w:val="28"/>
      </w:rPr>
      <w:fldChar w:fldCharType="begin"/>
    </w:r>
    <w:r w:rsidR="00A92BA9" w:rsidRPr="00300C4E">
      <w:rPr>
        <w:rFonts w:cs="AL-Mohanad"/>
        <w:sz w:val="28"/>
        <w:szCs w:val="28"/>
      </w:rPr>
      <w:instrText xml:space="preserve"> PAGE   \* MERGEFORMAT </w:instrText>
    </w:r>
    <w:r w:rsidRPr="00300C4E">
      <w:rPr>
        <w:rFonts w:cs="AL-Mohanad"/>
        <w:sz w:val="28"/>
        <w:szCs w:val="28"/>
      </w:rPr>
      <w:fldChar w:fldCharType="separate"/>
    </w:r>
    <w:r w:rsidR="00BD2C74" w:rsidRPr="00BD2C74">
      <w:rPr>
        <w:rFonts w:asciiTheme="majorHAnsi" w:hAnsiTheme="majorHAnsi" w:cs="AL-Mohanad"/>
        <w:noProof/>
        <w:sz w:val="28"/>
        <w:szCs w:val="28"/>
        <w:rtl/>
        <w:lang w:val="ar-SA"/>
      </w:rPr>
      <w:t>133</w:t>
    </w:r>
    <w:r w:rsidRPr="00300C4E">
      <w:rPr>
        <w:rFonts w:cs="AL-Mohanad"/>
        <w:sz w:val="28"/>
        <w:szCs w:val="28"/>
      </w:rPr>
      <w:fldChar w:fldCharType="end"/>
    </w:r>
  </w:p>
  <w:p w:rsidR="009E5CC6" w:rsidRDefault="009E5CC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D40" w:rsidRDefault="00D42D40" w:rsidP="009813E7">
      <w:pPr>
        <w:spacing w:after="0" w:line="240" w:lineRule="auto"/>
      </w:pPr>
      <w:r>
        <w:separator/>
      </w:r>
    </w:p>
  </w:footnote>
  <w:footnote w:type="continuationSeparator" w:id="1">
    <w:p w:rsidR="00D42D40" w:rsidRDefault="00D42D40" w:rsidP="009813E7">
      <w:pPr>
        <w:spacing w:after="0" w:line="240" w:lineRule="auto"/>
      </w:pPr>
      <w:r>
        <w:continuationSeparator/>
      </w:r>
    </w:p>
  </w:footnote>
  <w:footnote w:id="2">
    <w:p w:rsidR="00B84933" w:rsidRPr="00B84933" w:rsidRDefault="00B84933">
      <w:pPr>
        <w:pStyle w:val="a7"/>
        <w:rPr>
          <w:rFonts w:cs="AL-Mohanad"/>
        </w:rPr>
      </w:pPr>
      <w:r w:rsidRPr="00B84933">
        <w:rPr>
          <w:rStyle w:val="a6"/>
          <w:rFonts w:cs="AL-Mohanad"/>
        </w:rPr>
        <w:footnoteRef/>
      </w:r>
      <w:r w:rsidRPr="00B84933">
        <w:rPr>
          <w:rFonts w:cs="AL-Mohanad"/>
          <w:rtl/>
        </w:rPr>
        <w:t xml:space="preserve"> </w:t>
      </w:r>
      <w:r w:rsidRPr="00B84933">
        <w:rPr>
          <w:rFonts w:cs="AL-Mohanad" w:hint="cs"/>
          <w:rtl/>
        </w:rPr>
        <w:t>سبقت ترجمته ص: 50</w:t>
      </w:r>
    </w:p>
  </w:footnote>
  <w:footnote w:id="3">
    <w:p w:rsidR="00547093" w:rsidRPr="00A578D8" w:rsidRDefault="00547093" w:rsidP="00BB764C">
      <w:pPr>
        <w:pStyle w:val="a7"/>
        <w:rPr>
          <w:rFonts w:cs="AL-Mohanad"/>
          <w:rtl/>
        </w:rPr>
      </w:pPr>
      <w:r w:rsidRPr="00A578D8">
        <w:rPr>
          <w:rStyle w:val="a6"/>
          <w:rFonts w:cs="AL-Mohanad"/>
        </w:rPr>
        <w:footnoteRef/>
      </w:r>
      <w:r w:rsidRPr="00A578D8">
        <w:rPr>
          <w:rFonts w:cs="AL-Mohanad"/>
          <w:rtl/>
        </w:rPr>
        <w:t xml:space="preserve"> </w:t>
      </w:r>
      <w:r w:rsidRPr="00A578D8">
        <w:rPr>
          <w:rFonts w:cs="AL-Mohanad" w:hint="cs"/>
          <w:rtl/>
        </w:rPr>
        <w:t>أخرجه البخاري في صحيحه</w:t>
      </w:r>
      <w:r w:rsidR="00FB0AE2">
        <w:rPr>
          <w:rFonts w:cs="AL-Mohanad" w:hint="cs"/>
          <w:rtl/>
        </w:rPr>
        <w:t>, 5/1994 (4899), و</w:t>
      </w:r>
      <w:r w:rsidRPr="00A578D8">
        <w:rPr>
          <w:rFonts w:cs="AL-Mohanad" w:hint="cs"/>
          <w:rtl/>
        </w:rPr>
        <w:t xml:space="preserve"> مسلم في صحيحه</w:t>
      </w:r>
      <w:r w:rsidR="00B84933">
        <w:rPr>
          <w:rFonts w:cs="AL-Mohanad" w:hint="cs"/>
          <w:rtl/>
        </w:rPr>
        <w:t>,2/711 (1026)</w:t>
      </w:r>
    </w:p>
  </w:footnote>
  <w:footnote w:id="4">
    <w:p w:rsidR="005E100D" w:rsidRPr="00A578D8" w:rsidRDefault="005E100D" w:rsidP="00BB764C">
      <w:pPr>
        <w:pStyle w:val="a7"/>
        <w:rPr>
          <w:rFonts w:cs="AL-Mohanad"/>
        </w:rPr>
      </w:pPr>
      <w:r w:rsidRPr="00A578D8">
        <w:rPr>
          <w:rStyle w:val="a6"/>
          <w:rFonts w:cs="AL-Mohanad"/>
        </w:rPr>
        <w:footnoteRef/>
      </w:r>
      <w:r w:rsidRPr="00A578D8">
        <w:rPr>
          <w:rFonts w:cs="AL-Mohanad"/>
          <w:rtl/>
        </w:rPr>
        <w:t xml:space="preserve"> </w:t>
      </w:r>
      <w:r w:rsidRPr="00A578D8">
        <w:rPr>
          <w:rFonts w:cs="AL-Mohanad" w:hint="cs"/>
          <w:rtl/>
        </w:rPr>
        <w:t>المنهاج شرح صحيح مسلم بن الحجاج, 7/115</w:t>
      </w:r>
    </w:p>
  </w:footnote>
  <w:footnote w:id="5">
    <w:p w:rsidR="001F187E" w:rsidRPr="00A578D8" w:rsidRDefault="001F187E" w:rsidP="00BB764C">
      <w:pPr>
        <w:pStyle w:val="a7"/>
        <w:rPr>
          <w:rFonts w:cs="AL-Mohanad"/>
          <w:rtl/>
        </w:rPr>
      </w:pPr>
      <w:r w:rsidRPr="00A578D8">
        <w:rPr>
          <w:rStyle w:val="a6"/>
          <w:rFonts w:cs="AL-Mohanad"/>
        </w:rPr>
        <w:footnoteRef/>
      </w:r>
      <w:r w:rsidRPr="00A578D8">
        <w:rPr>
          <w:rFonts w:cs="AL-Mohanad"/>
          <w:rtl/>
        </w:rPr>
        <w:t xml:space="preserve"> </w:t>
      </w:r>
      <w:r w:rsidRPr="00A578D8">
        <w:rPr>
          <w:rFonts w:cs="AL-Mohanad" w:hint="cs"/>
          <w:rtl/>
        </w:rPr>
        <w:t>عمدة القاري شرح صحيح البخاري, 29/454</w:t>
      </w:r>
    </w:p>
  </w:footnote>
  <w:footnote w:id="6">
    <w:p w:rsidR="00E1420D" w:rsidRPr="00A578D8" w:rsidRDefault="00E1420D" w:rsidP="00BB764C">
      <w:pPr>
        <w:pStyle w:val="a7"/>
        <w:rPr>
          <w:rFonts w:cs="AL-Mohanad"/>
        </w:rPr>
      </w:pPr>
      <w:r w:rsidRPr="00A578D8">
        <w:rPr>
          <w:rStyle w:val="a6"/>
          <w:rFonts w:cs="AL-Mohanad"/>
        </w:rPr>
        <w:footnoteRef/>
      </w:r>
      <w:r w:rsidRPr="00A578D8">
        <w:rPr>
          <w:rFonts w:cs="AL-Mohanad"/>
          <w:rtl/>
        </w:rPr>
        <w:t xml:space="preserve"> </w:t>
      </w:r>
      <w:r w:rsidRPr="00A578D8">
        <w:rPr>
          <w:rFonts w:cs="AL-Mohanad" w:hint="cs"/>
          <w:rtl/>
        </w:rPr>
        <w:t xml:space="preserve">الدر المختار, </w:t>
      </w:r>
      <w:r w:rsidR="0039065E" w:rsidRPr="00A578D8">
        <w:rPr>
          <w:rFonts w:cs="AL-Mohanad" w:hint="cs"/>
          <w:rtl/>
        </w:rPr>
        <w:t>6/499</w:t>
      </w:r>
    </w:p>
  </w:footnote>
  <w:footnote w:id="7">
    <w:p w:rsidR="00B73D69" w:rsidRPr="00A578D8" w:rsidRDefault="00B73D69" w:rsidP="00BB764C">
      <w:pPr>
        <w:pStyle w:val="a7"/>
        <w:rPr>
          <w:rFonts w:cs="AL-Mohanad"/>
        </w:rPr>
      </w:pPr>
      <w:r w:rsidRPr="00A578D8">
        <w:rPr>
          <w:rStyle w:val="a6"/>
          <w:rFonts w:cs="AL-Mohanad"/>
        </w:rPr>
        <w:footnoteRef/>
      </w:r>
      <w:r w:rsidRPr="00A578D8">
        <w:rPr>
          <w:rFonts w:cs="AL-Mohanad"/>
          <w:rtl/>
        </w:rPr>
        <w:t xml:space="preserve"> </w:t>
      </w:r>
      <w:r w:rsidRPr="00A578D8">
        <w:rPr>
          <w:rFonts w:cs="AL-Mohanad" w:hint="cs"/>
          <w:rtl/>
        </w:rPr>
        <w:t>حاشية الصاوي على الشرح الصغير, 11/282</w:t>
      </w:r>
    </w:p>
  </w:footnote>
  <w:footnote w:id="8">
    <w:p w:rsidR="001F187E" w:rsidRPr="00A578D8" w:rsidRDefault="001F187E" w:rsidP="00BB764C">
      <w:pPr>
        <w:pStyle w:val="a7"/>
        <w:rPr>
          <w:rFonts w:cs="AL-Mohanad"/>
        </w:rPr>
      </w:pPr>
      <w:r w:rsidRPr="00A578D8">
        <w:rPr>
          <w:rStyle w:val="a6"/>
          <w:rFonts w:cs="AL-Mohanad"/>
        </w:rPr>
        <w:footnoteRef/>
      </w:r>
      <w:r w:rsidRPr="00A578D8">
        <w:rPr>
          <w:rFonts w:cs="AL-Mohanad"/>
          <w:rtl/>
        </w:rPr>
        <w:t xml:space="preserve"> </w:t>
      </w:r>
      <w:r w:rsidR="00767870" w:rsidRPr="00A578D8">
        <w:rPr>
          <w:rFonts w:cs="AL-Mohanad" w:hint="cs"/>
          <w:rtl/>
        </w:rPr>
        <w:t>المنهاج شرح صحيح مسلم بن الحجاج, 7/115</w:t>
      </w:r>
    </w:p>
  </w:footnote>
  <w:footnote w:id="9">
    <w:p w:rsidR="005E100D" w:rsidRPr="00A578D8" w:rsidRDefault="005E100D" w:rsidP="00BB764C">
      <w:pPr>
        <w:pStyle w:val="a7"/>
        <w:rPr>
          <w:rFonts w:cs="AL-Mohanad"/>
          <w:rtl/>
        </w:rPr>
      </w:pPr>
      <w:r w:rsidRPr="00A578D8">
        <w:rPr>
          <w:rStyle w:val="a6"/>
          <w:rFonts w:cs="AL-Mohanad"/>
        </w:rPr>
        <w:footnoteRef/>
      </w:r>
      <w:r w:rsidRPr="00A578D8">
        <w:rPr>
          <w:rFonts w:cs="AL-Mohanad"/>
          <w:rtl/>
        </w:rPr>
        <w:t xml:space="preserve"> </w:t>
      </w:r>
      <w:r w:rsidRPr="00A578D8">
        <w:rPr>
          <w:rFonts w:cs="AL-Mohanad" w:hint="cs"/>
          <w:rtl/>
        </w:rPr>
        <w:t xml:space="preserve">كشاف القناع, </w:t>
      </w:r>
      <w:r w:rsidR="00E1420D" w:rsidRPr="00A578D8">
        <w:rPr>
          <w:rFonts w:cs="AL-Mohanad" w:hint="cs"/>
          <w:rtl/>
        </w:rPr>
        <w:t>5/188, مطالب أولي النهى, 5/258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CS Rika S_U normal."/>
        <w:sz w:val="32"/>
        <w:szCs w:val="32"/>
        <w:rtl/>
      </w:rPr>
      <w:alias w:val="Title"/>
      <w:id w:val="751336"/>
      <w:placeholder>
        <w:docPart w:val="C55EEB68372D4445872AABD435FBDDE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813E7" w:rsidRPr="009813E7" w:rsidRDefault="007048A0" w:rsidP="007048A0">
        <w:pPr>
          <w:pStyle w:val="a3"/>
          <w:pBdr>
            <w:bottom w:val="thickThinSmallGap" w:sz="24" w:space="1" w:color="622423" w:themeColor="accent2" w:themeShade="7F"/>
          </w:pBdr>
          <w:jc w:val="left"/>
          <w:rPr>
            <w:rFonts w:asciiTheme="majorHAnsi" w:eastAsiaTheme="majorEastAsia" w:hAnsiTheme="majorHAnsi" w:cs="MCS Rika S_U normal."/>
            <w:sz w:val="32"/>
            <w:szCs w:val="32"/>
          </w:rPr>
        </w:pPr>
        <w:r>
          <w:rPr>
            <w:rFonts w:asciiTheme="majorHAnsi" w:eastAsiaTheme="majorEastAsia" w:hAnsiTheme="majorHAnsi" w:cs="MCS Rika S_U normal." w:hint="cs"/>
            <w:sz w:val="32"/>
            <w:szCs w:val="32"/>
            <w:rtl/>
          </w:rPr>
          <w:t>الافتيات على غير الإمام في فقه الأسرة</w:t>
        </w:r>
      </w:p>
    </w:sdtContent>
  </w:sdt>
  <w:p w:rsidR="009813E7" w:rsidRDefault="009813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0992"/>
    <w:multiLevelType w:val="hybridMultilevel"/>
    <w:tmpl w:val="8962E2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954C6C"/>
    <w:multiLevelType w:val="hybridMultilevel"/>
    <w:tmpl w:val="90FA4950"/>
    <w:lvl w:ilvl="0" w:tplc="365CCA4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981E5C"/>
    <w:multiLevelType w:val="hybridMultilevel"/>
    <w:tmpl w:val="E01636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EF6F2E"/>
    <w:multiLevelType w:val="hybridMultilevel"/>
    <w:tmpl w:val="103663FC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6851248"/>
    <w:multiLevelType w:val="hybridMultilevel"/>
    <w:tmpl w:val="D6E80730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7D4856"/>
    <w:multiLevelType w:val="hybridMultilevel"/>
    <w:tmpl w:val="7E306C5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7F114F"/>
    <w:multiLevelType w:val="hybridMultilevel"/>
    <w:tmpl w:val="8E863A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A04A4C"/>
    <w:multiLevelType w:val="hybridMultilevel"/>
    <w:tmpl w:val="1074A6E0"/>
    <w:lvl w:ilvl="0" w:tplc="7610DE0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3E1DAE"/>
    <w:multiLevelType w:val="hybridMultilevel"/>
    <w:tmpl w:val="144ABD6A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7F642C"/>
    <w:multiLevelType w:val="hybridMultilevel"/>
    <w:tmpl w:val="1EDE6DC6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2E3371E"/>
    <w:multiLevelType w:val="hybridMultilevel"/>
    <w:tmpl w:val="65DE8366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18192E"/>
    <w:multiLevelType w:val="hybridMultilevel"/>
    <w:tmpl w:val="435C7E78"/>
    <w:lvl w:ilvl="0" w:tplc="DE889BF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7609B8"/>
    <w:multiLevelType w:val="hybridMultilevel"/>
    <w:tmpl w:val="10588490"/>
    <w:lvl w:ilvl="0" w:tplc="6D90ACB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706763"/>
    <w:multiLevelType w:val="hybridMultilevel"/>
    <w:tmpl w:val="08D404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CE6DF3"/>
    <w:multiLevelType w:val="hybridMultilevel"/>
    <w:tmpl w:val="84EAABDC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4E268B"/>
    <w:multiLevelType w:val="hybridMultilevel"/>
    <w:tmpl w:val="C900ADB6"/>
    <w:lvl w:ilvl="0" w:tplc="EBE2EA00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C81653A"/>
    <w:multiLevelType w:val="hybridMultilevel"/>
    <w:tmpl w:val="69F2DC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C65F85"/>
    <w:multiLevelType w:val="hybridMultilevel"/>
    <w:tmpl w:val="9D0C4E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4"/>
  </w:num>
  <w:num w:numId="5">
    <w:abstractNumId w:val="6"/>
  </w:num>
  <w:num w:numId="6">
    <w:abstractNumId w:val="17"/>
  </w:num>
  <w:num w:numId="7">
    <w:abstractNumId w:val="2"/>
  </w:num>
  <w:num w:numId="8">
    <w:abstractNumId w:val="9"/>
  </w:num>
  <w:num w:numId="9">
    <w:abstractNumId w:val="16"/>
  </w:num>
  <w:num w:numId="10">
    <w:abstractNumId w:val="1"/>
  </w:num>
  <w:num w:numId="11">
    <w:abstractNumId w:val="11"/>
  </w:num>
  <w:num w:numId="12">
    <w:abstractNumId w:val="15"/>
  </w:num>
  <w:num w:numId="13">
    <w:abstractNumId w:val="12"/>
  </w:num>
  <w:num w:numId="14">
    <w:abstractNumId w:val="0"/>
  </w:num>
  <w:num w:numId="15">
    <w:abstractNumId w:val="7"/>
  </w:num>
  <w:num w:numId="16">
    <w:abstractNumId w:val="13"/>
  </w:num>
  <w:num w:numId="17">
    <w:abstractNumId w:val="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813E7"/>
    <w:rsid w:val="00001157"/>
    <w:rsid w:val="000304D6"/>
    <w:rsid w:val="00074346"/>
    <w:rsid w:val="0007502A"/>
    <w:rsid w:val="00082997"/>
    <w:rsid w:val="000B6475"/>
    <w:rsid w:val="000E2874"/>
    <w:rsid w:val="000F2F11"/>
    <w:rsid w:val="00101517"/>
    <w:rsid w:val="00144CBB"/>
    <w:rsid w:val="00161099"/>
    <w:rsid w:val="00166154"/>
    <w:rsid w:val="00167795"/>
    <w:rsid w:val="001B0CA0"/>
    <w:rsid w:val="001B55CF"/>
    <w:rsid w:val="001C5245"/>
    <w:rsid w:val="001E2439"/>
    <w:rsid w:val="001F187E"/>
    <w:rsid w:val="001F2395"/>
    <w:rsid w:val="001F7993"/>
    <w:rsid w:val="00225AA9"/>
    <w:rsid w:val="00225DC1"/>
    <w:rsid w:val="0023174F"/>
    <w:rsid w:val="00233CCC"/>
    <w:rsid w:val="00242FE5"/>
    <w:rsid w:val="00247D16"/>
    <w:rsid w:val="00255373"/>
    <w:rsid w:val="00266FDF"/>
    <w:rsid w:val="00275985"/>
    <w:rsid w:val="002760B4"/>
    <w:rsid w:val="0028120D"/>
    <w:rsid w:val="002847DC"/>
    <w:rsid w:val="002B1F5D"/>
    <w:rsid w:val="002B2EBE"/>
    <w:rsid w:val="00300C4E"/>
    <w:rsid w:val="0039065E"/>
    <w:rsid w:val="00397C0F"/>
    <w:rsid w:val="003B08FB"/>
    <w:rsid w:val="003B49AE"/>
    <w:rsid w:val="003B4F5C"/>
    <w:rsid w:val="003D4496"/>
    <w:rsid w:val="00404039"/>
    <w:rsid w:val="00421EB4"/>
    <w:rsid w:val="00423C6B"/>
    <w:rsid w:val="00427E95"/>
    <w:rsid w:val="0045300F"/>
    <w:rsid w:val="004944B0"/>
    <w:rsid w:val="004A1B24"/>
    <w:rsid w:val="004A7C5F"/>
    <w:rsid w:val="004D4521"/>
    <w:rsid w:val="00532FB8"/>
    <w:rsid w:val="00547093"/>
    <w:rsid w:val="0059638A"/>
    <w:rsid w:val="005A104F"/>
    <w:rsid w:val="005A683C"/>
    <w:rsid w:val="005C5C6B"/>
    <w:rsid w:val="005D6AF4"/>
    <w:rsid w:val="005E100D"/>
    <w:rsid w:val="00616090"/>
    <w:rsid w:val="0066208C"/>
    <w:rsid w:val="006724A3"/>
    <w:rsid w:val="006B736F"/>
    <w:rsid w:val="006C02BF"/>
    <w:rsid w:val="006D4994"/>
    <w:rsid w:val="006D6405"/>
    <w:rsid w:val="006E2763"/>
    <w:rsid w:val="006E66E0"/>
    <w:rsid w:val="007048A0"/>
    <w:rsid w:val="0071030C"/>
    <w:rsid w:val="00713929"/>
    <w:rsid w:val="0074364A"/>
    <w:rsid w:val="007627A3"/>
    <w:rsid w:val="00767870"/>
    <w:rsid w:val="00776041"/>
    <w:rsid w:val="00787294"/>
    <w:rsid w:val="007901AB"/>
    <w:rsid w:val="007A11DC"/>
    <w:rsid w:val="007A3703"/>
    <w:rsid w:val="007E174F"/>
    <w:rsid w:val="0082054F"/>
    <w:rsid w:val="00820A0B"/>
    <w:rsid w:val="00823B8D"/>
    <w:rsid w:val="00872779"/>
    <w:rsid w:val="00885753"/>
    <w:rsid w:val="008947C9"/>
    <w:rsid w:val="008B0AC7"/>
    <w:rsid w:val="008D4385"/>
    <w:rsid w:val="008E75D6"/>
    <w:rsid w:val="008F552C"/>
    <w:rsid w:val="009007EB"/>
    <w:rsid w:val="00904805"/>
    <w:rsid w:val="00922C18"/>
    <w:rsid w:val="009428F8"/>
    <w:rsid w:val="00966BA9"/>
    <w:rsid w:val="009813E7"/>
    <w:rsid w:val="009A1A38"/>
    <w:rsid w:val="009A6441"/>
    <w:rsid w:val="009A7598"/>
    <w:rsid w:val="009C6A1A"/>
    <w:rsid w:val="009E2BD0"/>
    <w:rsid w:val="009E5CC6"/>
    <w:rsid w:val="00A30659"/>
    <w:rsid w:val="00A542BE"/>
    <w:rsid w:val="00A578D8"/>
    <w:rsid w:val="00A57DBF"/>
    <w:rsid w:val="00A66C37"/>
    <w:rsid w:val="00A723E3"/>
    <w:rsid w:val="00A92BA9"/>
    <w:rsid w:val="00AA1B1A"/>
    <w:rsid w:val="00AB537D"/>
    <w:rsid w:val="00AC127C"/>
    <w:rsid w:val="00AC4261"/>
    <w:rsid w:val="00AD2F90"/>
    <w:rsid w:val="00B04E54"/>
    <w:rsid w:val="00B108E0"/>
    <w:rsid w:val="00B5036F"/>
    <w:rsid w:val="00B64B1D"/>
    <w:rsid w:val="00B65F5B"/>
    <w:rsid w:val="00B73D69"/>
    <w:rsid w:val="00B740D6"/>
    <w:rsid w:val="00B81AA3"/>
    <w:rsid w:val="00B8245F"/>
    <w:rsid w:val="00B84933"/>
    <w:rsid w:val="00B9552E"/>
    <w:rsid w:val="00BA193C"/>
    <w:rsid w:val="00BB014D"/>
    <w:rsid w:val="00BB0BFE"/>
    <w:rsid w:val="00BB764C"/>
    <w:rsid w:val="00BD2C74"/>
    <w:rsid w:val="00C1350E"/>
    <w:rsid w:val="00C23FFC"/>
    <w:rsid w:val="00C269DE"/>
    <w:rsid w:val="00C54BB9"/>
    <w:rsid w:val="00C66035"/>
    <w:rsid w:val="00C7535C"/>
    <w:rsid w:val="00C82936"/>
    <w:rsid w:val="00C94669"/>
    <w:rsid w:val="00CA6F67"/>
    <w:rsid w:val="00D22365"/>
    <w:rsid w:val="00D42D40"/>
    <w:rsid w:val="00D62B20"/>
    <w:rsid w:val="00D65B8C"/>
    <w:rsid w:val="00D73905"/>
    <w:rsid w:val="00DA2F44"/>
    <w:rsid w:val="00DE7BA1"/>
    <w:rsid w:val="00DF20ED"/>
    <w:rsid w:val="00E1420D"/>
    <w:rsid w:val="00E162CA"/>
    <w:rsid w:val="00E35A38"/>
    <w:rsid w:val="00E42DAC"/>
    <w:rsid w:val="00E639D6"/>
    <w:rsid w:val="00EA4DE1"/>
    <w:rsid w:val="00EE7DF7"/>
    <w:rsid w:val="00F06049"/>
    <w:rsid w:val="00F11FA7"/>
    <w:rsid w:val="00F20536"/>
    <w:rsid w:val="00F2077A"/>
    <w:rsid w:val="00F327DC"/>
    <w:rsid w:val="00F40EF2"/>
    <w:rsid w:val="00F45209"/>
    <w:rsid w:val="00F92E0A"/>
    <w:rsid w:val="00FB0AE2"/>
    <w:rsid w:val="00FD39B2"/>
    <w:rsid w:val="00FE626E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13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9813E7"/>
  </w:style>
  <w:style w:type="paragraph" w:styleId="a4">
    <w:name w:val="footer"/>
    <w:basedOn w:val="a"/>
    <w:link w:val="Char0"/>
    <w:uiPriority w:val="99"/>
    <w:unhideWhenUsed/>
    <w:rsid w:val="009813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9813E7"/>
  </w:style>
  <w:style w:type="paragraph" w:styleId="a5">
    <w:name w:val="Balloon Text"/>
    <w:basedOn w:val="a"/>
    <w:link w:val="Char1"/>
    <w:uiPriority w:val="99"/>
    <w:semiHidden/>
    <w:unhideWhenUsed/>
    <w:rsid w:val="00981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813E7"/>
    <w:rPr>
      <w:rFonts w:ascii="Tahoma" w:hAnsi="Tahoma" w:cs="Tahoma"/>
      <w:sz w:val="16"/>
      <w:szCs w:val="16"/>
    </w:rPr>
  </w:style>
  <w:style w:type="character" w:styleId="a6">
    <w:name w:val="footnote reference"/>
    <w:aliases w:val="Footnote Reference"/>
    <w:basedOn w:val="a0"/>
    <w:semiHidden/>
    <w:rsid w:val="00AB537D"/>
    <w:rPr>
      <w:dstrike w:val="0"/>
      <w:kern w:val="0"/>
      <w:position w:val="10"/>
      <w:szCs w:val="28"/>
      <w:vertAlign w:val="baseline"/>
    </w:rPr>
  </w:style>
  <w:style w:type="paragraph" w:styleId="a7">
    <w:name w:val="footnote text"/>
    <w:aliases w:val="Footnote Text"/>
    <w:basedOn w:val="a"/>
    <w:link w:val="Char2"/>
    <w:semiHidden/>
    <w:rsid w:val="00AB537D"/>
    <w:pPr>
      <w:widowControl w:val="0"/>
      <w:spacing w:after="0" w:line="240" w:lineRule="atLeast"/>
      <w:ind w:firstLine="454"/>
      <w:jc w:val="lowKashida"/>
    </w:pPr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character" w:customStyle="1" w:styleId="Char2">
    <w:name w:val="نص حاشية سفلية Char"/>
    <w:aliases w:val="Footnote Text Char"/>
    <w:basedOn w:val="a0"/>
    <w:link w:val="a7"/>
    <w:semiHidden/>
    <w:rsid w:val="00AB537D"/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character" w:customStyle="1" w:styleId="style11">
    <w:name w:val="style11"/>
    <w:basedOn w:val="a0"/>
    <w:rsid w:val="00AB537D"/>
    <w:rPr>
      <w:rFonts w:cs="Traditional Arabic" w:hint="cs"/>
      <w:b/>
      <w:bCs/>
      <w:color w:val="000000"/>
      <w:sz w:val="36"/>
      <w:szCs w:val="36"/>
    </w:rPr>
  </w:style>
  <w:style w:type="character" w:customStyle="1" w:styleId="srch1">
    <w:name w:val="srch1"/>
    <w:basedOn w:val="a0"/>
    <w:rsid w:val="00AB537D"/>
    <w:rPr>
      <w:rFonts w:cs="Traditional Arabic" w:hint="cs"/>
      <w:b/>
      <w:bCs/>
      <w:color w:val="FF0000"/>
      <w:sz w:val="36"/>
      <w:szCs w:val="36"/>
    </w:rPr>
  </w:style>
  <w:style w:type="paragraph" w:styleId="a8">
    <w:name w:val="List Paragraph"/>
    <w:basedOn w:val="a"/>
    <w:uiPriority w:val="34"/>
    <w:qFormat/>
    <w:rsid w:val="00AC42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5EEB68372D4445872AABD435FBDDE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5185838-12EE-4A18-9A08-0FDA7D47637B}"/>
      </w:docPartPr>
      <w:docPartBody>
        <w:p w:rsidR="003810B6" w:rsidRDefault="00ED6D42" w:rsidP="00ED6D42">
          <w:pPr>
            <w:pStyle w:val="C55EEB68372D4445872AABD435FBDDE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C_SHARJAH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6D42"/>
    <w:rsid w:val="00075F63"/>
    <w:rsid w:val="000822E6"/>
    <w:rsid w:val="000A6E7B"/>
    <w:rsid w:val="000C79DA"/>
    <w:rsid w:val="0011652C"/>
    <w:rsid w:val="001E103F"/>
    <w:rsid w:val="001F57EF"/>
    <w:rsid w:val="00261F97"/>
    <w:rsid w:val="00317D59"/>
    <w:rsid w:val="00322CD7"/>
    <w:rsid w:val="003810B6"/>
    <w:rsid w:val="0047159F"/>
    <w:rsid w:val="004B3E1D"/>
    <w:rsid w:val="005E71BE"/>
    <w:rsid w:val="0063418D"/>
    <w:rsid w:val="007A60DB"/>
    <w:rsid w:val="007E565B"/>
    <w:rsid w:val="008341AC"/>
    <w:rsid w:val="00851208"/>
    <w:rsid w:val="008D3944"/>
    <w:rsid w:val="00951984"/>
    <w:rsid w:val="0097297F"/>
    <w:rsid w:val="00C57651"/>
    <w:rsid w:val="00C9522D"/>
    <w:rsid w:val="00CB47DB"/>
    <w:rsid w:val="00CD48DB"/>
    <w:rsid w:val="00D3435E"/>
    <w:rsid w:val="00DC3B7D"/>
    <w:rsid w:val="00DF0AEC"/>
    <w:rsid w:val="00E97459"/>
    <w:rsid w:val="00ED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B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057EED95914DC28BEB108576EFF9AE">
    <w:name w:val="E8057EED95914DC28BEB108576EFF9AE"/>
    <w:rsid w:val="00ED6D42"/>
    <w:pPr>
      <w:bidi/>
    </w:pPr>
  </w:style>
  <w:style w:type="paragraph" w:customStyle="1" w:styleId="C55EEB68372D4445872AABD435FBDDE1">
    <w:name w:val="C55EEB68372D4445872AABD435FBDDE1"/>
    <w:rsid w:val="00ED6D42"/>
    <w:pPr>
      <w:bidi/>
    </w:pPr>
  </w:style>
  <w:style w:type="paragraph" w:customStyle="1" w:styleId="0C1BEDDC938E4791BD85FA11CCDF5AA6">
    <w:name w:val="0C1BEDDC938E4791BD85FA11CCDF5AA6"/>
    <w:rsid w:val="00ED6D42"/>
    <w:pPr>
      <w:bidi/>
    </w:pPr>
  </w:style>
  <w:style w:type="paragraph" w:customStyle="1" w:styleId="2B2793F8533A4D10B9A04367C50985AA">
    <w:name w:val="2B2793F8533A4D10B9A04367C50985AA"/>
    <w:rsid w:val="0097297F"/>
    <w:pPr>
      <w:bidi/>
    </w:pPr>
  </w:style>
  <w:style w:type="paragraph" w:customStyle="1" w:styleId="9F4ADC52C4264F80A5B03A2F2FE38681">
    <w:name w:val="9F4ADC52C4264F80A5B03A2F2FE38681"/>
    <w:rsid w:val="00C57651"/>
    <w:pPr>
      <w:bidi/>
    </w:pPr>
  </w:style>
  <w:style w:type="paragraph" w:customStyle="1" w:styleId="FBF487B9B2E14E9F84723236C2E2AF9D">
    <w:name w:val="FBF487B9B2E14E9F84723236C2E2AF9D"/>
    <w:rsid w:val="00951984"/>
    <w:pPr>
      <w:bidi/>
    </w:pPr>
  </w:style>
  <w:style w:type="paragraph" w:customStyle="1" w:styleId="B75BDD43F6C04486820812648FE59F61">
    <w:name w:val="B75BDD43F6C04486820812648FE59F61"/>
    <w:rsid w:val="00317D5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D228E5F-0082-421A-813B-1FAB5819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الافتيات على غير الإمام في فقه الأسرة</vt:lpstr>
    </vt:vector>
  </TitlesOfParts>
  <Company>TOSHIBA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الافتيات على غير الإمام في فقه الأسرة</dc:title>
  <dc:creator>a</dc:creator>
  <cp:lastModifiedBy>User</cp:lastModifiedBy>
  <cp:revision>8</cp:revision>
  <cp:lastPrinted>2010-04-30T16:53:00Z</cp:lastPrinted>
  <dcterms:created xsi:type="dcterms:W3CDTF">2010-01-21T13:00:00Z</dcterms:created>
  <dcterms:modified xsi:type="dcterms:W3CDTF">2010-04-30T16:55:00Z</dcterms:modified>
</cp:coreProperties>
</file>