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51" w:rsidRPr="00396851" w:rsidRDefault="00A34078" w:rsidP="008A531A">
      <w:pPr>
        <w:ind w:firstLine="0"/>
        <w:jc w:val="center"/>
        <w:rPr>
          <w:rtl/>
        </w:rPr>
      </w:pPr>
      <w:r>
        <w:rPr>
          <w:noProof/>
          <w:rtl/>
        </w:rPr>
        <w:pict>
          <v:rect id="_x0000_s1033" style="position:absolute;left:0;text-align:left;margin-left:-20.65pt;margin-top:660.35pt;width:457.5pt;height:56.25pt;z-index:251660288" stroked="f">
            <w10:wrap anchorx="page"/>
          </v:rect>
        </w:pict>
      </w:r>
      <w:r>
        <w:rPr>
          <w:noProof/>
          <w:rtl/>
        </w:rPr>
        <w:pict>
          <v:rect id="_x0000_s1032" style="position:absolute;left:0;text-align:left;margin-left:-13.9pt;margin-top:-51.8pt;width:457.5pt;height:56.25pt;z-index:251659264" stroked="f">
            <w10:wrap anchorx="page"/>
          </v:rect>
        </w:pict>
      </w:r>
      <w:r>
        <w:rPr>
          <w:noProof/>
          <w:rtl/>
        </w:rPr>
        <w:pict>
          <v:group id="_x0000_s1026" style="position:absolute;left:0;text-align:left;margin-left:0;margin-top:0;width:441pt;height:612pt;z-index:251658240;mso-position-horizontal:center;mso-position-horizontal-relative:margin;mso-position-vertical:center;mso-position-vertical-relative:margin" coordorigin="1443,2010" coordsize="8820,12240">
            <v:group id="_x0000_s1027" style="position:absolute;left:1443;top:2010;width:8820;height:12240" coordorigin="1443,2010" coordsize="8820,12240">
              <v:rect id="_x0000_s1028" style="position:absolute;left:1800;top:2340;width:8100;height:11520" filled="f" strokeweight="3pt"/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29" type="#_x0000_t21" style="position:absolute;left:1443;top:2010;width:8820;height:12240" filled="f" strokeweight="6pt">
                <v:stroke linestyle="thinThi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1778;top:2318;width:8143;height:11520" filled="f" stroked="f">
              <v:textbox style="mso-next-textbox:#_x0000_s1030">
                <w:txbxContent>
                  <w:p w:rsidR="00396851" w:rsidRDefault="00396851" w:rsidP="00396851">
                    <w:pPr>
                      <w:jc w:val="center"/>
                      <w:rPr>
                        <w:sz w:val="72"/>
                        <w:szCs w:val="72"/>
                        <w:rtl/>
                      </w:rPr>
                    </w:pPr>
                  </w:p>
                  <w:p w:rsidR="00396851" w:rsidRDefault="00396851" w:rsidP="00396851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396851" w:rsidRDefault="00396851" w:rsidP="00396851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396851" w:rsidRDefault="00396851" w:rsidP="00396851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F776AA" w:rsidRDefault="00F776AA" w:rsidP="00396851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F776AA" w:rsidRDefault="00F776AA" w:rsidP="00396851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F776AA" w:rsidRDefault="00F776AA" w:rsidP="00396851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F776AA" w:rsidRDefault="00F776AA" w:rsidP="00396851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F776AA" w:rsidRDefault="00F776AA" w:rsidP="00396851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F776AA" w:rsidRPr="00AB463C" w:rsidRDefault="00F776AA" w:rsidP="00396851">
                    <w:pPr>
                      <w:jc w:val="center"/>
                      <w:rPr>
                        <w:rFonts w:cs="Shurooq 03"/>
                        <w:sz w:val="16"/>
                        <w:szCs w:val="14"/>
                      </w:rPr>
                    </w:pPr>
                  </w:p>
                  <w:p w:rsidR="00396851" w:rsidRPr="00F2077A" w:rsidRDefault="00F776AA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Hesham Fostat"/>
                        <w:sz w:val="70"/>
                        <w:szCs w:val="70"/>
                        <w:rtl/>
                      </w:rPr>
                    </w:pPr>
                    <w:r>
                      <w:rPr>
                        <w:rFonts w:cs="Hesham Fostat" w:hint="cs"/>
                        <w:sz w:val="70"/>
                        <w:szCs w:val="70"/>
                        <w:rtl/>
                      </w:rPr>
                      <w:t>المبحث الرابع</w:t>
                    </w:r>
                  </w:p>
                  <w:p w:rsidR="00396851" w:rsidRPr="00F776AA" w:rsidRDefault="00F776AA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MCS Rika S_I normal."/>
                        <w:sz w:val="68"/>
                        <w:szCs w:val="68"/>
                        <w:rtl/>
                      </w:rPr>
                    </w:pPr>
                    <w:r w:rsidRPr="00F776AA">
                      <w:rPr>
                        <w:rFonts w:cs="MCS Rika S_I normal." w:hint="cs"/>
                        <w:sz w:val="68"/>
                        <w:szCs w:val="68"/>
                        <w:rtl/>
                      </w:rPr>
                      <w:t>المراد بغير الإمام</w:t>
                    </w:r>
                  </w:p>
                  <w:p w:rsidR="00396851" w:rsidRPr="00760296" w:rsidRDefault="00396851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sz w:val="46"/>
                        <w:szCs w:val="44"/>
                        <w:rtl/>
                      </w:rPr>
                    </w:pPr>
                  </w:p>
                  <w:p w:rsidR="00396851" w:rsidRPr="00AB463C" w:rsidRDefault="00396851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AL-Mohanad"/>
                        <w:sz w:val="48"/>
                        <w:szCs w:val="46"/>
                        <w:rtl/>
                      </w:rPr>
                    </w:pPr>
                  </w:p>
                  <w:p w:rsidR="00396851" w:rsidRPr="00D96D77" w:rsidRDefault="00396851" w:rsidP="00396851">
                    <w:pPr>
                      <w:jc w:val="center"/>
                      <w:rPr>
                        <w:sz w:val="36"/>
                      </w:rPr>
                    </w:pPr>
                  </w:p>
                </w:txbxContent>
              </v:textbox>
            </v:shape>
            <w10:wrap anchorx="margin" anchory="margin"/>
          </v:group>
        </w:pict>
      </w:r>
      <w:r w:rsidR="00396851" w:rsidRPr="00D73905">
        <w:rPr>
          <w:rFonts w:cs="AL-Mohanad"/>
          <w:b/>
          <w:bCs/>
          <w:sz w:val="36"/>
          <w:szCs w:val="36"/>
          <w:rtl/>
        </w:rPr>
        <w:br w:type="page"/>
      </w:r>
    </w:p>
    <w:p w:rsidR="00B018C0" w:rsidRPr="008C6B46" w:rsidRDefault="00B018C0" w:rsidP="00B018C0">
      <w:pPr>
        <w:spacing w:after="0" w:line="240" w:lineRule="auto"/>
        <w:ind w:firstLine="0"/>
        <w:jc w:val="center"/>
        <w:rPr>
          <w:rFonts w:cs="AL-Mohanad Bold"/>
          <w:sz w:val="40"/>
          <w:szCs w:val="40"/>
          <w:rtl/>
        </w:rPr>
      </w:pPr>
      <w:r w:rsidRPr="008C6B46">
        <w:rPr>
          <w:rFonts w:cs="AL-Mohanad Bold" w:hint="cs"/>
          <w:sz w:val="40"/>
          <w:szCs w:val="40"/>
          <w:rtl/>
        </w:rPr>
        <w:lastRenderedPageBreak/>
        <w:t>المبحث الرابع: المراد بغير الإمام</w:t>
      </w:r>
    </w:p>
    <w:p w:rsidR="00B018C0" w:rsidRPr="00856557" w:rsidRDefault="00B018C0" w:rsidP="00B018C0">
      <w:pPr>
        <w:spacing w:after="0" w:line="240" w:lineRule="auto"/>
        <w:ind w:firstLine="0"/>
        <w:jc w:val="center"/>
        <w:rPr>
          <w:rFonts w:cs="AL-Mohanad Bold"/>
          <w:sz w:val="28"/>
          <w:szCs w:val="28"/>
          <w:rtl/>
        </w:rPr>
      </w:pPr>
    </w:p>
    <w:p w:rsidR="00D06628" w:rsidRPr="00856557" w:rsidRDefault="00603E47" w:rsidP="00D06628">
      <w:pPr>
        <w:spacing w:after="0" w:line="240" w:lineRule="auto"/>
        <w:ind w:firstLine="281"/>
        <w:rPr>
          <w:rFonts w:cs="AL-Mohanad"/>
          <w:sz w:val="36"/>
          <w:szCs w:val="36"/>
          <w:rtl/>
        </w:rPr>
      </w:pPr>
      <w:r>
        <w:rPr>
          <w:rFonts w:cs="AL-Mohanad" w:hint="cs"/>
          <w:sz w:val="36"/>
          <w:szCs w:val="36"/>
          <w:rtl/>
        </w:rPr>
        <w:t xml:space="preserve">بعد أن ذكرت </w:t>
      </w:r>
      <w:r w:rsidR="008A531A" w:rsidRPr="00856557">
        <w:rPr>
          <w:rFonts w:cs="AL-Mohanad" w:hint="cs"/>
          <w:sz w:val="36"/>
          <w:szCs w:val="36"/>
          <w:rtl/>
        </w:rPr>
        <w:t xml:space="preserve">بيان معنى لفظة " </w:t>
      </w:r>
      <w:r w:rsidR="008A531A" w:rsidRPr="00856557">
        <w:rPr>
          <w:rFonts w:cs="AL-Mohanad" w:hint="cs"/>
          <w:b/>
          <w:bCs/>
          <w:sz w:val="36"/>
          <w:szCs w:val="36"/>
          <w:rtl/>
        </w:rPr>
        <w:t xml:space="preserve">الإمام </w:t>
      </w:r>
      <w:r w:rsidR="008A531A" w:rsidRPr="00856557">
        <w:rPr>
          <w:rFonts w:cs="AL-Mohanad" w:hint="cs"/>
          <w:sz w:val="36"/>
          <w:szCs w:val="36"/>
          <w:rtl/>
        </w:rPr>
        <w:t xml:space="preserve">" في المبحث السابق </w:t>
      </w:r>
      <w:r w:rsidR="00402238" w:rsidRPr="00856557">
        <w:rPr>
          <w:rFonts w:cs="AL-Mohanad" w:hint="cs"/>
          <w:sz w:val="36"/>
          <w:szCs w:val="36"/>
          <w:rtl/>
        </w:rPr>
        <w:t>أستطيع أن أقول بأن المراد بغير الإمام, هو كل من له ولاية صغرى لا تخوله</w:t>
      </w:r>
      <w:r w:rsidR="00B018C0" w:rsidRPr="00856557">
        <w:rPr>
          <w:rFonts w:cs="AL-Mohanad" w:hint="cs"/>
          <w:sz w:val="36"/>
          <w:szCs w:val="36"/>
          <w:rtl/>
        </w:rPr>
        <w:t xml:space="preserve"> في النظر في أمور المسلمين عامتهم </w:t>
      </w:r>
      <w:r w:rsidR="00402238" w:rsidRPr="00856557">
        <w:rPr>
          <w:rFonts w:cs="AL-Mohanad" w:hint="cs"/>
          <w:sz w:val="36"/>
          <w:szCs w:val="36"/>
          <w:rtl/>
        </w:rPr>
        <w:t>وخاصتهم.</w:t>
      </w:r>
    </w:p>
    <w:p w:rsidR="00B018C0" w:rsidRPr="00856557" w:rsidRDefault="00857544" w:rsidP="00D06628">
      <w:pPr>
        <w:spacing w:after="0" w:line="240" w:lineRule="auto"/>
        <w:ind w:firstLine="281"/>
        <w:rPr>
          <w:rFonts w:cs="AL-Mohanad"/>
          <w:sz w:val="36"/>
          <w:szCs w:val="36"/>
          <w:rtl/>
        </w:rPr>
      </w:pPr>
      <w:r w:rsidRPr="00856557">
        <w:rPr>
          <w:rFonts w:cs="AL-Mohanad" w:hint="cs"/>
          <w:sz w:val="36"/>
          <w:szCs w:val="36"/>
          <w:rtl/>
        </w:rPr>
        <w:t>وقد تأتي هذه الولاية بصور مختل</w:t>
      </w:r>
      <w:r w:rsidR="00402238" w:rsidRPr="00856557">
        <w:rPr>
          <w:rFonts w:cs="AL-Mohanad" w:hint="cs"/>
          <w:sz w:val="36"/>
          <w:szCs w:val="36"/>
          <w:rtl/>
        </w:rPr>
        <w:t>فة, كالإمامة في الصلاة,</w:t>
      </w:r>
      <w:r w:rsidR="00B018C0" w:rsidRPr="00856557">
        <w:rPr>
          <w:rFonts w:cs="AL-Mohanad" w:hint="cs"/>
          <w:sz w:val="36"/>
          <w:szCs w:val="36"/>
          <w:rtl/>
        </w:rPr>
        <w:t xml:space="preserve"> فإمام المسجد له ولاية على مسجده وهو الأولى بالإمامة فيه.</w:t>
      </w:r>
    </w:p>
    <w:p w:rsidR="00B018C0" w:rsidRPr="00856557" w:rsidRDefault="00402238" w:rsidP="00D06628">
      <w:pPr>
        <w:spacing w:after="0" w:line="240" w:lineRule="auto"/>
        <w:ind w:firstLine="281"/>
        <w:rPr>
          <w:rFonts w:cs="AL-Mohanad"/>
          <w:sz w:val="36"/>
          <w:szCs w:val="36"/>
          <w:rtl/>
        </w:rPr>
      </w:pPr>
      <w:r w:rsidRPr="00856557">
        <w:rPr>
          <w:rFonts w:cs="AL-Mohanad" w:hint="cs"/>
          <w:sz w:val="36"/>
          <w:szCs w:val="36"/>
          <w:rtl/>
        </w:rPr>
        <w:t xml:space="preserve"> والولاية في عقد النكاح,</w:t>
      </w:r>
      <w:r w:rsidR="00B018C0" w:rsidRPr="00856557">
        <w:rPr>
          <w:rFonts w:cs="AL-Mohanad" w:hint="cs"/>
          <w:sz w:val="36"/>
          <w:szCs w:val="36"/>
          <w:rtl/>
        </w:rPr>
        <w:t xml:space="preserve"> فولي الصغيرة والمجنون لا يتقدم عليه في تزويجهم, إلا لعارض يمنعه من حقه في هذه الولاية .</w:t>
      </w:r>
    </w:p>
    <w:p w:rsidR="00402238" w:rsidRPr="00856557" w:rsidRDefault="00F41A71" w:rsidP="00D06628">
      <w:pPr>
        <w:spacing w:after="0" w:line="240" w:lineRule="auto"/>
        <w:ind w:firstLine="281"/>
        <w:rPr>
          <w:rFonts w:cs="AL-Mohanad"/>
          <w:sz w:val="36"/>
          <w:szCs w:val="36"/>
          <w:rtl/>
        </w:rPr>
      </w:pPr>
      <w:r w:rsidRPr="00856557">
        <w:rPr>
          <w:rFonts w:cs="AL-Mohanad" w:hint="cs"/>
          <w:sz w:val="36"/>
          <w:szCs w:val="36"/>
          <w:rtl/>
        </w:rPr>
        <w:t>وتولي النظر على الأوقاف, وأموال اليتامى والقصر ومن به سفه</w:t>
      </w:r>
      <w:r w:rsidR="00B018C0" w:rsidRPr="00856557">
        <w:rPr>
          <w:rFonts w:cs="AL-Mohanad" w:hint="cs"/>
          <w:sz w:val="36"/>
          <w:szCs w:val="36"/>
          <w:rtl/>
        </w:rPr>
        <w:t>, فالناظر لهذه الأوقاف والمتولي عليها هو الذي له الحق في التصرف فيها بما لا يعود على الوقف أو أموال اليتامى والقصر بالهلاك, أو الإتلاف</w:t>
      </w:r>
      <w:r w:rsidRPr="00856557">
        <w:rPr>
          <w:rFonts w:cs="AL-Mohanad" w:hint="cs"/>
          <w:sz w:val="36"/>
          <w:szCs w:val="36"/>
          <w:rtl/>
        </w:rPr>
        <w:t xml:space="preserve"> .</w:t>
      </w:r>
    </w:p>
    <w:p w:rsidR="00F41A71" w:rsidRDefault="00F41A71" w:rsidP="00D06628">
      <w:pPr>
        <w:spacing w:after="0" w:line="240" w:lineRule="auto"/>
        <w:ind w:firstLine="281"/>
        <w:rPr>
          <w:rFonts w:cs="Traditional Arabic"/>
          <w:sz w:val="36"/>
          <w:szCs w:val="36"/>
          <w:rtl/>
        </w:rPr>
      </w:pPr>
    </w:p>
    <w:p w:rsidR="00F41A71" w:rsidRPr="008A531A" w:rsidRDefault="00F41A71" w:rsidP="00D06628">
      <w:pPr>
        <w:spacing w:after="0" w:line="240" w:lineRule="auto"/>
        <w:ind w:firstLine="281"/>
        <w:rPr>
          <w:rFonts w:cs="Traditional Arabic"/>
          <w:sz w:val="36"/>
          <w:szCs w:val="36"/>
          <w:rtl/>
        </w:rPr>
      </w:pPr>
    </w:p>
    <w:p w:rsidR="000E08F2" w:rsidRPr="00C94127" w:rsidRDefault="000E08F2" w:rsidP="00C94127">
      <w:pPr>
        <w:tabs>
          <w:tab w:val="left" w:pos="720"/>
          <w:tab w:val="left" w:pos="1260"/>
        </w:tabs>
        <w:ind w:left="360" w:firstLine="0"/>
        <w:jc w:val="center"/>
        <w:rPr>
          <w:rFonts w:cs="DecoType Naskh Variants"/>
          <w:sz w:val="36"/>
          <w:szCs w:val="36"/>
          <w:rtl/>
        </w:rPr>
      </w:pPr>
    </w:p>
    <w:sectPr w:rsidR="000E08F2" w:rsidRPr="00C94127" w:rsidSect="000A42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985" w:bottom="1418" w:left="1418" w:header="708" w:footer="708" w:gutter="0"/>
      <w:pgNumType w:start="3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E82" w:rsidRDefault="003E4E82" w:rsidP="00396851">
      <w:pPr>
        <w:spacing w:after="0" w:line="240" w:lineRule="auto"/>
      </w:pPr>
      <w:r>
        <w:separator/>
      </w:r>
    </w:p>
  </w:endnote>
  <w:endnote w:type="continuationSeparator" w:id="1">
    <w:p w:rsidR="003E4E82" w:rsidRDefault="003E4E82" w:rsidP="00396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1A" w:rsidRDefault="00D7201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E3" w:rsidRPr="00D7201A" w:rsidRDefault="00A34078" w:rsidP="000A42E3">
    <w:pPr>
      <w:pStyle w:val="a4"/>
      <w:pBdr>
        <w:top w:val="thinThickSmallGap" w:sz="24" w:space="1" w:color="622423" w:themeColor="accent2" w:themeShade="7F"/>
      </w:pBdr>
      <w:ind w:firstLine="0"/>
      <w:jc w:val="center"/>
      <w:rPr>
        <w:rFonts w:asciiTheme="majorHAnsi" w:hAnsiTheme="majorHAnsi" w:cs="AL-Mohanad"/>
        <w:sz w:val="28"/>
        <w:szCs w:val="28"/>
      </w:rPr>
    </w:pPr>
    <w:r w:rsidRPr="00D7201A">
      <w:rPr>
        <w:rFonts w:cs="AL-Mohanad"/>
        <w:sz w:val="28"/>
        <w:szCs w:val="28"/>
      </w:rPr>
      <w:fldChar w:fldCharType="begin"/>
    </w:r>
    <w:r w:rsidRPr="00D7201A">
      <w:rPr>
        <w:rFonts w:cs="AL-Mohanad"/>
        <w:sz w:val="28"/>
        <w:szCs w:val="28"/>
      </w:rPr>
      <w:instrText xml:space="preserve"> PAGE   \* MERGEFORMAT </w:instrText>
    </w:r>
    <w:r w:rsidRPr="00D7201A">
      <w:rPr>
        <w:rFonts w:cs="AL-Mohanad"/>
        <w:sz w:val="28"/>
        <w:szCs w:val="28"/>
      </w:rPr>
      <w:fldChar w:fldCharType="separate"/>
    </w:r>
    <w:r w:rsidR="00D7201A" w:rsidRPr="00D7201A">
      <w:rPr>
        <w:rFonts w:asciiTheme="majorHAnsi" w:hAnsiTheme="majorHAnsi" w:cs="AL-Mohanad"/>
        <w:noProof/>
        <w:sz w:val="28"/>
        <w:szCs w:val="28"/>
        <w:rtl/>
        <w:lang w:val="ar-SA"/>
      </w:rPr>
      <w:t>34</w:t>
    </w:r>
    <w:r w:rsidRPr="00D7201A">
      <w:rPr>
        <w:rFonts w:cs="AL-Mohanad"/>
        <w:sz w:val="28"/>
        <w:szCs w:val="28"/>
      </w:rPr>
      <w:fldChar w:fldCharType="end"/>
    </w:r>
  </w:p>
  <w:p w:rsidR="00396851" w:rsidRDefault="0039685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1A" w:rsidRDefault="00D7201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E82" w:rsidRDefault="003E4E82" w:rsidP="00396851">
      <w:pPr>
        <w:spacing w:after="0" w:line="240" w:lineRule="auto"/>
      </w:pPr>
      <w:r>
        <w:separator/>
      </w:r>
    </w:p>
  </w:footnote>
  <w:footnote w:type="continuationSeparator" w:id="1">
    <w:p w:rsidR="003E4E82" w:rsidRDefault="003E4E82" w:rsidP="00396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1A" w:rsidRDefault="00D7201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CS Rika S_U normal."/>
        <w:sz w:val="32"/>
        <w:szCs w:val="32"/>
        <w:rtl/>
      </w:rPr>
      <w:alias w:val="Title"/>
      <w:id w:val="77738743"/>
      <w:placeholder>
        <w:docPart w:val="225418B4C8EB46E98CED395A451729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96851" w:rsidRDefault="00856557" w:rsidP="00856557">
        <w:pPr>
          <w:pStyle w:val="a3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="MCS Rika S_U normal." w:hint="cs"/>
            <w:sz w:val="32"/>
            <w:szCs w:val="32"/>
            <w:rtl/>
          </w:rPr>
          <w:t>المراد بغير الإمام</w:t>
        </w:r>
      </w:p>
    </w:sdtContent>
  </w:sdt>
  <w:p w:rsidR="00396851" w:rsidRDefault="0039685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1A" w:rsidRDefault="00D720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396851"/>
    <w:rsid w:val="00007441"/>
    <w:rsid w:val="000175FD"/>
    <w:rsid w:val="00094F76"/>
    <w:rsid w:val="000A42E3"/>
    <w:rsid w:val="000B6313"/>
    <w:rsid w:val="000C6A98"/>
    <w:rsid w:val="000E08F2"/>
    <w:rsid w:val="001628EA"/>
    <w:rsid w:val="001B28EC"/>
    <w:rsid w:val="001C51A2"/>
    <w:rsid w:val="001D541F"/>
    <w:rsid w:val="002A4F06"/>
    <w:rsid w:val="002C5C57"/>
    <w:rsid w:val="00372042"/>
    <w:rsid w:val="00396851"/>
    <w:rsid w:val="003D4496"/>
    <w:rsid w:val="003D52C2"/>
    <w:rsid w:val="003E4E82"/>
    <w:rsid w:val="00402238"/>
    <w:rsid w:val="004B51A2"/>
    <w:rsid w:val="005059F4"/>
    <w:rsid w:val="00533561"/>
    <w:rsid w:val="0059040B"/>
    <w:rsid w:val="005C1971"/>
    <w:rsid w:val="005F2B25"/>
    <w:rsid w:val="00603E47"/>
    <w:rsid w:val="00661C7E"/>
    <w:rsid w:val="0066208C"/>
    <w:rsid w:val="006A706B"/>
    <w:rsid w:val="006B2091"/>
    <w:rsid w:val="006F0AB4"/>
    <w:rsid w:val="007A3405"/>
    <w:rsid w:val="007E3F60"/>
    <w:rsid w:val="00856557"/>
    <w:rsid w:val="00857544"/>
    <w:rsid w:val="00865151"/>
    <w:rsid w:val="008A531A"/>
    <w:rsid w:val="008C42EB"/>
    <w:rsid w:val="008C6B46"/>
    <w:rsid w:val="008D616E"/>
    <w:rsid w:val="009566E7"/>
    <w:rsid w:val="009730E4"/>
    <w:rsid w:val="009871EE"/>
    <w:rsid w:val="009E1300"/>
    <w:rsid w:val="00A27CFA"/>
    <w:rsid w:val="00A34078"/>
    <w:rsid w:val="00A51526"/>
    <w:rsid w:val="00A66C37"/>
    <w:rsid w:val="00AB7C47"/>
    <w:rsid w:val="00AD1BDB"/>
    <w:rsid w:val="00AE1B96"/>
    <w:rsid w:val="00AF1D75"/>
    <w:rsid w:val="00B018C0"/>
    <w:rsid w:val="00B121FA"/>
    <w:rsid w:val="00B22037"/>
    <w:rsid w:val="00B32615"/>
    <w:rsid w:val="00B54E01"/>
    <w:rsid w:val="00B65F5B"/>
    <w:rsid w:val="00B66B63"/>
    <w:rsid w:val="00B90211"/>
    <w:rsid w:val="00BD26DB"/>
    <w:rsid w:val="00BE67B9"/>
    <w:rsid w:val="00C00E74"/>
    <w:rsid w:val="00C32F04"/>
    <w:rsid w:val="00C94127"/>
    <w:rsid w:val="00CC3B71"/>
    <w:rsid w:val="00CC6CB2"/>
    <w:rsid w:val="00D01BF3"/>
    <w:rsid w:val="00D06628"/>
    <w:rsid w:val="00D4184B"/>
    <w:rsid w:val="00D7201A"/>
    <w:rsid w:val="00DA2F44"/>
    <w:rsid w:val="00DA5945"/>
    <w:rsid w:val="00DC78D4"/>
    <w:rsid w:val="00E323EF"/>
    <w:rsid w:val="00E440A7"/>
    <w:rsid w:val="00F402FC"/>
    <w:rsid w:val="00F41A71"/>
    <w:rsid w:val="00F776AA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68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396851"/>
  </w:style>
  <w:style w:type="paragraph" w:styleId="a4">
    <w:name w:val="footer"/>
    <w:basedOn w:val="a"/>
    <w:link w:val="Char0"/>
    <w:uiPriority w:val="99"/>
    <w:unhideWhenUsed/>
    <w:rsid w:val="003968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396851"/>
  </w:style>
  <w:style w:type="paragraph" w:styleId="a5">
    <w:name w:val="Balloon Text"/>
    <w:basedOn w:val="a"/>
    <w:link w:val="Char1"/>
    <w:uiPriority w:val="99"/>
    <w:semiHidden/>
    <w:unhideWhenUsed/>
    <w:rsid w:val="0039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96851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semiHidden/>
    <w:unhideWhenUsed/>
    <w:rsid w:val="00372042"/>
    <w:pPr>
      <w:spacing w:after="0" w:line="240" w:lineRule="auto"/>
    </w:pPr>
    <w:rPr>
      <w:sz w:val="20"/>
      <w:szCs w:val="20"/>
    </w:rPr>
  </w:style>
  <w:style w:type="character" w:customStyle="1" w:styleId="Char2">
    <w:name w:val="نص حاشية سفلية Char"/>
    <w:basedOn w:val="a0"/>
    <w:link w:val="a6"/>
    <w:uiPriority w:val="99"/>
    <w:semiHidden/>
    <w:rsid w:val="0037204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7204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25418B4C8EB46E98CED395A451729B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081BB8C-7D17-4665-887D-8CD5CD9A2917}"/>
      </w:docPartPr>
      <w:docPartBody>
        <w:p w:rsidR="00BE475E" w:rsidRDefault="0032310B" w:rsidP="0032310B">
          <w:pPr>
            <w:pStyle w:val="225418B4C8EB46E98CED395A451729B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2310B"/>
    <w:rsid w:val="00012EC5"/>
    <w:rsid w:val="000411A6"/>
    <w:rsid w:val="001B0DA8"/>
    <w:rsid w:val="00203C40"/>
    <w:rsid w:val="002477C2"/>
    <w:rsid w:val="0032310B"/>
    <w:rsid w:val="00407247"/>
    <w:rsid w:val="00421FC9"/>
    <w:rsid w:val="004876F2"/>
    <w:rsid w:val="004966F3"/>
    <w:rsid w:val="0072736B"/>
    <w:rsid w:val="009C4CC5"/>
    <w:rsid w:val="00B160C3"/>
    <w:rsid w:val="00BE475E"/>
    <w:rsid w:val="00D270B1"/>
    <w:rsid w:val="00D3143D"/>
    <w:rsid w:val="00E8520E"/>
    <w:rsid w:val="00FE4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5418B4C8EB46E98CED395A451729B8">
    <w:name w:val="225418B4C8EB46E98CED395A451729B8"/>
    <w:rsid w:val="0032310B"/>
    <w:pPr>
      <w:bidi/>
    </w:pPr>
  </w:style>
  <w:style w:type="paragraph" w:customStyle="1" w:styleId="031999F1A875409D9F0DFAF3448C353D">
    <w:name w:val="031999F1A875409D9F0DFAF3448C353D"/>
    <w:rsid w:val="0032310B"/>
    <w:pPr>
      <w:bidi/>
    </w:pPr>
  </w:style>
  <w:style w:type="paragraph" w:customStyle="1" w:styleId="7168E6880AA04D4892F8732CD98E539E">
    <w:name w:val="7168E6880AA04D4892F8732CD98E539E"/>
    <w:rsid w:val="00012EC5"/>
    <w:pPr>
      <w:bidi/>
    </w:pPr>
  </w:style>
  <w:style w:type="paragraph" w:customStyle="1" w:styleId="BF11E3215822454E880D1C5C4363F81A">
    <w:name w:val="BF11E3215822454E880D1C5C4363F81A"/>
    <w:rsid w:val="00012EC5"/>
    <w:pPr>
      <w:bidi/>
    </w:pPr>
  </w:style>
  <w:style w:type="paragraph" w:customStyle="1" w:styleId="BF4002AEEF194667AF54C01447039EF5">
    <w:name w:val="BF4002AEEF194667AF54C01447039EF5"/>
    <w:rsid w:val="00421FC9"/>
    <w:pPr>
      <w:bidi/>
    </w:pPr>
  </w:style>
  <w:style w:type="paragraph" w:customStyle="1" w:styleId="80D67583FA8646239B6EF98DE0235F10">
    <w:name w:val="80D67583FA8646239B6EF98DE0235F10"/>
    <w:rsid w:val="004966F3"/>
    <w:pPr>
      <w:bidi/>
    </w:pPr>
  </w:style>
  <w:style w:type="paragraph" w:customStyle="1" w:styleId="9A67CF56D36B422C93B46C995C03CF4D">
    <w:name w:val="9A67CF56D36B422C93B46C995C03CF4D"/>
    <w:rsid w:val="009C4CC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1006AD9-9327-4C39-8267-E7DD8F01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تعريف الافتيات مع بيان حكمه, وأنواعه, وأسبابه</vt:lpstr>
    </vt:vector>
  </TitlesOfParts>
  <Company>TOSHIBA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المراد بغير الإمام</dc:title>
  <dc:creator>a</dc:creator>
  <cp:lastModifiedBy>User</cp:lastModifiedBy>
  <cp:revision>5</cp:revision>
  <cp:lastPrinted>2010-01-21T14:53:00Z</cp:lastPrinted>
  <dcterms:created xsi:type="dcterms:W3CDTF">2010-01-20T16:49:00Z</dcterms:created>
  <dcterms:modified xsi:type="dcterms:W3CDTF">2010-04-15T08:55:00Z</dcterms:modified>
</cp:coreProperties>
</file>