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82F" w:rsidRDefault="00BD1E4C" w:rsidP="0064682F">
      <w:pPr>
        <w:ind w:firstLine="0"/>
        <w:jc w:val="center"/>
        <w:rPr>
          <w:rtl/>
        </w:rPr>
      </w:pPr>
      <w:r w:rsidRPr="00BD1E4C">
        <w:rPr>
          <w:rFonts w:cs="AL-Mohanad"/>
          <w:b/>
          <w:bCs/>
          <w:noProof/>
          <w:sz w:val="36"/>
          <w:szCs w:val="36"/>
          <w:rtl/>
        </w:rPr>
        <w:pict>
          <v:rect id="_x0000_s1042" style="position:absolute;left:0;text-align:left;margin-left:-7.15pt;margin-top:662.95pt;width:442.5pt;height:65.25pt;z-index:251660288" stroked="f">
            <w10:wrap anchorx="page"/>
          </v:rect>
        </w:pict>
      </w:r>
      <w:r w:rsidRPr="00BD1E4C">
        <w:rPr>
          <w:rFonts w:cs="AL-Mohanad"/>
          <w:b/>
          <w:bCs/>
          <w:noProof/>
          <w:sz w:val="36"/>
          <w:szCs w:val="36"/>
          <w:rtl/>
        </w:rPr>
        <w:pict>
          <v:rect id="_x0000_s1041" style="position:absolute;left:0;text-align:left;margin-left:-7.15pt;margin-top:-60.1pt;width:442.5pt;height:65.25pt;z-index:251659264" stroked="f">
            <w10:wrap anchorx="page"/>
          </v:rect>
        </w:pict>
      </w:r>
      <w:r w:rsidRPr="00BD1E4C">
        <w:rPr>
          <w:rFonts w:cs="AL-Mohanad"/>
          <w:b/>
          <w:bCs/>
          <w:noProof/>
          <w:sz w:val="36"/>
          <w:szCs w:val="36"/>
          <w:rtl/>
        </w:rPr>
        <w:pict>
          <v:group id="_x0000_s1035" style="position:absolute;left:0;text-align:left;margin-left:0;margin-top:0;width:441pt;height:612pt;z-index:251658240;mso-position-horizontal:center;mso-position-horizontal-relative:margin;mso-position-vertical:center;mso-position-vertical-relative:margin" coordorigin="1443,2010" coordsize="8820,12240">
            <v:group id="_x0000_s1036" style="position:absolute;left:1443;top:2010;width:8820;height:12240" coordorigin="1443,2010" coordsize="8820,12240">
              <v:rect id="_x0000_s1037" style="position:absolute;left:1800;top:2340;width:8100;height:11520" filled="f" strokeweight="3pt"/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_x0000_s1038" type="#_x0000_t21" style="position:absolute;left:1443;top:2010;width:8820;height:12240" filled="f" strokeweight="6pt">
                <v:stroke linestyle="thinThick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1778;top:2318;width:8143;height:11520" filled="f" stroked="f">
              <v:textbox>
                <w:txbxContent>
                  <w:p w:rsidR="00C66035" w:rsidRDefault="00C66035" w:rsidP="00C66035">
                    <w:pPr>
                      <w:jc w:val="center"/>
                      <w:rPr>
                        <w:sz w:val="72"/>
                        <w:szCs w:val="72"/>
                        <w:rtl/>
                      </w:rPr>
                    </w:pPr>
                  </w:p>
                  <w:p w:rsidR="00C66035" w:rsidRDefault="00C66035" w:rsidP="00C66035">
                    <w:pPr>
                      <w:jc w:val="center"/>
                      <w:rPr>
                        <w:sz w:val="36"/>
                        <w:rtl/>
                      </w:rPr>
                    </w:pPr>
                  </w:p>
                  <w:p w:rsidR="00C66035" w:rsidRDefault="00C66035" w:rsidP="00C66035">
                    <w:pPr>
                      <w:jc w:val="center"/>
                      <w:rPr>
                        <w:sz w:val="36"/>
                        <w:rtl/>
                      </w:rPr>
                    </w:pPr>
                  </w:p>
                  <w:p w:rsidR="00C66035" w:rsidRPr="000E69C4" w:rsidRDefault="00C66035" w:rsidP="00C66035">
                    <w:pPr>
                      <w:jc w:val="center"/>
                      <w:rPr>
                        <w:sz w:val="14"/>
                        <w:szCs w:val="14"/>
                        <w:rtl/>
                      </w:rPr>
                    </w:pPr>
                  </w:p>
                  <w:p w:rsidR="00C66035" w:rsidRDefault="00C66035" w:rsidP="00C66035">
                    <w:pPr>
                      <w:jc w:val="center"/>
                      <w:rPr>
                        <w:rFonts w:cs="Shurooq 03"/>
                        <w:sz w:val="16"/>
                        <w:szCs w:val="14"/>
                        <w:rtl/>
                      </w:rPr>
                    </w:pPr>
                  </w:p>
                  <w:p w:rsidR="00C66035" w:rsidRPr="00AB463C" w:rsidRDefault="00C66035" w:rsidP="00C66035">
                    <w:pPr>
                      <w:ind w:firstLine="0"/>
                      <w:rPr>
                        <w:rFonts w:cs="Shurooq 03"/>
                        <w:sz w:val="16"/>
                        <w:szCs w:val="14"/>
                      </w:rPr>
                    </w:pPr>
                  </w:p>
                  <w:p w:rsidR="00C66035" w:rsidRPr="00AC4261" w:rsidRDefault="00C66035" w:rsidP="00C66035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Hesham Fostat"/>
                        <w:sz w:val="70"/>
                        <w:szCs w:val="70"/>
                        <w:rtl/>
                      </w:rPr>
                    </w:pPr>
                    <w:r>
                      <w:rPr>
                        <w:rFonts w:cs="Hesham Fostat" w:hint="cs"/>
                        <w:sz w:val="70"/>
                        <w:szCs w:val="70"/>
                        <w:rtl/>
                      </w:rPr>
                      <w:t>المبحث الثاني</w:t>
                    </w:r>
                  </w:p>
                  <w:p w:rsidR="00C66035" w:rsidRDefault="00C66035" w:rsidP="00C66035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MCS Rika S_I normal."/>
                        <w:sz w:val="50"/>
                        <w:szCs w:val="50"/>
                        <w:rtl/>
                      </w:rPr>
                    </w:pPr>
                    <w:r w:rsidRPr="005A104F">
                      <w:rPr>
                        <w:rFonts w:cs="MCS Rika S_I normal." w:hint="cs"/>
                        <w:sz w:val="50"/>
                        <w:szCs w:val="50"/>
                        <w:rtl/>
                      </w:rPr>
                      <w:t xml:space="preserve">حكم افتيات </w:t>
                    </w:r>
                    <w:r>
                      <w:rPr>
                        <w:rFonts w:cs="MCS Rika S_I normal." w:hint="cs"/>
                        <w:sz w:val="50"/>
                        <w:szCs w:val="50"/>
                        <w:rtl/>
                      </w:rPr>
                      <w:t>الشريك على شريكه بانتفاعه بسهمه مع إدخال الضرر عليه</w:t>
                    </w:r>
                    <w:r w:rsidRPr="005A104F">
                      <w:rPr>
                        <w:rFonts w:cs="MCS Rika S_I normal." w:hint="cs"/>
                        <w:sz w:val="50"/>
                        <w:szCs w:val="50"/>
                        <w:rtl/>
                      </w:rPr>
                      <w:t xml:space="preserve">, </w:t>
                    </w:r>
                  </w:p>
                  <w:p w:rsidR="00C66035" w:rsidRPr="00C66035" w:rsidRDefault="00C66035" w:rsidP="00C66035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MCS Rika S_I normal."/>
                        <w:sz w:val="50"/>
                        <w:szCs w:val="50"/>
                        <w:rtl/>
                      </w:rPr>
                    </w:pPr>
                    <w:r w:rsidRPr="005A104F">
                      <w:rPr>
                        <w:rFonts w:cs="MCS Rika S_I normal." w:hint="cs"/>
                        <w:sz w:val="50"/>
                        <w:szCs w:val="50"/>
                        <w:rtl/>
                      </w:rPr>
                      <w:t>والأثر المترتب على ذلك.</w:t>
                    </w:r>
                    <w:r w:rsidRPr="005A104F">
                      <w:rPr>
                        <w:rFonts w:cs="AL-Mohanad"/>
                        <w:sz w:val="58"/>
                        <w:szCs w:val="56"/>
                        <w:rtl/>
                      </w:rPr>
                      <w:t xml:space="preserve"> </w:t>
                    </w:r>
                  </w:p>
                  <w:p w:rsidR="00C66035" w:rsidRPr="00D96D77" w:rsidRDefault="00C66035" w:rsidP="00C66035">
                    <w:pPr>
                      <w:jc w:val="center"/>
                      <w:rPr>
                        <w:sz w:val="36"/>
                      </w:rPr>
                    </w:pPr>
                  </w:p>
                </w:txbxContent>
              </v:textbox>
            </v:shape>
            <w10:wrap anchorx="margin" anchory="margin"/>
          </v:group>
        </w:pict>
      </w:r>
      <w:r w:rsidR="009813E7" w:rsidRPr="00D73905">
        <w:rPr>
          <w:rFonts w:cs="AL-Mohanad"/>
          <w:b/>
          <w:bCs/>
          <w:sz w:val="36"/>
          <w:szCs w:val="36"/>
          <w:rtl/>
        </w:rPr>
        <w:br w:type="page"/>
      </w:r>
      <w:r w:rsidR="005A104F">
        <w:rPr>
          <w:rFonts w:cs="AL-Mohanad Bold" w:hint="cs"/>
          <w:b/>
          <w:bCs/>
          <w:sz w:val="36"/>
          <w:szCs w:val="36"/>
          <w:rtl/>
        </w:rPr>
        <w:lastRenderedPageBreak/>
        <w:t>المبحث</w:t>
      </w:r>
      <w:r w:rsidR="004A7C5F">
        <w:rPr>
          <w:rFonts w:cs="AL-Mohanad Bold" w:hint="cs"/>
          <w:b/>
          <w:bCs/>
          <w:sz w:val="36"/>
          <w:szCs w:val="36"/>
          <w:rtl/>
        </w:rPr>
        <w:t xml:space="preserve"> </w:t>
      </w:r>
      <w:r w:rsidR="00C66035">
        <w:rPr>
          <w:rFonts w:cs="AL-Mohanad Bold" w:hint="cs"/>
          <w:b/>
          <w:bCs/>
          <w:sz w:val="36"/>
          <w:szCs w:val="36"/>
          <w:rtl/>
        </w:rPr>
        <w:t>الثاني</w:t>
      </w:r>
      <w:r w:rsidR="004A7C5F">
        <w:rPr>
          <w:rFonts w:cs="AL-Mohanad Bold" w:hint="cs"/>
          <w:b/>
          <w:bCs/>
          <w:sz w:val="36"/>
          <w:szCs w:val="36"/>
          <w:rtl/>
        </w:rPr>
        <w:t xml:space="preserve">: </w:t>
      </w:r>
      <w:r w:rsidR="005A104F">
        <w:rPr>
          <w:rFonts w:cs="AL-Mohanad Bold" w:hint="cs"/>
          <w:b/>
          <w:bCs/>
          <w:sz w:val="36"/>
          <w:szCs w:val="36"/>
          <w:rtl/>
        </w:rPr>
        <w:t xml:space="preserve">حكم افتيات </w:t>
      </w:r>
      <w:r w:rsidR="00C66035">
        <w:rPr>
          <w:rFonts w:cs="AL-Mohanad Bold" w:hint="cs"/>
          <w:b/>
          <w:bCs/>
          <w:sz w:val="36"/>
          <w:szCs w:val="36"/>
          <w:rtl/>
        </w:rPr>
        <w:t xml:space="preserve">الشريك على شريكه بانتفاعه بسهمه مع إدخال الضرر عليه </w:t>
      </w:r>
      <w:r w:rsidR="005A104F">
        <w:rPr>
          <w:rFonts w:cs="AL-Mohanad Bold" w:hint="cs"/>
          <w:b/>
          <w:bCs/>
          <w:sz w:val="36"/>
          <w:szCs w:val="36"/>
          <w:rtl/>
        </w:rPr>
        <w:t>, والأثر المترتب على ذلك</w:t>
      </w:r>
    </w:p>
    <w:p w:rsidR="00167795" w:rsidRPr="0064682F" w:rsidRDefault="00295B3B" w:rsidP="002C45BA">
      <w:pPr>
        <w:ind w:firstLine="281"/>
        <w:rPr>
          <w:rtl/>
        </w:rPr>
      </w:pPr>
      <w:r>
        <w:rPr>
          <w:rFonts w:ascii="Traditional Arabic" w:hAnsi="Traditional Arabic" w:cs="AL-Mohanad" w:hint="cs"/>
          <w:b/>
          <w:bCs/>
          <w:sz w:val="36"/>
          <w:szCs w:val="36"/>
          <w:rtl/>
        </w:rPr>
        <w:t xml:space="preserve">صورة المسألة: </w:t>
      </w:r>
      <w:r>
        <w:rPr>
          <w:rFonts w:ascii="Traditional Arabic" w:hAnsi="Traditional Arabic" w:cs="AL-Mohanad" w:hint="cs"/>
          <w:sz w:val="36"/>
          <w:szCs w:val="36"/>
          <w:rtl/>
        </w:rPr>
        <w:t xml:space="preserve">أن يشترك اثنان في </w:t>
      </w:r>
      <w:r w:rsidR="0064682F">
        <w:rPr>
          <w:rFonts w:ascii="Traditional Arabic" w:hAnsi="Traditional Arabic" w:cs="AL-Mohanad" w:hint="cs"/>
          <w:sz w:val="36"/>
          <w:szCs w:val="36"/>
          <w:rtl/>
        </w:rPr>
        <w:t xml:space="preserve">عبد أو جوهرة ثمينة أو </w:t>
      </w:r>
      <w:r>
        <w:rPr>
          <w:rFonts w:ascii="Traditional Arabic" w:hAnsi="Traditional Arabic" w:cs="AL-Mohanad" w:hint="cs"/>
          <w:sz w:val="36"/>
          <w:szCs w:val="36"/>
          <w:rtl/>
        </w:rPr>
        <w:t xml:space="preserve">دار صغيرة بينهم مع اختلاف أنصبتهم, فيريد أحد الشريكين الانتفاع بنصيبه إما بإجارة أو بيع أو قسمة فلا يتمكن من ذلك </w:t>
      </w:r>
      <w:r w:rsidR="002119D6">
        <w:rPr>
          <w:rFonts w:ascii="Traditional Arabic" w:hAnsi="Traditional Arabic" w:cs="AL-Mohanad" w:hint="cs"/>
          <w:sz w:val="36"/>
          <w:szCs w:val="36"/>
          <w:rtl/>
        </w:rPr>
        <w:t>ل</w:t>
      </w:r>
      <w:r>
        <w:rPr>
          <w:rFonts w:ascii="Traditional Arabic" w:hAnsi="Traditional Arabic" w:cs="AL-Mohanad" w:hint="cs"/>
          <w:sz w:val="36"/>
          <w:szCs w:val="36"/>
          <w:rtl/>
        </w:rPr>
        <w:t>اعتراض شريكة عليه .</w:t>
      </w:r>
    </w:p>
    <w:p w:rsidR="00AE6538" w:rsidRDefault="00AE6538" w:rsidP="002C45BA">
      <w:pPr>
        <w:autoSpaceDE w:val="0"/>
        <w:autoSpaceDN w:val="0"/>
        <w:adjustRightInd w:val="0"/>
        <w:spacing w:after="0"/>
        <w:ind w:firstLine="0"/>
        <w:rPr>
          <w:rFonts w:ascii="Traditional Arabic" w:hAnsi="Traditional Arabic" w:cs="AL-Mohanad"/>
          <w:b/>
          <w:bCs/>
          <w:sz w:val="36"/>
          <w:szCs w:val="36"/>
          <w:rtl/>
        </w:rPr>
      </w:pPr>
    </w:p>
    <w:p w:rsidR="00AE6538" w:rsidRPr="007346C7" w:rsidRDefault="00B575F5" w:rsidP="002C45BA">
      <w:pPr>
        <w:autoSpaceDE w:val="0"/>
        <w:autoSpaceDN w:val="0"/>
        <w:adjustRightInd w:val="0"/>
        <w:spacing w:after="0"/>
        <w:rPr>
          <w:rFonts w:ascii="Traditional Arabic" w:hAnsi="Traditional Arabic" w:cs="AL-Mohanad"/>
          <w:sz w:val="36"/>
          <w:szCs w:val="36"/>
          <w:rtl/>
        </w:rPr>
      </w:pPr>
      <w:r>
        <w:rPr>
          <w:rFonts w:ascii="Traditional Arabic" w:hAnsi="Traditional Arabic" w:cs="AL-Mohanad" w:hint="cs"/>
          <w:sz w:val="36"/>
          <w:szCs w:val="36"/>
          <w:rtl/>
        </w:rPr>
        <w:t>يرى الحنفية</w:t>
      </w:r>
      <w:r>
        <w:rPr>
          <w:rStyle w:val="a6"/>
          <w:rFonts w:ascii="Traditional Arabic" w:hAnsi="Traditional Arabic" w:cs="AL-Mohanad"/>
          <w:sz w:val="36"/>
          <w:rtl/>
        </w:rPr>
        <w:footnoteReference w:id="2"/>
      </w:r>
      <w:r>
        <w:rPr>
          <w:rFonts w:ascii="Traditional Arabic" w:hAnsi="Traditional Arabic" w:cs="AL-Mohanad" w:hint="cs"/>
          <w:sz w:val="36"/>
          <w:szCs w:val="36"/>
          <w:rtl/>
        </w:rPr>
        <w:t xml:space="preserve"> والمالكية</w:t>
      </w:r>
      <w:r w:rsidRPr="002119D6">
        <w:rPr>
          <w:rStyle w:val="a6"/>
          <w:rFonts w:ascii="Traditional Arabic" w:hAnsi="Traditional Arabic" w:cs="AL-Mohanad"/>
          <w:sz w:val="36"/>
          <w:rtl/>
        </w:rPr>
        <w:footnoteReference w:id="3"/>
      </w:r>
      <w:r>
        <w:rPr>
          <w:rFonts w:ascii="Traditional Arabic" w:hAnsi="Traditional Arabic" w:cs="AL-Mohanad" w:hint="cs"/>
          <w:sz w:val="36"/>
          <w:szCs w:val="36"/>
          <w:rtl/>
        </w:rPr>
        <w:t xml:space="preserve"> والشافعية</w:t>
      </w:r>
      <w:r>
        <w:rPr>
          <w:rStyle w:val="a6"/>
          <w:rFonts w:ascii="Traditional Arabic" w:hAnsi="Traditional Arabic" w:cs="AL-Mohanad"/>
          <w:sz w:val="36"/>
          <w:rtl/>
        </w:rPr>
        <w:footnoteReference w:id="4"/>
      </w:r>
      <w:r>
        <w:rPr>
          <w:rFonts w:ascii="Traditional Arabic" w:hAnsi="Traditional Arabic" w:cs="AL-Mohanad" w:hint="cs"/>
          <w:sz w:val="36"/>
          <w:szCs w:val="36"/>
          <w:rtl/>
        </w:rPr>
        <w:t xml:space="preserve"> و الحنابلة</w:t>
      </w:r>
      <w:r w:rsidRPr="002119D6">
        <w:rPr>
          <w:rStyle w:val="a6"/>
          <w:rFonts w:ascii="Traditional Arabic" w:hAnsi="Traditional Arabic" w:cs="AL-Mohanad"/>
          <w:sz w:val="36"/>
          <w:rtl/>
        </w:rPr>
        <w:footnoteReference w:id="5"/>
      </w:r>
      <w:r>
        <w:rPr>
          <w:rFonts w:ascii="Traditional Arabic" w:hAnsi="Traditional Arabic" w:cs="AL-Mohanad" w:hint="cs"/>
          <w:sz w:val="36"/>
          <w:szCs w:val="36"/>
          <w:rtl/>
        </w:rPr>
        <w:t>,</w:t>
      </w:r>
      <w:r w:rsidR="00AE6538">
        <w:rPr>
          <w:rFonts w:ascii="Traditional Arabic" w:hAnsi="Traditional Arabic" w:cs="AL-Mohanad" w:hint="cs"/>
          <w:sz w:val="36"/>
          <w:szCs w:val="36"/>
          <w:rtl/>
        </w:rPr>
        <w:t>إذا كان</w:t>
      </w:r>
      <w:r w:rsidR="00AE6538" w:rsidRPr="007346C7">
        <w:rPr>
          <w:rFonts w:ascii="Traditional Arabic" w:hAnsi="Traditional Arabic" w:cs="AL-Mohanad" w:hint="cs"/>
          <w:sz w:val="36"/>
          <w:szCs w:val="36"/>
          <w:rtl/>
        </w:rPr>
        <w:t xml:space="preserve"> الضرر واقع</w:t>
      </w:r>
      <w:r w:rsidR="004202AE">
        <w:rPr>
          <w:rFonts w:ascii="Traditional Arabic" w:hAnsi="Traditional Arabic" w:cs="AL-Mohanad" w:hint="cs"/>
          <w:sz w:val="36"/>
          <w:szCs w:val="36"/>
          <w:rtl/>
        </w:rPr>
        <w:t>اً</w:t>
      </w:r>
      <w:r w:rsidR="00AE6538" w:rsidRPr="007346C7">
        <w:rPr>
          <w:rFonts w:ascii="Traditional Arabic" w:hAnsi="Traditional Arabic" w:cs="AL-Mohanad" w:hint="cs"/>
          <w:sz w:val="36"/>
          <w:szCs w:val="36"/>
          <w:rtl/>
        </w:rPr>
        <w:t xml:space="preserve"> على كلا الشريكين ففي هذه الحالة لا يجوز للقاضي أن يقسم بينهم قسمة إجبار؛ </w:t>
      </w:r>
      <w:r w:rsidR="00AE6538" w:rsidRPr="007346C7">
        <w:rPr>
          <w:rFonts w:ascii="Traditional Arabic" w:hAnsi="Traditional Arabic" w:cs="AL-Mohanad"/>
          <w:sz w:val="36"/>
          <w:szCs w:val="36"/>
          <w:rtl/>
        </w:rPr>
        <w:t>لأن القسمة في هذه الأشياء قسمة إضرار بالشريكين جميعا</w:t>
      </w:r>
      <w:r w:rsidR="00AE6538" w:rsidRPr="007346C7">
        <w:rPr>
          <w:rFonts w:ascii="Traditional Arabic" w:hAnsi="Traditional Arabic" w:cs="AL-Mohanad" w:hint="cs"/>
          <w:sz w:val="36"/>
          <w:szCs w:val="36"/>
          <w:rtl/>
        </w:rPr>
        <w:t>ً</w:t>
      </w:r>
      <w:r w:rsidR="00AE6538" w:rsidRPr="007346C7">
        <w:rPr>
          <w:rFonts w:ascii="Traditional Arabic" w:hAnsi="Traditional Arabic" w:cs="AL-Mohanad"/>
          <w:sz w:val="36"/>
          <w:szCs w:val="36"/>
          <w:rtl/>
        </w:rPr>
        <w:t xml:space="preserve"> والقاضي لا يملك الجبر على الإضرار</w:t>
      </w:r>
      <w:r w:rsidR="00AE6538" w:rsidRPr="007346C7">
        <w:rPr>
          <w:rFonts w:ascii="Traditional Arabic" w:hAnsi="Traditional Arabic" w:cs="Traditional Arabic"/>
          <w:color w:val="000000"/>
          <w:sz w:val="44"/>
          <w:szCs w:val="44"/>
          <w:rtl/>
        </w:rPr>
        <w:t xml:space="preserve"> </w:t>
      </w:r>
      <w:r w:rsidR="00AE6538" w:rsidRPr="007346C7">
        <w:rPr>
          <w:rFonts w:ascii="Traditional Arabic" w:hAnsi="Traditional Arabic" w:cs="AL-Mohanad" w:hint="cs"/>
          <w:sz w:val="36"/>
          <w:szCs w:val="36"/>
          <w:rtl/>
        </w:rPr>
        <w:t>.</w:t>
      </w:r>
    </w:p>
    <w:p w:rsidR="00AE6538" w:rsidRDefault="00AE6538" w:rsidP="002C45BA">
      <w:pPr>
        <w:autoSpaceDE w:val="0"/>
        <w:autoSpaceDN w:val="0"/>
        <w:adjustRightInd w:val="0"/>
        <w:spacing w:after="0"/>
        <w:rPr>
          <w:rFonts w:ascii="Traditional Arabic" w:hAnsi="Traditional Arabic" w:cs="AL-Mohanad"/>
          <w:b/>
          <w:bCs/>
          <w:sz w:val="36"/>
          <w:szCs w:val="36"/>
          <w:rtl/>
        </w:rPr>
      </w:pPr>
      <w:r w:rsidRPr="007346C7">
        <w:rPr>
          <w:rFonts w:ascii="Traditional Arabic" w:hAnsi="Traditional Arabic" w:cs="AL-Mohanad" w:hint="cs"/>
          <w:sz w:val="36"/>
          <w:szCs w:val="36"/>
          <w:rtl/>
        </w:rPr>
        <w:t>ويجوز لكلا الشريكين أن يقتسما المال فيما بينهما قسمة تراضٍ دون حكم القاضي؛ لأنهما يملكان الإضرار بأنفسهما .</w:t>
      </w:r>
      <w:r>
        <w:rPr>
          <w:rFonts w:ascii="Traditional Arabic" w:hAnsi="Traditional Arabic" w:cs="AL-Mohanad" w:hint="cs"/>
          <w:b/>
          <w:bCs/>
          <w:sz w:val="36"/>
          <w:szCs w:val="36"/>
          <w:rtl/>
        </w:rPr>
        <w:t xml:space="preserve"> </w:t>
      </w:r>
    </w:p>
    <w:p w:rsidR="00B575F5" w:rsidRDefault="00B575F5" w:rsidP="002C45BA">
      <w:pPr>
        <w:autoSpaceDE w:val="0"/>
        <w:autoSpaceDN w:val="0"/>
        <w:adjustRightInd w:val="0"/>
        <w:spacing w:after="0"/>
        <w:rPr>
          <w:rFonts w:ascii="Traditional Arabic" w:hAnsi="Traditional Arabic" w:cs="AL-Mohanad"/>
          <w:b/>
          <w:bCs/>
          <w:sz w:val="36"/>
          <w:szCs w:val="36"/>
          <w:rtl/>
        </w:rPr>
      </w:pPr>
    </w:p>
    <w:p w:rsidR="00B575F5" w:rsidRDefault="00B575F5" w:rsidP="002C45BA">
      <w:pPr>
        <w:autoSpaceDE w:val="0"/>
        <w:autoSpaceDN w:val="0"/>
        <w:adjustRightInd w:val="0"/>
        <w:spacing w:after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4202AE">
        <w:rPr>
          <w:rFonts w:ascii="Traditional Arabic" w:hAnsi="Traditional Arabic" w:cs="AL-Mohanad" w:hint="cs"/>
          <w:b/>
          <w:bCs/>
          <w:sz w:val="36"/>
          <w:szCs w:val="36"/>
          <w:rtl/>
        </w:rPr>
        <w:t>جاء في مغني المحتاج ما نصه:</w:t>
      </w:r>
      <w:r>
        <w:rPr>
          <w:rFonts w:ascii="Traditional Arabic" w:hAnsi="Traditional Arabic" w:cs="AL-Mohanad" w:hint="cs"/>
          <w:sz w:val="36"/>
          <w:szCs w:val="36"/>
          <w:rtl/>
        </w:rPr>
        <w:t xml:space="preserve"> " </w:t>
      </w:r>
      <w:r w:rsidRPr="00044106">
        <w:rPr>
          <w:rFonts w:ascii="Traditional Arabic" w:hAnsi="Traditional Arabic" w:cs="AL-Mohanad"/>
          <w:sz w:val="36"/>
          <w:szCs w:val="36"/>
          <w:rtl/>
        </w:rPr>
        <w:t>المشترك الذي ( عظم الضرر في قسمته كجوهرة وثوب نفيسين وزوجي ) أي فردي ( خف ) ومصراعي باب ( إن طلب الشركاء كلهم قسمته لم يجبهم القاضي ) إليها جزما</w:t>
      </w:r>
      <w:r>
        <w:rPr>
          <w:rFonts w:ascii="Traditional Arabic" w:hAnsi="Traditional Arabic" w:cs="AL-Mohanad" w:hint="cs"/>
          <w:sz w:val="36"/>
          <w:szCs w:val="36"/>
          <w:rtl/>
        </w:rPr>
        <w:t>ً</w:t>
      </w:r>
      <w:r w:rsidRPr="00044106">
        <w:rPr>
          <w:rFonts w:ascii="Traditional Arabic" w:hAnsi="Traditional Arabic" w:cs="AL-Mohanad"/>
          <w:sz w:val="36"/>
          <w:szCs w:val="36"/>
          <w:rtl/>
        </w:rPr>
        <w:t xml:space="preserve"> ويمنعهم منها إن بطلت منفعته بالكلية لأنه سفه</w:t>
      </w:r>
      <w:r w:rsidRPr="00044106">
        <w:rPr>
          <w:rFonts w:ascii="Traditional Arabic" w:hAnsi="Traditional Arabic" w:cs="AL-Mohanad" w:hint="cs"/>
          <w:sz w:val="36"/>
          <w:szCs w:val="36"/>
          <w:rtl/>
        </w:rPr>
        <w:t xml:space="preserve"> .... </w:t>
      </w:r>
      <w:r w:rsidRPr="00044106">
        <w:rPr>
          <w:rFonts w:ascii="Traditional Arabic" w:hAnsi="Traditional Arabic" w:cs="AL-Mohanad"/>
          <w:sz w:val="36"/>
          <w:szCs w:val="36"/>
          <w:rtl/>
        </w:rPr>
        <w:t xml:space="preserve">( ولا يمنعهم إن قسموا بأنفسهم إن لم </w:t>
      </w:r>
      <w:r w:rsidRPr="00044106">
        <w:rPr>
          <w:rFonts w:ascii="Traditional Arabic" w:hAnsi="Traditional Arabic" w:cs="AL-Mohanad"/>
          <w:sz w:val="36"/>
          <w:szCs w:val="36"/>
          <w:rtl/>
        </w:rPr>
        <w:lastRenderedPageBreak/>
        <w:t>تبطل منفعته ) أي المقسوم بالكلية ( كسيف يكسر ) لإمكان الانتفاع مما صار إليه منه على حاله أو باتخاذه سكينا ونحو ذلك</w:t>
      </w:r>
      <w:r w:rsidRPr="00044106">
        <w:rPr>
          <w:rFonts w:ascii="Traditional Arabic" w:hAnsi="Traditional Arabic" w:cs="AL-Mohanad" w:hint="cs"/>
          <w:sz w:val="36"/>
          <w:szCs w:val="36"/>
          <w:rtl/>
        </w:rPr>
        <w:t xml:space="preserve">, </w:t>
      </w:r>
      <w:r w:rsidRPr="00044106">
        <w:rPr>
          <w:rFonts w:ascii="Traditional Arabic" w:hAnsi="Traditional Arabic" w:cs="AL-Mohanad"/>
          <w:sz w:val="36"/>
          <w:szCs w:val="36"/>
          <w:rtl/>
        </w:rPr>
        <w:t>ولا يجيبهم إلى ذلك على الأصح لما فيه من إضاعة المال</w:t>
      </w:r>
      <w:r w:rsidRPr="00044106">
        <w:rPr>
          <w:rFonts w:ascii="Traditional Arabic" w:hAnsi="Traditional Arabic" w:cs="Traditional Arabic" w:hint="cs"/>
          <w:b/>
          <w:bCs/>
          <w:color w:val="000000"/>
          <w:sz w:val="36"/>
          <w:szCs w:val="36"/>
          <w:rtl/>
        </w:rPr>
        <w:t xml:space="preserve"> </w:t>
      </w:r>
      <w:r w:rsidRPr="00044106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>"</w:t>
      </w:r>
      <w:r w:rsidRPr="002C45BA">
        <w:rPr>
          <w:rStyle w:val="a6"/>
          <w:rFonts w:ascii="Traditional Arabic" w:hAnsi="Traditional Arabic" w:cs="Traditional Arabic"/>
          <w:color w:val="000000"/>
          <w:sz w:val="38"/>
          <w:rtl/>
        </w:rPr>
        <w:footnoteReference w:id="6"/>
      </w:r>
      <w:r w:rsidRPr="002C45BA">
        <w:rPr>
          <w:rFonts w:ascii="Traditional Arabic" w:hAnsi="Traditional Arabic" w:cs="Traditional Arabic"/>
          <w:color w:val="000000"/>
          <w:sz w:val="38"/>
          <w:szCs w:val="38"/>
          <w:rtl/>
        </w:rPr>
        <w:t xml:space="preserve"> </w:t>
      </w:r>
      <w:r w:rsidR="002C45BA" w:rsidRPr="002C45BA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.</w:t>
      </w:r>
    </w:p>
    <w:p w:rsidR="002C45BA" w:rsidRPr="002C45BA" w:rsidRDefault="002C45BA" w:rsidP="002C45BA">
      <w:pPr>
        <w:autoSpaceDE w:val="0"/>
        <w:autoSpaceDN w:val="0"/>
        <w:adjustRightInd w:val="0"/>
        <w:spacing w:after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:rsidR="00B575F5" w:rsidRDefault="00B575F5" w:rsidP="002C45BA">
      <w:pPr>
        <w:autoSpaceDE w:val="0"/>
        <w:autoSpaceDN w:val="0"/>
        <w:adjustRightInd w:val="0"/>
        <w:spacing w:after="0"/>
        <w:rPr>
          <w:rFonts w:ascii="Traditional Arabic" w:hAnsi="Traditional Arabic" w:cs="AL-Mohanad"/>
          <w:sz w:val="36"/>
          <w:szCs w:val="36"/>
          <w:rtl/>
        </w:rPr>
      </w:pPr>
      <w:r w:rsidRPr="0064682F">
        <w:rPr>
          <w:rFonts w:ascii="Traditional Arabic" w:hAnsi="Traditional Arabic" w:cs="AL-Mohanad" w:hint="cs"/>
          <w:b/>
          <w:bCs/>
          <w:sz w:val="36"/>
          <w:szCs w:val="36"/>
          <w:rtl/>
        </w:rPr>
        <w:t>جاء في الفواكه الدواني ما نصه:</w:t>
      </w:r>
      <w:r>
        <w:rPr>
          <w:rFonts w:ascii="Traditional Arabic" w:hAnsi="Traditional Arabic" w:cs="AL-Mohanad" w:hint="cs"/>
          <w:sz w:val="36"/>
          <w:szCs w:val="36"/>
          <w:rtl/>
        </w:rPr>
        <w:t xml:space="preserve"> " </w:t>
      </w:r>
      <w:r w:rsidRPr="0064682F">
        <w:rPr>
          <w:rFonts w:ascii="Traditional Arabic" w:hAnsi="Traditional Arabic" w:cs="AL-Mohanad"/>
          <w:sz w:val="36"/>
          <w:szCs w:val="36"/>
          <w:rtl/>
        </w:rPr>
        <w:t>( و ) أما ( ما لم ينقسم بغير ضرر ) بأن لم يقبل القسمة أصلا أو يقبلها بضرر ( فمن دع</w:t>
      </w:r>
      <w:r>
        <w:rPr>
          <w:rFonts w:ascii="Traditional Arabic" w:hAnsi="Traditional Arabic" w:cs="AL-Mohanad"/>
          <w:sz w:val="36"/>
          <w:szCs w:val="36"/>
          <w:rtl/>
        </w:rPr>
        <w:t>ا إلى البيع أجبر عليه من أباه)</w:t>
      </w:r>
      <w:r w:rsidRPr="0064682F">
        <w:rPr>
          <w:rFonts w:ascii="Traditional Arabic" w:hAnsi="Traditional Arabic" w:cs="AL-Mohanad"/>
          <w:sz w:val="36"/>
          <w:szCs w:val="36"/>
          <w:rtl/>
        </w:rPr>
        <w:t xml:space="preserve">؛ لأنه لا يجوز قسمه لعدم إمكانه كالعبد والفص ، أو في قسمة فساد كالخفين </w:t>
      </w:r>
      <w:r>
        <w:rPr>
          <w:rFonts w:ascii="Traditional Arabic" w:hAnsi="Traditional Arabic" w:cs="AL-Mohanad"/>
          <w:sz w:val="36"/>
          <w:szCs w:val="36"/>
          <w:rtl/>
        </w:rPr>
        <w:t>والنعلين ونحوهما من كل مزدوجين</w:t>
      </w:r>
      <w:r>
        <w:rPr>
          <w:rFonts w:ascii="Traditional Arabic" w:hAnsi="Traditional Arabic" w:cs="AL-Mohanad" w:hint="cs"/>
          <w:sz w:val="36"/>
          <w:szCs w:val="36"/>
          <w:rtl/>
        </w:rPr>
        <w:t xml:space="preserve"> "</w:t>
      </w:r>
      <w:r>
        <w:rPr>
          <w:rStyle w:val="a6"/>
          <w:rFonts w:ascii="Traditional Arabic" w:hAnsi="Traditional Arabic" w:cs="AL-Mohanad"/>
          <w:sz w:val="36"/>
          <w:rtl/>
        </w:rPr>
        <w:footnoteReference w:id="7"/>
      </w:r>
      <w:r>
        <w:rPr>
          <w:rFonts w:ascii="Traditional Arabic" w:hAnsi="Traditional Arabic" w:cs="AL-Mohanad" w:hint="cs"/>
          <w:sz w:val="36"/>
          <w:szCs w:val="36"/>
          <w:rtl/>
        </w:rPr>
        <w:t xml:space="preserve"> .</w:t>
      </w:r>
    </w:p>
    <w:p w:rsidR="002C45BA" w:rsidRDefault="002C45BA" w:rsidP="002C45BA">
      <w:pPr>
        <w:autoSpaceDE w:val="0"/>
        <w:autoSpaceDN w:val="0"/>
        <w:adjustRightInd w:val="0"/>
        <w:spacing w:after="0"/>
        <w:rPr>
          <w:rFonts w:ascii="Traditional Arabic" w:hAnsi="Traditional Arabic" w:cs="AL-Mohanad"/>
          <w:sz w:val="36"/>
          <w:szCs w:val="36"/>
          <w:rtl/>
        </w:rPr>
      </w:pPr>
    </w:p>
    <w:p w:rsidR="001747E2" w:rsidRDefault="00B575F5" w:rsidP="002C45BA">
      <w:pPr>
        <w:autoSpaceDE w:val="0"/>
        <w:autoSpaceDN w:val="0"/>
        <w:adjustRightInd w:val="0"/>
        <w:spacing w:after="0"/>
        <w:rPr>
          <w:rFonts w:ascii="Traditional Arabic" w:hAnsi="Traditional Arabic" w:cs="AL-Mohanad"/>
          <w:sz w:val="36"/>
          <w:szCs w:val="36"/>
          <w:rtl/>
        </w:rPr>
      </w:pPr>
      <w:r w:rsidRPr="0064682F">
        <w:rPr>
          <w:rFonts w:ascii="Traditional Arabic" w:hAnsi="Traditional Arabic" w:cs="AL-Mohanad" w:hint="cs"/>
          <w:b/>
          <w:bCs/>
          <w:sz w:val="36"/>
          <w:szCs w:val="36"/>
          <w:rtl/>
        </w:rPr>
        <w:t>وجاء في كشاف القناع ما نصه:</w:t>
      </w:r>
      <w:r>
        <w:rPr>
          <w:rFonts w:ascii="Traditional Arabic" w:hAnsi="Traditional Arabic" w:cs="AL-Mohanad" w:hint="cs"/>
          <w:sz w:val="36"/>
          <w:szCs w:val="36"/>
          <w:rtl/>
        </w:rPr>
        <w:t xml:space="preserve"> "</w:t>
      </w:r>
      <w:r w:rsidRPr="0064682F">
        <w:rPr>
          <w:rFonts w:ascii="Traditional Arabic" w:hAnsi="Traditional Arabic" w:cs="AL-Mohanad"/>
          <w:sz w:val="36"/>
          <w:szCs w:val="36"/>
          <w:rtl/>
        </w:rPr>
        <w:t>( ومن دعا شريكه فيها ) أي في الدور الصغار ونحوها مما تقدم إلى البيع أجبر ( أو ) دعا شريكه ( في شركة عبد أو بهيمة أو سيف ونحوه ) ككتاب ( إلى البيع أجبر ) إن امتنع عن البيع ليتخلص الطالب من ضرر الشركة ( فإن أبى ) الممتنع البيع ( بيع ) أي باعه الحاكم ( عليهما ) لأنه حق عليه كما بيع الرهن إذا امتنع الراهن</w:t>
      </w:r>
      <w:r>
        <w:rPr>
          <w:rFonts w:ascii="Traditional Arabic" w:hAnsi="Traditional Arabic" w:cs="AL-Mohanad" w:hint="cs"/>
          <w:sz w:val="36"/>
          <w:szCs w:val="36"/>
          <w:rtl/>
        </w:rPr>
        <w:t xml:space="preserve"> "</w:t>
      </w:r>
      <w:r>
        <w:rPr>
          <w:rStyle w:val="a6"/>
          <w:rFonts w:ascii="Traditional Arabic" w:hAnsi="Traditional Arabic" w:cs="AL-Mohanad"/>
          <w:sz w:val="36"/>
          <w:rtl/>
        </w:rPr>
        <w:footnoteReference w:id="8"/>
      </w:r>
      <w:r>
        <w:rPr>
          <w:rFonts w:ascii="Traditional Arabic" w:hAnsi="Traditional Arabic" w:cs="AL-Mohanad" w:hint="cs"/>
          <w:sz w:val="36"/>
          <w:szCs w:val="36"/>
          <w:rtl/>
        </w:rPr>
        <w:t xml:space="preserve">. </w:t>
      </w:r>
    </w:p>
    <w:p w:rsidR="002C45BA" w:rsidRDefault="002C45BA" w:rsidP="002C45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sz w:val="36"/>
          <w:szCs w:val="36"/>
          <w:rtl/>
        </w:rPr>
      </w:pPr>
    </w:p>
    <w:p w:rsidR="002C45BA" w:rsidRDefault="002C45BA" w:rsidP="002C45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sz w:val="36"/>
          <w:szCs w:val="36"/>
          <w:rtl/>
        </w:rPr>
      </w:pPr>
    </w:p>
    <w:p w:rsidR="002C45BA" w:rsidRDefault="002C45BA" w:rsidP="002C45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sz w:val="36"/>
          <w:szCs w:val="36"/>
          <w:rtl/>
        </w:rPr>
      </w:pPr>
    </w:p>
    <w:p w:rsidR="002C45BA" w:rsidRDefault="002C45BA" w:rsidP="002C45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sz w:val="36"/>
          <w:szCs w:val="36"/>
          <w:rtl/>
        </w:rPr>
      </w:pPr>
    </w:p>
    <w:p w:rsidR="002C45BA" w:rsidRDefault="002C45BA" w:rsidP="002C45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sz w:val="36"/>
          <w:szCs w:val="36"/>
          <w:rtl/>
        </w:rPr>
      </w:pPr>
    </w:p>
    <w:p w:rsidR="001747E2" w:rsidRPr="00F26C86" w:rsidRDefault="001747E2" w:rsidP="001747E2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b/>
          <w:bCs/>
          <w:sz w:val="36"/>
          <w:szCs w:val="36"/>
        </w:rPr>
      </w:pPr>
      <w:r w:rsidRPr="00F26C86">
        <w:rPr>
          <w:rFonts w:ascii="Traditional Arabic" w:hAnsi="Traditional Arabic" w:cs="AL-Mohanad" w:hint="cs"/>
          <w:b/>
          <w:bCs/>
          <w:sz w:val="36"/>
          <w:szCs w:val="36"/>
          <w:rtl/>
        </w:rPr>
        <w:lastRenderedPageBreak/>
        <w:t>الأثر المترتب على انتفاع الشريك بسهمه مع إدخال الضرر على شريكه :</w:t>
      </w:r>
    </w:p>
    <w:p w:rsidR="00F26C86" w:rsidRDefault="001747E2" w:rsidP="001747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sz w:val="36"/>
          <w:szCs w:val="36"/>
          <w:rtl/>
        </w:rPr>
      </w:pPr>
      <w:r>
        <w:rPr>
          <w:rFonts w:ascii="Traditional Arabic" w:hAnsi="Traditional Arabic" w:cs="AL-Mohanad" w:hint="cs"/>
          <w:sz w:val="36"/>
          <w:szCs w:val="36"/>
          <w:rtl/>
        </w:rPr>
        <w:t>في هذه الحالة يمنع الشريك من إدخال الضرر على شري</w:t>
      </w:r>
      <w:r w:rsidR="00F26C86">
        <w:rPr>
          <w:rFonts w:ascii="Traditional Arabic" w:hAnsi="Traditional Arabic" w:cs="AL-Mohanad" w:hint="cs"/>
          <w:sz w:val="36"/>
          <w:szCs w:val="36"/>
          <w:rtl/>
        </w:rPr>
        <w:t>كه؛ لما في فيه من الافتيات عليه.</w:t>
      </w:r>
    </w:p>
    <w:p w:rsidR="0064682F" w:rsidRDefault="001747E2" w:rsidP="002C45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sz w:val="36"/>
          <w:szCs w:val="36"/>
          <w:rtl/>
        </w:rPr>
      </w:pPr>
      <w:r>
        <w:rPr>
          <w:rFonts w:ascii="Traditional Arabic" w:hAnsi="Traditional Arabic" w:cs="AL-Mohanad" w:hint="cs"/>
          <w:sz w:val="36"/>
          <w:szCs w:val="36"/>
          <w:rtl/>
        </w:rPr>
        <w:t xml:space="preserve"> </w:t>
      </w:r>
      <w:r w:rsidRPr="001747E2">
        <w:rPr>
          <w:rFonts w:ascii="Traditional Arabic" w:hAnsi="Traditional Arabic" w:cs="AL-Mohanad" w:hint="cs"/>
          <w:b/>
          <w:bCs/>
          <w:sz w:val="36"/>
          <w:szCs w:val="36"/>
          <w:rtl/>
        </w:rPr>
        <w:t>جاء في كشاف القناع ما نصه</w:t>
      </w:r>
      <w:r>
        <w:rPr>
          <w:rFonts w:ascii="Traditional Arabic" w:hAnsi="Traditional Arabic" w:cs="AL-Mohanad" w:hint="cs"/>
          <w:sz w:val="36"/>
          <w:szCs w:val="36"/>
          <w:rtl/>
        </w:rPr>
        <w:t xml:space="preserve"> " </w:t>
      </w:r>
      <w:r>
        <w:rPr>
          <w:rFonts w:ascii="Traditional Arabic" w:hAnsi="Traditional Arabic" w:cs="AL-Mohanad"/>
          <w:sz w:val="36"/>
          <w:szCs w:val="36"/>
          <w:rtl/>
        </w:rPr>
        <w:t>ف</w:t>
      </w:r>
      <w:r>
        <w:rPr>
          <w:rFonts w:ascii="Traditional Arabic" w:hAnsi="Traditional Arabic" w:cs="AL-Mohanad" w:hint="cs"/>
          <w:sz w:val="36"/>
          <w:szCs w:val="36"/>
          <w:rtl/>
        </w:rPr>
        <w:t>إ</w:t>
      </w:r>
      <w:r w:rsidRPr="001747E2">
        <w:rPr>
          <w:rFonts w:ascii="Traditional Arabic" w:hAnsi="Traditional Arabic" w:cs="AL-Mohanad"/>
          <w:sz w:val="36"/>
          <w:szCs w:val="36"/>
          <w:rtl/>
        </w:rPr>
        <w:t>ذا كان له سهم يسير</w:t>
      </w:r>
      <w:r>
        <w:rPr>
          <w:rFonts w:ascii="Traditional Arabic" w:hAnsi="Traditional Arabic" w:cs="AL-Mohanad"/>
          <w:sz w:val="36"/>
          <w:szCs w:val="36"/>
          <w:rtl/>
        </w:rPr>
        <w:t xml:space="preserve"> لا يمكنه الانتفاع به </w:t>
      </w:r>
      <w:r>
        <w:rPr>
          <w:rFonts w:ascii="Traditional Arabic" w:hAnsi="Traditional Arabic" w:cs="AL-Mohanad" w:hint="cs"/>
          <w:sz w:val="36"/>
          <w:szCs w:val="36"/>
          <w:rtl/>
        </w:rPr>
        <w:t>إ</w:t>
      </w:r>
      <w:r w:rsidRPr="001747E2">
        <w:rPr>
          <w:rFonts w:ascii="Traditional Arabic" w:hAnsi="Traditional Arabic" w:cs="AL-Mohanad"/>
          <w:sz w:val="36"/>
          <w:szCs w:val="36"/>
          <w:rtl/>
        </w:rPr>
        <w:t>لا بإدخال الضرر على شركائه وافتياته عليهم منع من التصرف فيه واجبر على بيعه</w:t>
      </w:r>
      <w:r>
        <w:rPr>
          <w:rFonts w:ascii="Traditional Arabic" w:hAnsi="Traditional Arabic" w:cs="AL-Mohanad" w:hint="cs"/>
          <w:sz w:val="36"/>
          <w:szCs w:val="36"/>
          <w:rtl/>
        </w:rPr>
        <w:t xml:space="preserve"> "</w:t>
      </w:r>
      <w:r w:rsidR="004202AE" w:rsidRPr="002C45BA">
        <w:rPr>
          <w:rStyle w:val="a6"/>
          <w:rFonts w:ascii="Traditional Arabic" w:hAnsi="Traditional Arabic" w:cs="AL-Mohanad"/>
          <w:sz w:val="36"/>
          <w:rtl/>
        </w:rPr>
        <w:footnoteReference w:id="9"/>
      </w:r>
      <w:r w:rsidR="002C45BA" w:rsidRPr="002C45BA">
        <w:rPr>
          <w:rFonts w:ascii="Traditional Arabic" w:hAnsi="Traditional Arabic" w:cs="AL-Mohanad" w:hint="cs"/>
          <w:sz w:val="36"/>
          <w:szCs w:val="36"/>
          <w:rtl/>
        </w:rPr>
        <w:t>.</w:t>
      </w:r>
    </w:p>
    <w:p w:rsidR="002C45BA" w:rsidRPr="00295B3B" w:rsidRDefault="002C45BA" w:rsidP="002C45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sz w:val="36"/>
          <w:szCs w:val="36"/>
          <w:rtl/>
        </w:rPr>
      </w:pPr>
    </w:p>
    <w:p w:rsidR="00F20536" w:rsidRPr="000B6475" w:rsidRDefault="00F20536" w:rsidP="000B6475">
      <w:pPr>
        <w:tabs>
          <w:tab w:val="left" w:pos="720"/>
          <w:tab w:val="left" w:pos="1260"/>
        </w:tabs>
        <w:ind w:left="360" w:firstLine="0"/>
        <w:jc w:val="center"/>
        <w:rPr>
          <w:rFonts w:cs="DecoType Naskh Variants"/>
          <w:sz w:val="36"/>
          <w:szCs w:val="36"/>
        </w:rPr>
      </w:pPr>
    </w:p>
    <w:sectPr w:rsidR="00F20536" w:rsidRPr="000B6475" w:rsidSect="00241F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418" w:right="1985" w:bottom="1418" w:left="1418" w:header="709" w:footer="709" w:gutter="0"/>
      <w:pgNumType w:start="105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8D5" w:rsidRDefault="00FE18D5" w:rsidP="009813E7">
      <w:pPr>
        <w:spacing w:after="0" w:line="240" w:lineRule="auto"/>
      </w:pPr>
      <w:r>
        <w:separator/>
      </w:r>
    </w:p>
  </w:endnote>
  <w:endnote w:type="continuationSeparator" w:id="1">
    <w:p w:rsidR="00FE18D5" w:rsidRDefault="00FE18D5" w:rsidP="00981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hurooq 03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 Fosta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Rika S_I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CS Rika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45F" w:rsidRDefault="0000245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FA6" w:rsidRPr="0000245F" w:rsidRDefault="00BD1E4C" w:rsidP="00241FA6">
    <w:pPr>
      <w:pStyle w:val="a4"/>
      <w:pBdr>
        <w:top w:val="thinThickSmallGap" w:sz="24" w:space="1" w:color="622423" w:themeColor="accent2" w:themeShade="7F"/>
      </w:pBdr>
      <w:ind w:firstLine="0"/>
      <w:jc w:val="center"/>
      <w:rPr>
        <w:rFonts w:asciiTheme="majorHAnsi" w:hAnsiTheme="majorHAnsi" w:cs="AL-Mohanad"/>
        <w:sz w:val="28"/>
        <w:szCs w:val="28"/>
      </w:rPr>
    </w:pPr>
    <w:r w:rsidRPr="0000245F">
      <w:rPr>
        <w:rFonts w:cs="AL-Mohanad"/>
        <w:sz w:val="28"/>
        <w:szCs w:val="28"/>
      </w:rPr>
      <w:fldChar w:fldCharType="begin"/>
    </w:r>
    <w:r w:rsidRPr="0000245F">
      <w:rPr>
        <w:rFonts w:cs="AL-Mohanad"/>
        <w:sz w:val="28"/>
        <w:szCs w:val="28"/>
      </w:rPr>
      <w:instrText xml:space="preserve"> PAGE   \* MERGEFORMAT </w:instrText>
    </w:r>
    <w:r w:rsidRPr="0000245F">
      <w:rPr>
        <w:rFonts w:cs="AL-Mohanad"/>
        <w:sz w:val="28"/>
        <w:szCs w:val="28"/>
      </w:rPr>
      <w:fldChar w:fldCharType="separate"/>
    </w:r>
    <w:r w:rsidR="0000245F" w:rsidRPr="0000245F">
      <w:rPr>
        <w:rFonts w:asciiTheme="majorHAnsi" w:hAnsiTheme="majorHAnsi" w:cs="AL-Mohanad"/>
        <w:noProof/>
        <w:sz w:val="28"/>
        <w:szCs w:val="28"/>
        <w:rtl/>
        <w:lang w:val="ar-SA"/>
      </w:rPr>
      <w:t>108</w:t>
    </w:r>
    <w:r w:rsidRPr="0000245F">
      <w:rPr>
        <w:rFonts w:cs="AL-Mohanad"/>
        <w:sz w:val="28"/>
        <w:szCs w:val="28"/>
      </w:rPr>
      <w:fldChar w:fldCharType="end"/>
    </w:r>
  </w:p>
  <w:p w:rsidR="009E5CC6" w:rsidRDefault="009E5CC6" w:rsidP="00E60FB7">
    <w:pPr>
      <w:pStyle w:val="a4"/>
      <w:ind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45F" w:rsidRDefault="000024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8D5" w:rsidRDefault="00FE18D5" w:rsidP="009813E7">
      <w:pPr>
        <w:spacing w:after="0" w:line="240" w:lineRule="auto"/>
      </w:pPr>
      <w:r>
        <w:separator/>
      </w:r>
    </w:p>
  </w:footnote>
  <w:footnote w:type="continuationSeparator" w:id="1">
    <w:p w:rsidR="00FE18D5" w:rsidRDefault="00FE18D5" w:rsidP="009813E7">
      <w:pPr>
        <w:spacing w:after="0" w:line="240" w:lineRule="auto"/>
      </w:pPr>
      <w:r>
        <w:continuationSeparator/>
      </w:r>
    </w:p>
  </w:footnote>
  <w:footnote w:id="2">
    <w:p w:rsidR="00B575F5" w:rsidRPr="001747E2" w:rsidRDefault="00B575F5" w:rsidP="00B575F5">
      <w:pPr>
        <w:pStyle w:val="a7"/>
        <w:rPr>
          <w:rFonts w:cs="AL-Mohanad"/>
          <w:rtl/>
        </w:rPr>
      </w:pPr>
      <w:r w:rsidRPr="001747E2">
        <w:rPr>
          <w:rStyle w:val="a6"/>
          <w:rFonts w:cs="AL-Mohanad"/>
        </w:rPr>
        <w:footnoteRef/>
      </w:r>
      <w:r w:rsidRPr="001747E2">
        <w:rPr>
          <w:rFonts w:cs="AL-Mohanad"/>
          <w:rtl/>
        </w:rPr>
        <w:t xml:space="preserve"> </w:t>
      </w:r>
      <w:r w:rsidRPr="001747E2">
        <w:rPr>
          <w:rFonts w:cs="AL-Mohanad" w:hint="cs"/>
          <w:rtl/>
        </w:rPr>
        <w:t>بدائع الصنائع, 7/19</w:t>
      </w:r>
    </w:p>
  </w:footnote>
  <w:footnote w:id="3">
    <w:p w:rsidR="00B575F5" w:rsidRPr="001747E2" w:rsidRDefault="00B575F5" w:rsidP="00B575F5">
      <w:pPr>
        <w:pStyle w:val="a7"/>
        <w:rPr>
          <w:rFonts w:cs="AL-Mohanad"/>
        </w:rPr>
      </w:pPr>
      <w:r w:rsidRPr="001747E2">
        <w:rPr>
          <w:rStyle w:val="a6"/>
          <w:rFonts w:cs="AL-Mohanad"/>
        </w:rPr>
        <w:footnoteRef/>
      </w:r>
      <w:r w:rsidRPr="001747E2">
        <w:rPr>
          <w:rFonts w:cs="AL-Mohanad"/>
          <w:rtl/>
        </w:rPr>
        <w:t xml:space="preserve"> </w:t>
      </w:r>
      <w:r w:rsidRPr="001747E2">
        <w:rPr>
          <w:rFonts w:cs="AL-Mohanad" w:hint="cs"/>
          <w:rtl/>
        </w:rPr>
        <w:t>الفواكه الدواني, 7/376, حاشية العدوي على شرح كفاية الطالب, 7/284</w:t>
      </w:r>
    </w:p>
  </w:footnote>
  <w:footnote w:id="4">
    <w:p w:rsidR="00B575F5" w:rsidRPr="001747E2" w:rsidRDefault="00B575F5" w:rsidP="00B575F5">
      <w:pPr>
        <w:pStyle w:val="a7"/>
        <w:rPr>
          <w:rFonts w:cs="AL-Mohanad"/>
        </w:rPr>
      </w:pPr>
      <w:r w:rsidRPr="001747E2">
        <w:rPr>
          <w:rStyle w:val="a6"/>
          <w:rFonts w:cs="AL-Mohanad"/>
        </w:rPr>
        <w:footnoteRef/>
      </w:r>
      <w:r w:rsidRPr="001747E2">
        <w:rPr>
          <w:rFonts w:cs="AL-Mohanad"/>
          <w:rtl/>
        </w:rPr>
        <w:t xml:space="preserve"> </w:t>
      </w:r>
      <w:r w:rsidRPr="001747E2">
        <w:rPr>
          <w:rFonts w:cs="AL-Mohanad" w:hint="cs"/>
          <w:rtl/>
        </w:rPr>
        <w:t>مغني المحتاج, 4/420</w:t>
      </w:r>
    </w:p>
  </w:footnote>
  <w:footnote w:id="5">
    <w:p w:rsidR="00B575F5" w:rsidRPr="001747E2" w:rsidRDefault="00B575F5" w:rsidP="00B575F5">
      <w:pPr>
        <w:pStyle w:val="a7"/>
        <w:rPr>
          <w:rFonts w:cs="AL-Mohanad"/>
          <w:rtl/>
        </w:rPr>
      </w:pPr>
      <w:r w:rsidRPr="001747E2">
        <w:rPr>
          <w:rStyle w:val="a6"/>
          <w:rFonts w:cs="AL-Mohanad"/>
        </w:rPr>
        <w:footnoteRef/>
      </w:r>
      <w:r w:rsidRPr="001747E2">
        <w:rPr>
          <w:rFonts w:cs="AL-Mohanad"/>
          <w:rtl/>
        </w:rPr>
        <w:t xml:space="preserve"> </w:t>
      </w:r>
      <w:r w:rsidRPr="001747E2">
        <w:rPr>
          <w:rFonts w:cs="AL-Mohanad" w:hint="cs"/>
          <w:rtl/>
        </w:rPr>
        <w:t>كشاف القناع, 6/372, حاشية الروض المربع, 7/4</w:t>
      </w:r>
      <w:r w:rsidR="002C45BA">
        <w:rPr>
          <w:rFonts w:cs="AL-Mohanad" w:hint="cs"/>
          <w:rtl/>
        </w:rPr>
        <w:t>96</w:t>
      </w:r>
    </w:p>
  </w:footnote>
  <w:footnote w:id="6">
    <w:p w:rsidR="00B575F5" w:rsidRDefault="00B575F5" w:rsidP="00B575F5">
      <w:pPr>
        <w:pStyle w:val="a7"/>
        <w:rPr>
          <w:rtl/>
        </w:rPr>
      </w:pPr>
      <w:r>
        <w:rPr>
          <w:rStyle w:val="a6"/>
        </w:rPr>
        <w:footnoteRef/>
      </w:r>
      <w:r>
        <w:rPr>
          <w:rtl/>
        </w:rPr>
        <w:t xml:space="preserve"> </w:t>
      </w:r>
      <w:r w:rsidRPr="001747E2">
        <w:rPr>
          <w:rFonts w:cs="AL-Mohanad" w:hint="cs"/>
          <w:rtl/>
        </w:rPr>
        <w:t>مغني المحتاج, 4/420</w:t>
      </w:r>
    </w:p>
  </w:footnote>
  <w:footnote w:id="7">
    <w:p w:rsidR="00B575F5" w:rsidRDefault="00B575F5" w:rsidP="00B575F5">
      <w:pPr>
        <w:pStyle w:val="a7"/>
        <w:rPr>
          <w:rtl/>
        </w:rPr>
      </w:pPr>
      <w:r>
        <w:rPr>
          <w:rStyle w:val="a6"/>
        </w:rPr>
        <w:footnoteRef/>
      </w:r>
      <w:r>
        <w:rPr>
          <w:rtl/>
        </w:rPr>
        <w:t xml:space="preserve"> </w:t>
      </w:r>
      <w:r w:rsidRPr="001747E2">
        <w:rPr>
          <w:rFonts w:cs="AL-Mohanad" w:hint="cs"/>
          <w:rtl/>
        </w:rPr>
        <w:t>الفواكه الدواني, 7/376</w:t>
      </w:r>
    </w:p>
  </w:footnote>
  <w:footnote w:id="8">
    <w:p w:rsidR="00B575F5" w:rsidRDefault="00B575F5" w:rsidP="00B575F5">
      <w:pPr>
        <w:pStyle w:val="a7"/>
        <w:rPr>
          <w:rtl/>
        </w:rPr>
      </w:pPr>
      <w:r>
        <w:rPr>
          <w:rStyle w:val="a6"/>
        </w:rPr>
        <w:footnoteRef/>
      </w:r>
      <w:r>
        <w:rPr>
          <w:rtl/>
        </w:rPr>
        <w:t xml:space="preserve"> </w:t>
      </w:r>
      <w:r w:rsidRPr="001747E2">
        <w:rPr>
          <w:rFonts w:cs="AL-Mohanad" w:hint="cs"/>
          <w:rtl/>
        </w:rPr>
        <w:t>كشاف القناع, 6/372</w:t>
      </w:r>
    </w:p>
  </w:footnote>
  <w:footnote w:id="9">
    <w:p w:rsidR="004202AE" w:rsidRPr="001747E2" w:rsidRDefault="004202AE" w:rsidP="00B61832">
      <w:pPr>
        <w:pStyle w:val="a7"/>
        <w:rPr>
          <w:rFonts w:cs="AL-Mohanad"/>
          <w:rtl/>
        </w:rPr>
      </w:pPr>
      <w:r w:rsidRPr="001747E2">
        <w:rPr>
          <w:rStyle w:val="a6"/>
          <w:rFonts w:cs="AL-Mohanad"/>
        </w:rPr>
        <w:footnoteRef/>
      </w:r>
      <w:r w:rsidRPr="001747E2">
        <w:rPr>
          <w:rFonts w:cs="AL-Mohanad" w:hint="cs"/>
          <w:rtl/>
        </w:rPr>
        <w:t xml:space="preserve"> </w:t>
      </w:r>
      <w:r w:rsidR="006F1D52">
        <w:rPr>
          <w:rFonts w:cs="AL-Mohanad" w:hint="cs"/>
          <w:rtl/>
        </w:rPr>
        <w:t xml:space="preserve">كشاف القناع </w:t>
      </w:r>
      <w:r w:rsidRPr="001747E2">
        <w:rPr>
          <w:rFonts w:cs="AL-Mohanad" w:hint="cs"/>
          <w:rtl/>
        </w:rPr>
        <w:t>11/334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45F" w:rsidRDefault="0000245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CS Rika S_U normal."/>
        <w:sz w:val="32"/>
        <w:szCs w:val="32"/>
        <w:rtl/>
      </w:rPr>
      <w:alias w:val="Title"/>
      <w:id w:val="751336"/>
      <w:placeholder>
        <w:docPart w:val="C55EEB68372D4445872AABD435FBDDE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813E7" w:rsidRPr="009813E7" w:rsidRDefault="00F26C86" w:rsidP="00F26C86">
        <w:pPr>
          <w:pStyle w:val="a3"/>
          <w:pBdr>
            <w:bottom w:val="thickThinSmallGap" w:sz="24" w:space="1" w:color="622423" w:themeColor="accent2" w:themeShade="7F"/>
          </w:pBdr>
          <w:jc w:val="left"/>
          <w:rPr>
            <w:rFonts w:asciiTheme="majorHAnsi" w:eastAsiaTheme="majorEastAsia" w:hAnsiTheme="majorHAnsi" w:cs="MCS Rika S_U normal."/>
            <w:sz w:val="32"/>
            <w:szCs w:val="32"/>
          </w:rPr>
        </w:pPr>
        <w:r>
          <w:rPr>
            <w:rFonts w:asciiTheme="majorHAnsi" w:eastAsiaTheme="majorEastAsia" w:hAnsiTheme="majorHAnsi" w:cs="MCS Rika S_U normal." w:hint="cs"/>
            <w:sz w:val="32"/>
            <w:szCs w:val="32"/>
            <w:rtl/>
          </w:rPr>
          <w:t>الافتيات على غير الإمام في كتاب المعاملات</w:t>
        </w:r>
      </w:p>
    </w:sdtContent>
  </w:sdt>
  <w:p w:rsidR="009813E7" w:rsidRDefault="009813E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45F" w:rsidRDefault="0000245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80992"/>
    <w:multiLevelType w:val="hybridMultilevel"/>
    <w:tmpl w:val="8962E2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954C6C"/>
    <w:multiLevelType w:val="hybridMultilevel"/>
    <w:tmpl w:val="90FA4950"/>
    <w:lvl w:ilvl="0" w:tplc="365CCA4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981E5C"/>
    <w:multiLevelType w:val="hybridMultilevel"/>
    <w:tmpl w:val="E01636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851248"/>
    <w:multiLevelType w:val="hybridMultilevel"/>
    <w:tmpl w:val="D6E80730"/>
    <w:lvl w:ilvl="0" w:tplc="62D06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E401D2">
      <w:start w:val="1"/>
      <w:numFmt w:val="bullet"/>
      <w:lvlText w:val=""/>
      <w:lvlJc w:val="center"/>
      <w:pPr>
        <w:tabs>
          <w:tab w:val="num" w:pos="1440"/>
        </w:tabs>
        <w:ind w:left="1152" w:hanging="72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F114F"/>
    <w:multiLevelType w:val="hybridMultilevel"/>
    <w:tmpl w:val="8E863A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A04A4C"/>
    <w:multiLevelType w:val="hybridMultilevel"/>
    <w:tmpl w:val="1074A6E0"/>
    <w:lvl w:ilvl="0" w:tplc="7610DE0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3E1DAE"/>
    <w:multiLevelType w:val="hybridMultilevel"/>
    <w:tmpl w:val="144ABD6A"/>
    <w:lvl w:ilvl="0" w:tplc="62D06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E401D2">
      <w:start w:val="1"/>
      <w:numFmt w:val="bullet"/>
      <w:lvlText w:val=""/>
      <w:lvlJc w:val="center"/>
      <w:pPr>
        <w:tabs>
          <w:tab w:val="num" w:pos="1440"/>
        </w:tabs>
        <w:ind w:left="1152" w:hanging="72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7F642C"/>
    <w:multiLevelType w:val="hybridMultilevel"/>
    <w:tmpl w:val="1EDE6DC6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42E3371E"/>
    <w:multiLevelType w:val="hybridMultilevel"/>
    <w:tmpl w:val="65DE8366"/>
    <w:lvl w:ilvl="0" w:tplc="62D06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E401D2">
      <w:start w:val="1"/>
      <w:numFmt w:val="bullet"/>
      <w:lvlText w:val=""/>
      <w:lvlJc w:val="center"/>
      <w:pPr>
        <w:tabs>
          <w:tab w:val="num" w:pos="1440"/>
        </w:tabs>
        <w:ind w:left="1152" w:hanging="72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18192E"/>
    <w:multiLevelType w:val="hybridMultilevel"/>
    <w:tmpl w:val="435C7E78"/>
    <w:lvl w:ilvl="0" w:tplc="DE889BF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7609B8"/>
    <w:multiLevelType w:val="hybridMultilevel"/>
    <w:tmpl w:val="10588490"/>
    <w:lvl w:ilvl="0" w:tplc="6D90ACB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2CE6DF3"/>
    <w:multiLevelType w:val="hybridMultilevel"/>
    <w:tmpl w:val="84EAABDC"/>
    <w:lvl w:ilvl="0" w:tplc="62D06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4E268B"/>
    <w:multiLevelType w:val="hybridMultilevel"/>
    <w:tmpl w:val="C900ADB6"/>
    <w:lvl w:ilvl="0" w:tplc="EBE2EA00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C81653A"/>
    <w:multiLevelType w:val="hybridMultilevel"/>
    <w:tmpl w:val="69F2DC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2C65F85"/>
    <w:multiLevelType w:val="hybridMultilevel"/>
    <w:tmpl w:val="9D0C4E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481461B"/>
    <w:multiLevelType w:val="hybridMultilevel"/>
    <w:tmpl w:val="84D69216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1"/>
  </w:num>
  <w:num w:numId="5">
    <w:abstractNumId w:val="4"/>
  </w:num>
  <w:num w:numId="6">
    <w:abstractNumId w:val="14"/>
  </w:num>
  <w:num w:numId="7">
    <w:abstractNumId w:val="2"/>
  </w:num>
  <w:num w:numId="8">
    <w:abstractNumId w:val="7"/>
  </w:num>
  <w:num w:numId="9">
    <w:abstractNumId w:val="13"/>
  </w:num>
  <w:num w:numId="10">
    <w:abstractNumId w:val="1"/>
  </w:num>
  <w:num w:numId="11">
    <w:abstractNumId w:val="9"/>
  </w:num>
  <w:num w:numId="12">
    <w:abstractNumId w:val="12"/>
  </w:num>
  <w:num w:numId="13">
    <w:abstractNumId w:val="10"/>
  </w:num>
  <w:num w:numId="14">
    <w:abstractNumId w:val="0"/>
  </w:num>
  <w:num w:numId="15">
    <w:abstractNumId w:val="5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9813E7"/>
    <w:rsid w:val="00001157"/>
    <w:rsid w:val="0000245F"/>
    <w:rsid w:val="00044106"/>
    <w:rsid w:val="00074346"/>
    <w:rsid w:val="0007502A"/>
    <w:rsid w:val="000B6475"/>
    <w:rsid w:val="000E2874"/>
    <w:rsid w:val="000F2F11"/>
    <w:rsid w:val="00101517"/>
    <w:rsid w:val="001303AA"/>
    <w:rsid w:val="00144CBB"/>
    <w:rsid w:val="00167795"/>
    <w:rsid w:val="001747E2"/>
    <w:rsid w:val="001D541B"/>
    <w:rsid w:val="001F2395"/>
    <w:rsid w:val="002119D6"/>
    <w:rsid w:val="00225AA9"/>
    <w:rsid w:val="00225DC1"/>
    <w:rsid w:val="0023174F"/>
    <w:rsid w:val="00241FA6"/>
    <w:rsid w:val="00242FE5"/>
    <w:rsid w:val="00247D16"/>
    <w:rsid w:val="002550F9"/>
    <w:rsid w:val="00255373"/>
    <w:rsid w:val="002760B4"/>
    <w:rsid w:val="0028120D"/>
    <w:rsid w:val="002847DC"/>
    <w:rsid w:val="00295B3B"/>
    <w:rsid w:val="002B1F5D"/>
    <w:rsid w:val="002B2EBE"/>
    <w:rsid w:val="002B48CF"/>
    <w:rsid w:val="002C45BA"/>
    <w:rsid w:val="0035270F"/>
    <w:rsid w:val="00397C0F"/>
    <w:rsid w:val="003B08FB"/>
    <w:rsid w:val="003D4496"/>
    <w:rsid w:val="003E4C6B"/>
    <w:rsid w:val="004202AE"/>
    <w:rsid w:val="00423C6B"/>
    <w:rsid w:val="00427E95"/>
    <w:rsid w:val="004944B0"/>
    <w:rsid w:val="004A7C5F"/>
    <w:rsid w:val="004D4521"/>
    <w:rsid w:val="0054633F"/>
    <w:rsid w:val="0059638A"/>
    <w:rsid w:val="005A104F"/>
    <w:rsid w:val="005A683C"/>
    <w:rsid w:val="005C5C6B"/>
    <w:rsid w:val="005D6AF4"/>
    <w:rsid w:val="00616090"/>
    <w:rsid w:val="00627DD1"/>
    <w:rsid w:val="0064682F"/>
    <w:rsid w:val="0066208C"/>
    <w:rsid w:val="006724A3"/>
    <w:rsid w:val="006B736F"/>
    <w:rsid w:val="006D5531"/>
    <w:rsid w:val="006D6405"/>
    <w:rsid w:val="006E66E0"/>
    <w:rsid w:val="006F1D52"/>
    <w:rsid w:val="00730FB3"/>
    <w:rsid w:val="007346C7"/>
    <w:rsid w:val="007627A3"/>
    <w:rsid w:val="00787294"/>
    <w:rsid w:val="007901AB"/>
    <w:rsid w:val="007A3703"/>
    <w:rsid w:val="0082054F"/>
    <w:rsid w:val="00823B8D"/>
    <w:rsid w:val="00872779"/>
    <w:rsid w:val="00885753"/>
    <w:rsid w:val="008947C9"/>
    <w:rsid w:val="008B0AC7"/>
    <w:rsid w:val="008E75D6"/>
    <w:rsid w:val="008F552C"/>
    <w:rsid w:val="00904805"/>
    <w:rsid w:val="00922C18"/>
    <w:rsid w:val="009268F4"/>
    <w:rsid w:val="009428F8"/>
    <w:rsid w:val="009813E7"/>
    <w:rsid w:val="009A6441"/>
    <w:rsid w:val="009C6A1A"/>
    <w:rsid w:val="009E5CC6"/>
    <w:rsid w:val="00A30659"/>
    <w:rsid w:val="00A66C37"/>
    <w:rsid w:val="00A723E3"/>
    <w:rsid w:val="00AB537D"/>
    <w:rsid w:val="00AC4261"/>
    <w:rsid w:val="00AD2F90"/>
    <w:rsid w:val="00AE6538"/>
    <w:rsid w:val="00B04E54"/>
    <w:rsid w:val="00B25FD2"/>
    <w:rsid w:val="00B5036F"/>
    <w:rsid w:val="00B575F5"/>
    <w:rsid w:val="00B61832"/>
    <w:rsid w:val="00B64B1D"/>
    <w:rsid w:val="00B65F5B"/>
    <w:rsid w:val="00B81AA3"/>
    <w:rsid w:val="00B8245F"/>
    <w:rsid w:val="00BB014D"/>
    <w:rsid w:val="00BB0BFE"/>
    <w:rsid w:val="00BD1E4C"/>
    <w:rsid w:val="00BD24F7"/>
    <w:rsid w:val="00C23FFC"/>
    <w:rsid w:val="00C269DE"/>
    <w:rsid w:val="00C626D4"/>
    <w:rsid w:val="00C66035"/>
    <w:rsid w:val="00C94669"/>
    <w:rsid w:val="00CA6F67"/>
    <w:rsid w:val="00D22365"/>
    <w:rsid w:val="00D65B8C"/>
    <w:rsid w:val="00D73905"/>
    <w:rsid w:val="00DA2F44"/>
    <w:rsid w:val="00DE7BA1"/>
    <w:rsid w:val="00E14FA1"/>
    <w:rsid w:val="00E162CA"/>
    <w:rsid w:val="00E42DAC"/>
    <w:rsid w:val="00E60FB7"/>
    <w:rsid w:val="00EA4DE1"/>
    <w:rsid w:val="00EB79FA"/>
    <w:rsid w:val="00EF4CC0"/>
    <w:rsid w:val="00F01F19"/>
    <w:rsid w:val="00F06049"/>
    <w:rsid w:val="00F20536"/>
    <w:rsid w:val="00F2077A"/>
    <w:rsid w:val="00F26C86"/>
    <w:rsid w:val="00F92E0A"/>
    <w:rsid w:val="00FE18D5"/>
    <w:rsid w:val="00FE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F5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13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9813E7"/>
  </w:style>
  <w:style w:type="paragraph" w:styleId="a4">
    <w:name w:val="footer"/>
    <w:basedOn w:val="a"/>
    <w:link w:val="Char0"/>
    <w:uiPriority w:val="99"/>
    <w:unhideWhenUsed/>
    <w:rsid w:val="009813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9813E7"/>
  </w:style>
  <w:style w:type="paragraph" w:styleId="a5">
    <w:name w:val="Balloon Text"/>
    <w:basedOn w:val="a"/>
    <w:link w:val="Char1"/>
    <w:uiPriority w:val="99"/>
    <w:semiHidden/>
    <w:unhideWhenUsed/>
    <w:rsid w:val="00981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9813E7"/>
    <w:rPr>
      <w:rFonts w:ascii="Tahoma" w:hAnsi="Tahoma" w:cs="Tahoma"/>
      <w:sz w:val="16"/>
      <w:szCs w:val="16"/>
    </w:rPr>
  </w:style>
  <w:style w:type="character" w:styleId="a6">
    <w:name w:val="footnote reference"/>
    <w:aliases w:val="Footnote Reference"/>
    <w:basedOn w:val="a0"/>
    <w:semiHidden/>
    <w:rsid w:val="00AB537D"/>
    <w:rPr>
      <w:dstrike w:val="0"/>
      <w:kern w:val="0"/>
      <w:position w:val="10"/>
      <w:szCs w:val="28"/>
      <w:vertAlign w:val="baseline"/>
    </w:rPr>
  </w:style>
  <w:style w:type="paragraph" w:styleId="a7">
    <w:name w:val="footnote text"/>
    <w:aliases w:val="Footnote Text"/>
    <w:basedOn w:val="a"/>
    <w:link w:val="Char2"/>
    <w:semiHidden/>
    <w:rsid w:val="00AB537D"/>
    <w:pPr>
      <w:widowControl w:val="0"/>
      <w:spacing w:after="0" w:line="240" w:lineRule="atLeast"/>
      <w:ind w:firstLine="454"/>
      <w:jc w:val="lowKashida"/>
    </w:pPr>
    <w:rPr>
      <w:rFonts w:ascii="Tahoma" w:eastAsia="Times New Roman" w:hAnsi="Tahoma" w:cs="Traditional Arabic"/>
      <w:noProof/>
      <w:spacing w:val="2"/>
      <w:kern w:val="24"/>
      <w:position w:val="10"/>
      <w:sz w:val="20"/>
      <w:szCs w:val="28"/>
      <w:lang w:eastAsia="ar-SA"/>
    </w:rPr>
  </w:style>
  <w:style w:type="character" w:customStyle="1" w:styleId="Char2">
    <w:name w:val="نص حاشية سفلية Char"/>
    <w:aliases w:val="Footnote Text Char"/>
    <w:basedOn w:val="a0"/>
    <w:link w:val="a7"/>
    <w:semiHidden/>
    <w:rsid w:val="00AB537D"/>
    <w:rPr>
      <w:rFonts w:ascii="Tahoma" w:eastAsia="Times New Roman" w:hAnsi="Tahoma" w:cs="Traditional Arabic"/>
      <w:noProof/>
      <w:spacing w:val="2"/>
      <w:kern w:val="24"/>
      <w:position w:val="10"/>
      <w:sz w:val="20"/>
      <w:szCs w:val="28"/>
      <w:lang w:eastAsia="ar-SA"/>
    </w:rPr>
  </w:style>
  <w:style w:type="character" w:customStyle="1" w:styleId="style11">
    <w:name w:val="style11"/>
    <w:basedOn w:val="a0"/>
    <w:rsid w:val="00AB537D"/>
    <w:rPr>
      <w:rFonts w:cs="Traditional Arabic" w:hint="cs"/>
      <w:b/>
      <w:bCs/>
      <w:color w:val="000000"/>
      <w:sz w:val="36"/>
      <w:szCs w:val="36"/>
    </w:rPr>
  </w:style>
  <w:style w:type="character" w:customStyle="1" w:styleId="srch1">
    <w:name w:val="srch1"/>
    <w:basedOn w:val="a0"/>
    <w:rsid w:val="00AB537D"/>
    <w:rPr>
      <w:rFonts w:cs="Traditional Arabic" w:hint="cs"/>
      <w:b/>
      <w:bCs/>
      <w:color w:val="FF0000"/>
      <w:sz w:val="36"/>
      <w:szCs w:val="36"/>
    </w:rPr>
  </w:style>
  <w:style w:type="paragraph" w:styleId="a8">
    <w:name w:val="List Paragraph"/>
    <w:basedOn w:val="a"/>
    <w:uiPriority w:val="34"/>
    <w:qFormat/>
    <w:rsid w:val="00AC42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5EEB68372D4445872AABD435FBDDE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5185838-12EE-4A18-9A08-0FDA7D47637B}"/>
      </w:docPartPr>
      <w:docPartBody>
        <w:p w:rsidR="003810B6" w:rsidRDefault="00ED6D42" w:rsidP="00ED6D42">
          <w:pPr>
            <w:pStyle w:val="C55EEB68372D4445872AABD435FBDDE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hurooq 03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 Fosta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Rika S_I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CS Rika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D6D42"/>
    <w:rsid w:val="00075F63"/>
    <w:rsid w:val="000A6E7B"/>
    <w:rsid w:val="000C79DA"/>
    <w:rsid w:val="001E103F"/>
    <w:rsid w:val="00261F97"/>
    <w:rsid w:val="00322CD7"/>
    <w:rsid w:val="003810B6"/>
    <w:rsid w:val="00401653"/>
    <w:rsid w:val="0047159F"/>
    <w:rsid w:val="004F57CE"/>
    <w:rsid w:val="005E71BE"/>
    <w:rsid w:val="005F4F8F"/>
    <w:rsid w:val="0063418D"/>
    <w:rsid w:val="007A60DB"/>
    <w:rsid w:val="00CB47DB"/>
    <w:rsid w:val="00CB5E94"/>
    <w:rsid w:val="00DF0AEC"/>
    <w:rsid w:val="00E224C8"/>
    <w:rsid w:val="00E53B48"/>
    <w:rsid w:val="00E9112D"/>
    <w:rsid w:val="00E97459"/>
    <w:rsid w:val="00ED6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0B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8057EED95914DC28BEB108576EFF9AE">
    <w:name w:val="E8057EED95914DC28BEB108576EFF9AE"/>
    <w:rsid w:val="00ED6D42"/>
    <w:pPr>
      <w:bidi/>
    </w:pPr>
  </w:style>
  <w:style w:type="paragraph" w:customStyle="1" w:styleId="C55EEB68372D4445872AABD435FBDDE1">
    <w:name w:val="C55EEB68372D4445872AABD435FBDDE1"/>
    <w:rsid w:val="00ED6D42"/>
    <w:pPr>
      <w:bidi/>
    </w:pPr>
  </w:style>
  <w:style w:type="paragraph" w:customStyle="1" w:styleId="0C1BEDDC938E4791BD85FA11CCDF5AA6">
    <w:name w:val="0C1BEDDC938E4791BD85FA11CCDF5AA6"/>
    <w:rsid w:val="00ED6D42"/>
    <w:pPr>
      <w:bidi/>
    </w:pPr>
  </w:style>
  <w:style w:type="paragraph" w:customStyle="1" w:styleId="A95C09696C2A499CA37D3E005E11DE27">
    <w:name w:val="A95C09696C2A499CA37D3E005E11DE27"/>
    <w:rsid w:val="005F4F8F"/>
    <w:pPr>
      <w:bidi/>
    </w:pPr>
  </w:style>
  <w:style w:type="paragraph" w:customStyle="1" w:styleId="7A650BDC51E843AB9D4760D2D54F5627">
    <w:name w:val="7A650BDC51E843AB9D4760D2D54F5627"/>
    <w:rsid w:val="004F57CE"/>
    <w:pPr>
      <w:bidi/>
    </w:pPr>
  </w:style>
  <w:style w:type="paragraph" w:customStyle="1" w:styleId="5CD8740DAF844D42B5A8F4FBCEB2A9DF">
    <w:name w:val="5CD8740DAF844D42B5A8F4FBCEB2A9DF"/>
    <w:rsid w:val="00E53B48"/>
    <w:pPr>
      <w:bidi/>
    </w:pPr>
  </w:style>
  <w:style w:type="paragraph" w:customStyle="1" w:styleId="1994B00D0DB142A9A295228B1FF2DC74">
    <w:name w:val="1994B00D0DB142A9A295228B1FF2DC74"/>
    <w:rsid w:val="00E9112D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D228E5F-0082-421A-813B-1FAB5819D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الافتيات على غير الإمام في كتاب المعاملات</vt:lpstr>
    </vt:vector>
  </TitlesOfParts>
  <Company>TOSHIBA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الافتيات على غير الإمام في كتاب المعاملات</dc:title>
  <dc:creator>a</dc:creator>
  <cp:lastModifiedBy>User</cp:lastModifiedBy>
  <cp:revision>6</cp:revision>
  <cp:lastPrinted>2010-01-21T18:20:00Z</cp:lastPrinted>
  <dcterms:created xsi:type="dcterms:W3CDTF">2010-01-21T11:56:00Z</dcterms:created>
  <dcterms:modified xsi:type="dcterms:W3CDTF">2010-04-16T10:58:00Z</dcterms:modified>
</cp:coreProperties>
</file>