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E38" w:rsidRPr="000B415D" w:rsidRDefault="000B415D" w:rsidP="000B415D">
      <w:pPr>
        <w:spacing w:after="0" w:line="240" w:lineRule="auto"/>
        <w:jc w:val="center"/>
        <w:rPr>
          <w:rFonts w:cs="AL-Mateen"/>
          <w:sz w:val="36"/>
          <w:szCs w:val="36"/>
          <w:vertAlign w:val="superscript"/>
          <w:rtl/>
        </w:rPr>
      </w:pPr>
      <w:r>
        <w:rPr>
          <w:rFonts w:cs="AL-Mateen" w:hint="cs"/>
          <w:sz w:val="36"/>
          <w:szCs w:val="36"/>
          <w:rtl/>
        </w:rPr>
        <w:t>المطلب الثامن</w:t>
      </w:r>
      <w:r w:rsidR="00C74D21" w:rsidRPr="000B415D">
        <w:rPr>
          <w:rFonts w:cs="AL-Mateen" w:hint="cs"/>
          <w:sz w:val="36"/>
          <w:szCs w:val="36"/>
          <w:rtl/>
        </w:rPr>
        <w:t>:</w:t>
      </w:r>
      <w:r w:rsidR="00897DA2" w:rsidRPr="000B415D">
        <w:rPr>
          <w:rFonts w:cs="AL-Mateen" w:hint="cs"/>
          <w:sz w:val="36"/>
          <w:szCs w:val="36"/>
          <w:rtl/>
        </w:rPr>
        <w:t xml:space="preserve">  </w:t>
      </w:r>
      <w:r w:rsidR="00C310BF" w:rsidRPr="000B415D">
        <w:rPr>
          <w:rFonts w:cs="AL-Mateen" w:hint="cs"/>
          <w:sz w:val="36"/>
          <w:szCs w:val="36"/>
          <w:rtl/>
        </w:rPr>
        <w:t>الصلاة إلى النائم</w:t>
      </w:r>
      <w:r w:rsidR="00957B05" w:rsidRPr="000B415D">
        <w:rPr>
          <w:rFonts w:ascii="AGA Arabesque" w:hAnsi="AGA Arabesque" w:cs="AL-Mateen" w:hint="cs"/>
          <w:smallCaps/>
          <w:sz w:val="36"/>
          <w:szCs w:val="36"/>
          <w:rtl/>
        </w:rPr>
        <w:t>.</w:t>
      </w:r>
    </w:p>
    <w:p w:rsidR="00C310BF" w:rsidRPr="000B415D" w:rsidRDefault="00221D98" w:rsidP="00940386">
      <w:pPr>
        <w:spacing w:after="0" w:line="226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0B415D">
        <w:rPr>
          <w:rFonts w:ascii="Lotus Linotype" w:hAnsi="Lotus Linotype" w:cs="Lotus Linotype"/>
          <w:b/>
          <w:bCs/>
          <w:sz w:val="36"/>
          <w:szCs w:val="36"/>
          <w:rtl/>
          <w:lang w:eastAsia="ar-SA"/>
        </w:rPr>
        <w:t>اختار المباركفوري رحمه الله تعالى</w:t>
      </w:r>
      <w:r w:rsidR="000B415D">
        <w:rPr>
          <w:rFonts w:ascii="Lotus Linotype" w:hAnsi="Lotus Linotype" w:cs="Lotus Linotype" w:hint="cs"/>
          <w:b/>
          <w:bCs/>
          <w:sz w:val="36"/>
          <w:szCs w:val="36"/>
          <w:rtl/>
          <w:lang w:eastAsia="ar-SA"/>
        </w:rPr>
        <w:t xml:space="preserve"> </w:t>
      </w:r>
      <w:r w:rsidRPr="000B415D">
        <w:rPr>
          <w:rFonts w:ascii="Lotus Linotype" w:hAnsi="Lotus Linotype" w:cs="Lotus Linotype"/>
          <w:b/>
          <w:bCs/>
          <w:sz w:val="36"/>
          <w:szCs w:val="36"/>
          <w:rtl/>
          <w:lang w:eastAsia="ar-SA"/>
        </w:rPr>
        <w:t xml:space="preserve">جواز </w:t>
      </w:r>
      <w:r w:rsidR="00C310BF" w:rsidRPr="000B415D">
        <w:rPr>
          <w:rFonts w:ascii="Lotus Linotype" w:hAnsi="Lotus Linotype" w:cs="Lotus Linotype"/>
          <w:b/>
          <w:bCs/>
          <w:sz w:val="36"/>
          <w:szCs w:val="36"/>
          <w:rtl/>
          <w:lang w:eastAsia="ar-SA"/>
        </w:rPr>
        <w:t xml:space="preserve">الصلاة إلى النائم بلا كراهة </w:t>
      </w:r>
      <w:r w:rsidRPr="000B415D">
        <w:rPr>
          <w:rFonts w:ascii="Lotus Linotype" w:hAnsi="Lotus Linotype" w:cs="Lotus Linotype"/>
          <w:b/>
          <w:bCs/>
          <w:sz w:val="36"/>
          <w:szCs w:val="36"/>
          <w:rtl/>
          <w:lang w:eastAsia="ar-SA"/>
        </w:rPr>
        <w:t xml:space="preserve"> حيث قال رحمه الله  في شرح حديث عائشة </w:t>
      </w:r>
      <w:r w:rsidR="00D77058" w:rsidRPr="000B415D">
        <w:rPr>
          <w:rFonts w:ascii="Lotus Linotype" w:hAnsi="Lotus Linotype" w:cs="Lotus Linotype"/>
          <w:b/>
          <w:bCs/>
          <w:sz w:val="36"/>
          <w:szCs w:val="36"/>
          <w:rtl/>
          <w:lang w:eastAsia="ar-SA"/>
        </w:rPr>
        <w:t xml:space="preserve">رضي الله </w:t>
      </w:r>
      <w:r w:rsidRPr="000B415D">
        <w:rPr>
          <w:rFonts w:ascii="Lotus Linotype" w:hAnsi="Lotus Linotype" w:cs="Lotus Linotype"/>
          <w:b/>
          <w:bCs/>
          <w:sz w:val="36"/>
          <w:szCs w:val="36"/>
          <w:rtl/>
          <w:lang w:eastAsia="ar-SA"/>
        </w:rPr>
        <w:t>عنها</w:t>
      </w:r>
      <w:r w:rsidRPr="000B415D">
        <w:rPr>
          <w:rFonts w:ascii="Lotus Linotype" w:eastAsia="Times New Roman" w:hAnsi="Lotus Linotype" w:cs="Lotus Linotype"/>
          <w:b/>
          <w:bCs/>
          <w:sz w:val="36"/>
          <w:szCs w:val="36"/>
          <w:rtl/>
        </w:rPr>
        <w:t xml:space="preserve"> أنها قالت:كنت أنام بين يدي رسول الله </w:t>
      </w:r>
      <w:r w:rsidR="00D77058" w:rsidRPr="000B415D">
        <w:rPr>
          <w:rFonts w:ascii="Lotus Linotype" w:eastAsia="Times New Roman" w:hAnsi="Lotus Linotype" w:cs="Lotus Linotype"/>
          <w:b/>
          <w:bCs/>
          <w:sz w:val="36"/>
          <w:szCs w:val="36"/>
        </w:rPr>
        <w:sym w:font="AGA Arabesque" w:char="F072"/>
      </w:r>
      <w:r w:rsidRPr="000B415D">
        <w:rPr>
          <w:rFonts w:ascii="Lotus Linotype" w:eastAsia="Times New Roman" w:hAnsi="Lotus Linotype" w:cs="Lotus Linotype"/>
          <w:b/>
          <w:bCs/>
          <w:sz w:val="36"/>
          <w:szCs w:val="36"/>
          <w:rtl/>
        </w:rPr>
        <w:t xml:space="preserve"> ورجلاي في قبلته فإذا سجد غمزني فقبضت رجلي وإذا قام بسطتهما...</w:t>
      </w:r>
      <w:r w:rsidR="00EC23FB" w:rsidRPr="000B415D">
        <w:rPr>
          <w:rFonts w:ascii="Lotus Linotype" w:hAnsi="Lotus Linotype" w:cs="Traditional Arabic"/>
          <w:smallCaps/>
          <w:sz w:val="36"/>
          <w:szCs w:val="36"/>
          <w:vertAlign w:val="superscript"/>
          <w:rtl/>
        </w:rPr>
        <w:t>(</w:t>
      </w:r>
      <w:r w:rsidR="00EC23FB" w:rsidRPr="000B415D">
        <w:rPr>
          <w:rFonts w:ascii="Lotus Linotype" w:hAnsi="Lotus Linotype" w:cs="Traditional Arabic"/>
          <w:smallCaps/>
          <w:sz w:val="36"/>
          <w:szCs w:val="36"/>
          <w:vertAlign w:val="superscript"/>
          <w:rtl/>
        </w:rPr>
        <w:footnoteReference w:id="2"/>
      </w:r>
      <w:r w:rsidR="00EC23FB" w:rsidRPr="000B415D">
        <w:rPr>
          <w:rFonts w:ascii="Lotus Linotype" w:hAnsi="Lotus Linotype" w:cs="Traditional Arabic"/>
          <w:smallCaps/>
          <w:sz w:val="36"/>
          <w:szCs w:val="36"/>
          <w:vertAlign w:val="superscript"/>
          <w:rtl/>
        </w:rPr>
        <w:t>)</w:t>
      </w:r>
      <w:r w:rsidRPr="000B415D">
        <w:rPr>
          <w:rFonts w:ascii="Lotus Linotype" w:eastAsia="Times New Roman" w:hAnsi="Lotus Linotype" w:cs="Lotus Linotype"/>
          <w:b/>
          <w:bCs/>
          <w:sz w:val="36"/>
          <w:szCs w:val="36"/>
          <w:rtl/>
        </w:rPr>
        <w:t>:"</w:t>
      </w:r>
      <w:r w:rsidRPr="000B415D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فيه جواز</w:t>
      </w:r>
      <w:r w:rsidR="000B415D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الصلاة إلى النائم من غير كراهة</w:t>
      </w:r>
      <w:r w:rsidRPr="000B415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 ثم بدأ يرد على الذين قالوا بكراهة الصلاة إلى النائم,</w:t>
      </w:r>
      <w:r w:rsidR="000B415D">
        <w:rPr>
          <w:rFonts w:ascii="Lotus Linotype" w:eastAsia="Calibri" w:hAnsi="Lotus Linotype" w:cs="Lotus Linotype" w:hint="cs"/>
          <w:b/>
          <w:bCs/>
          <w:sz w:val="36"/>
          <w:szCs w:val="36"/>
          <w:rtl/>
        </w:rPr>
        <w:t xml:space="preserve"> </w:t>
      </w:r>
      <w:r w:rsidRPr="000B415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وضعف أدلتهم</w:t>
      </w:r>
      <w:r w:rsidR="00C310BF" w:rsidRPr="000B415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C310BF" w:rsidRPr="000B415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3"/>
      </w:r>
      <w:r w:rsidR="00C310BF" w:rsidRPr="000B415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C310BF" w:rsidRPr="000B415D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637BB5" w:rsidRPr="00574493" w:rsidRDefault="00FF1B23" w:rsidP="00940386">
      <w:pPr>
        <w:spacing w:after="0" w:line="226" w:lineRule="auto"/>
        <w:jc w:val="lowKashida"/>
        <w:rPr>
          <w:rFonts w:cs="Traditional Arabic"/>
          <w:sz w:val="36"/>
          <w:szCs w:val="36"/>
          <w:rtl/>
        </w:rPr>
      </w:pPr>
      <w:r w:rsidRPr="00574493">
        <w:rPr>
          <w:rFonts w:cs="Traditional Arabic" w:hint="cs"/>
          <w:sz w:val="36"/>
          <w:szCs w:val="36"/>
          <w:rtl/>
        </w:rPr>
        <w:t xml:space="preserve">لا شك أن الصلاة أفضل العبادات مطلقا بعد الإيمان, وبها يطمئن القلب بعد </w:t>
      </w:r>
      <w:r w:rsidR="00C92B28" w:rsidRPr="00574493">
        <w:rPr>
          <w:rFonts w:cs="Traditional Arabic" w:hint="cs"/>
          <w:sz w:val="36"/>
          <w:szCs w:val="36"/>
          <w:rtl/>
        </w:rPr>
        <w:t>الاضطراب</w:t>
      </w:r>
      <w:r w:rsidRPr="00574493">
        <w:rPr>
          <w:rFonts w:cs="Traditional Arabic" w:hint="cs"/>
          <w:sz w:val="36"/>
          <w:szCs w:val="36"/>
          <w:rtl/>
        </w:rPr>
        <w:t xml:space="preserve"> والحيران</w:t>
      </w:r>
      <w:r w:rsidR="00EC23FB">
        <w:rPr>
          <w:rFonts w:cs="Traditional Arabic" w:hint="cs"/>
          <w:sz w:val="36"/>
          <w:szCs w:val="36"/>
          <w:rtl/>
        </w:rPr>
        <w:t>؛</w:t>
      </w:r>
      <w:r w:rsidR="00C74D21" w:rsidRPr="00574493">
        <w:rPr>
          <w:rFonts w:cs="Traditional Arabic" w:hint="cs"/>
          <w:sz w:val="36"/>
          <w:szCs w:val="36"/>
          <w:rtl/>
        </w:rPr>
        <w:t>لأن</w:t>
      </w:r>
      <w:r w:rsidRPr="00574493">
        <w:rPr>
          <w:rFonts w:cs="Traditional Arabic" w:hint="cs"/>
          <w:sz w:val="36"/>
          <w:szCs w:val="36"/>
          <w:rtl/>
        </w:rPr>
        <w:t xml:space="preserve"> فيها مناجاة و</w:t>
      </w:r>
      <w:r w:rsidR="002B1B61" w:rsidRPr="00574493">
        <w:rPr>
          <w:rFonts w:cs="Traditional Arabic" w:hint="cs"/>
          <w:sz w:val="36"/>
          <w:szCs w:val="36"/>
          <w:rtl/>
        </w:rPr>
        <w:t>اتصال</w:t>
      </w:r>
      <w:r w:rsidRPr="00574493">
        <w:rPr>
          <w:rFonts w:cs="Traditional Arabic" w:hint="cs"/>
          <w:sz w:val="36"/>
          <w:szCs w:val="36"/>
          <w:rtl/>
        </w:rPr>
        <w:t xml:space="preserve"> بين العبد والد</w:t>
      </w:r>
      <w:r w:rsidR="00A57F82" w:rsidRPr="00574493">
        <w:rPr>
          <w:rFonts w:cs="Traditional Arabic" w:hint="cs"/>
          <w:sz w:val="36"/>
          <w:szCs w:val="36"/>
          <w:rtl/>
        </w:rPr>
        <w:t>َّ</w:t>
      </w:r>
      <w:r w:rsidRPr="00574493">
        <w:rPr>
          <w:rFonts w:cs="Traditional Arabic" w:hint="cs"/>
          <w:sz w:val="36"/>
          <w:szCs w:val="36"/>
          <w:rtl/>
        </w:rPr>
        <w:t>ي</w:t>
      </w:r>
      <w:r w:rsidR="00F63F10" w:rsidRPr="00574493">
        <w:rPr>
          <w:rFonts w:cs="Traditional Arabic" w:hint="cs"/>
          <w:sz w:val="36"/>
          <w:szCs w:val="36"/>
          <w:rtl/>
        </w:rPr>
        <w:t>َّ</w:t>
      </w:r>
      <w:r w:rsidRPr="00574493">
        <w:rPr>
          <w:rFonts w:cs="Traditional Arabic" w:hint="cs"/>
          <w:sz w:val="36"/>
          <w:szCs w:val="36"/>
          <w:rtl/>
        </w:rPr>
        <w:t>ان</w:t>
      </w:r>
      <w:r w:rsidR="00C74D21" w:rsidRPr="00574493">
        <w:rPr>
          <w:rFonts w:cs="Traditional Arabic" w:hint="cs"/>
          <w:sz w:val="36"/>
          <w:szCs w:val="36"/>
          <w:rtl/>
        </w:rPr>
        <w:t>,</w:t>
      </w:r>
      <w:r w:rsidRPr="00574493">
        <w:rPr>
          <w:rFonts w:cs="Traditional Arabic" w:hint="cs"/>
          <w:sz w:val="36"/>
          <w:szCs w:val="36"/>
          <w:rtl/>
        </w:rPr>
        <w:t xml:space="preserve"> </w:t>
      </w:r>
      <w:r w:rsidR="00C74D21" w:rsidRPr="00574493">
        <w:rPr>
          <w:rFonts w:cs="Traditional Arabic" w:hint="cs"/>
          <w:sz w:val="36"/>
          <w:szCs w:val="36"/>
          <w:rtl/>
        </w:rPr>
        <w:t>فشرعها</w:t>
      </w:r>
      <w:r w:rsidR="00EC23FB">
        <w:rPr>
          <w:rFonts w:cs="Traditional Arabic" w:hint="cs"/>
          <w:sz w:val="36"/>
          <w:szCs w:val="36"/>
          <w:rtl/>
        </w:rPr>
        <w:t xml:space="preserve"> الله</w:t>
      </w:r>
      <w:r w:rsidR="00C74D21" w:rsidRPr="00574493">
        <w:rPr>
          <w:rFonts w:cs="Traditional Arabic" w:hint="cs"/>
          <w:sz w:val="36"/>
          <w:szCs w:val="36"/>
          <w:rtl/>
        </w:rPr>
        <w:t xml:space="preserve"> لنا للذكر عند النسيان, </w:t>
      </w:r>
      <w:r w:rsidRPr="00574493">
        <w:rPr>
          <w:rFonts w:cs="Traditional Arabic" w:hint="cs"/>
          <w:sz w:val="36"/>
          <w:szCs w:val="36"/>
          <w:rtl/>
        </w:rPr>
        <w:t>وحث</w:t>
      </w:r>
      <w:r w:rsidR="00C74D21" w:rsidRPr="00574493">
        <w:rPr>
          <w:rFonts w:cs="Traditional Arabic" w:hint="cs"/>
          <w:sz w:val="36"/>
          <w:szCs w:val="36"/>
          <w:rtl/>
        </w:rPr>
        <w:t>َّ</w:t>
      </w:r>
      <w:r w:rsidR="00EC23FB">
        <w:rPr>
          <w:rFonts w:cs="Traditional Arabic" w:hint="cs"/>
          <w:sz w:val="36"/>
          <w:szCs w:val="36"/>
          <w:rtl/>
        </w:rPr>
        <w:t xml:space="preserve"> على أدائها على أكمل وجه بأفضل </w:t>
      </w:r>
      <w:r w:rsidRPr="00574493">
        <w:rPr>
          <w:rFonts w:cs="Traditional Arabic" w:hint="cs"/>
          <w:sz w:val="36"/>
          <w:szCs w:val="36"/>
          <w:rtl/>
        </w:rPr>
        <w:t>هيئة في مكا</w:t>
      </w:r>
      <w:r w:rsidR="007A1188" w:rsidRPr="00574493">
        <w:rPr>
          <w:rFonts w:cs="Traditional Arabic" w:hint="cs"/>
          <w:sz w:val="36"/>
          <w:szCs w:val="36"/>
          <w:rtl/>
        </w:rPr>
        <w:t>ن</w:t>
      </w:r>
      <w:r w:rsidR="00C74D21" w:rsidRPr="00574493">
        <w:rPr>
          <w:rFonts w:cs="Traditional Arabic" w:hint="cs"/>
          <w:sz w:val="36"/>
          <w:szCs w:val="36"/>
          <w:rtl/>
        </w:rPr>
        <w:t>ٍ</w:t>
      </w:r>
      <w:r w:rsidR="007A1188" w:rsidRPr="00574493">
        <w:rPr>
          <w:rFonts w:cs="Traditional Arabic" w:hint="cs"/>
          <w:sz w:val="36"/>
          <w:szCs w:val="36"/>
          <w:rtl/>
        </w:rPr>
        <w:t xml:space="preserve"> لا يفسد الخشوع</w:t>
      </w:r>
      <w:r w:rsidR="00C74D21" w:rsidRPr="00574493">
        <w:rPr>
          <w:rFonts w:cs="Traditional Arabic" w:hint="cs"/>
          <w:sz w:val="36"/>
          <w:szCs w:val="36"/>
          <w:rtl/>
        </w:rPr>
        <w:t>,</w:t>
      </w:r>
      <w:r w:rsidR="007A1188" w:rsidRPr="00574493">
        <w:rPr>
          <w:rFonts w:cs="Traditional Arabic" w:hint="cs"/>
          <w:sz w:val="36"/>
          <w:szCs w:val="36"/>
          <w:rtl/>
        </w:rPr>
        <w:t>ولا ي</w:t>
      </w:r>
      <w:r w:rsidR="00AF3C2A" w:rsidRPr="00574493">
        <w:rPr>
          <w:rFonts w:cs="Traditional Arabic" w:hint="cs"/>
          <w:sz w:val="36"/>
          <w:szCs w:val="36"/>
          <w:rtl/>
        </w:rPr>
        <w:t>ُ</w:t>
      </w:r>
      <w:r w:rsidR="007A1188" w:rsidRPr="00574493">
        <w:rPr>
          <w:rFonts w:cs="Traditional Arabic" w:hint="cs"/>
          <w:sz w:val="36"/>
          <w:szCs w:val="36"/>
          <w:rtl/>
        </w:rPr>
        <w:t>شغل البال</w:t>
      </w:r>
      <w:r w:rsidR="00C74D21" w:rsidRPr="00574493">
        <w:rPr>
          <w:rFonts w:cs="Traditional Arabic" w:hint="cs"/>
          <w:sz w:val="36"/>
          <w:szCs w:val="36"/>
          <w:rtl/>
        </w:rPr>
        <w:t>,</w:t>
      </w:r>
      <w:r w:rsidR="007A1188" w:rsidRPr="00574493">
        <w:rPr>
          <w:rFonts w:cs="Traditional Arabic" w:hint="cs"/>
          <w:sz w:val="36"/>
          <w:szCs w:val="36"/>
          <w:rtl/>
        </w:rPr>
        <w:t xml:space="preserve"> ومن هنا </w:t>
      </w:r>
      <w:r w:rsidR="00637BB5" w:rsidRPr="00574493">
        <w:rPr>
          <w:rFonts w:cs="Traditional Arabic" w:hint="cs"/>
          <w:sz w:val="36"/>
          <w:szCs w:val="36"/>
          <w:rtl/>
        </w:rPr>
        <w:t xml:space="preserve">اختلف العلماء رحمهم الله تعالى في حكم الصلاة إلى النائم على </w:t>
      </w:r>
      <w:r w:rsidR="00EC23FB">
        <w:rPr>
          <w:rFonts w:cs="Traditional Arabic" w:hint="cs"/>
          <w:sz w:val="36"/>
          <w:szCs w:val="36"/>
          <w:rtl/>
        </w:rPr>
        <w:t>قولين</w:t>
      </w:r>
      <w:r w:rsidR="00D04C01" w:rsidRPr="00574493">
        <w:rPr>
          <w:rFonts w:cs="Traditional Arabic" w:hint="cs"/>
          <w:sz w:val="36"/>
          <w:szCs w:val="36"/>
          <w:rtl/>
        </w:rPr>
        <w:t xml:space="preserve">: </w:t>
      </w:r>
    </w:p>
    <w:p w:rsidR="00E719C4" w:rsidRDefault="00637BB5" w:rsidP="00940386">
      <w:pPr>
        <w:spacing w:after="0" w:line="226" w:lineRule="auto"/>
        <w:jc w:val="lowKashida"/>
        <w:rPr>
          <w:rFonts w:cs="Traditional Arabic"/>
          <w:sz w:val="36"/>
          <w:szCs w:val="36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B13E3C">
        <w:rPr>
          <w:rFonts w:cs="Traditional Arabic" w:hint="cs"/>
          <w:b/>
          <w:bCs/>
          <w:sz w:val="36"/>
          <w:szCs w:val="36"/>
          <w:rtl/>
        </w:rPr>
        <w:t>أول</w:t>
      </w:r>
      <w:r w:rsidR="00D77058">
        <w:rPr>
          <w:rFonts w:cs="Traditional Arabic" w:hint="cs"/>
          <w:sz w:val="36"/>
          <w:szCs w:val="36"/>
          <w:rtl/>
        </w:rPr>
        <w:t xml:space="preserve">: </w:t>
      </w:r>
      <w:r w:rsidRPr="00574493">
        <w:rPr>
          <w:rFonts w:cs="Traditional Arabic" w:hint="cs"/>
          <w:sz w:val="36"/>
          <w:szCs w:val="36"/>
          <w:rtl/>
        </w:rPr>
        <w:t>لا ت</w:t>
      </w:r>
      <w:r w:rsidR="008B4C2F" w:rsidRPr="00574493">
        <w:rPr>
          <w:rFonts w:cs="Traditional Arabic" w:hint="cs"/>
          <w:sz w:val="36"/>
          <w:szCs w:val="36"/>
          <w:rtl/>
        </w:rPr>
        <w:t>ُ</w:t>
      </w:r>
      <w:r w:rsidR="00EC23FB">
        <w:rPr>
          <w:rFonts w:cs="Traditional Arabic" w:hint="cs"/>
          <w:sz w:val="36"/>
          <w:szCs w:val="36"/>
          <w:rtl/>
        </w:rPr>
        <w:t>كره الصلاة إلى النائم</w:t>
      </w:r>
      <w:r w:rsidR="00BA5206" w:rsidRPr="00574493">
        <w:rPr>
          <w:rFonts w:cs="Traditional Arabic" w:hint="cs"/>
          <w:sz w:val="36"/>
          <w:szCs w:val="36"/>
          <w:rtl/>
        </w:rPr>
        <w:t>, وإليه ذهب الحنفية</w:t>
      </w:r>
      <w:r w:rsidR="00BA5206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A5206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BA5206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757A1" w:rsidRPr="00574493">
        <w:rPr>
          <w:rFonts w:cs="Traditional Arabic" w:hint="cs"/>
          <w:sz w:val="36"/>
          <w:szCs w:val="36"/>
          <w:rtl/>
        </w:rPr>
        <w:t xml:space="preserve">, </w:t>
      </w:r>
      <w:r w:rsidR="001A33B1" w:rsidRPr="00574493">
        <w:rPr>
          <w:rFonts w:cs="Traditional Arabic" w:hint="cs"/>
          <w:sz w:val="36"/>
          <w:szCs w:val="36"/>
          <w:rtl/>
        </w:rPr>
        <w:t>والشافعية</w:t>
      </w:r>
      <w:r w:rsidR="00CB4EB9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B4EB9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CB4EB9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00AD7" w:rsidRPr="00574493">
        <w:rPr>
          <w:rFonts w:cs="Traditional Arabic" w:hint="cs"/>
          <w:sz w:val="36"/>
          <w:szCs w:val="36"/>
          <w:rtl/>
        </w:rPr>
        <w:t>, وإليه</w:t>
      </w:r>
      <w:r w:rsidR="000B415D" w:rsidRPr="000B415D">
        <w:rPr>
          <w:rFonts w:cs="Traditional Arabic" w:hint="cs"/>
          <w:sz w:val="36"/>
          <w:szCs w:val="36"/>
          <w:rtl/>
        </w:rPr>
        <w:t xml:space="preserve"> </w:t>
      </w:r>
      <w:r w:rsidR="000B415D" w:rsidRPr="00574493">
        <w:rPr>
          <w:rFonts w:cs="Traditional Arabic" w:hint="cs"/>
          <w:sz w:val="36"/>
          <w:szCs w:val="36"/>
          <w:rtl/>
        </w:rPr>
        <w:t>جنح</w:t>
      </w:r>
      <w:r w:rsidR="00600AD7" w:rsidRPr="00574493">
        <w:rPr>
          <w:rFonts w:cs="Traditional Arabic" w:hint="cs"/>
          <w:sz w:val="36"/>
          <w:szCs w:val="36"/>
          <w:rtl/>
        </w:rPr>
        <w:t xml:space="preserve"> ابن المنذ</w:t>
      </w:r>
      <w:r w:rsidR="00D77058">
        <w:rPr>
          <w:rFonts w:cs="Traditional Arabic" w:hint="cs"/>
          <w:sz w:val="36"/>
          <w:szCs w:val="36"/>
          <w:rtl/>
        </w:rPr>
        <w:t>ر</w:t>
      </w:r>
      <w:r w:rsidR="00600AD7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00AD7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600AD7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F3E02">
        <w:rPr>
          <w:rFonts w:cs="Traditional Arabic" w:hint="cs"/>
          <w:sz w:val="36"/>
          <w:szCs w:val="36"/>
          <w:rtl/>
        </w:rPr>
        <w:t>, وهو اختيار المباركفوري.</w:t>
      </w:r>
      <w:r w:rsidR="00600AD7" w:rsidRPr="00574493">
        <w:rPr>
          <w:rFonts w:cs="Traditional Arabic" w:hint="cs"/>
          <w:sz w:val="36"/>
          <w:szCs w:val="36"/>
          <w:rtl/>
        </w:rPr>
        <w:t xml:space="preserve"> </w:t>
      </w:r>
    </w:p>
    <w:p w:rsidR="000B415D" w:rsidRDefault="000E3E6C" w:rsidP="00940386">
      <w:pPr>
        <w:spacing w:after="0" w:line="226" w:lineRule="auto"/>
        <w:jc w:val="lowKashida"/>
        <w:rPr>
          <w:rFonts w:cs="Traditional Arabic"/>
          <w:sz w:val="36"/>
          <w:szCs w:val="36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B13E3C">
        <w:rPr>
          <w:rFonts w:cs="Traditional Arabic" w:hint="cs"/>
          <w:b/>
          <w:bCs/>
          <w:sz w:val="36"/>
          <w:szCs w:val="36"/>
          <w:rtl/>
        </w:rPr>
        <w:t>ثاني</w:t>
      </w:r>
      <w:r w:rsidRPr="00574493">
        <w:rPr>
          <w:rFonts w:cs="Traditional Arabic" w:hint="cs"/>
          <w:sz w:val="36"/>
          <w:szCs w:val="36"/>
          <w:rtl/>
        </w:rPr>
        <w:t>: تكره الصلاة إلى النائم,</w:t>
      </w:r>
      <w:r>
        <w:rPr>
          <w:rFonts w:cs="Traditional Arabic" w:hint="cs"/>
          <w:sz w:val="36"/>
          <w:szCs w:val="36"/>
          <w:rtl/>
        </w:rPr>
        <w:t xml:space="preserve"> </w:t>
      </w:r>
      <w:r w:rsidR="00390A08">
        <w:rPr>
          <w:rFonts w:cs="Traditional Arabic" w:hint="cs"/>
          <w:sz w:val="36"/>
          <w:szCs w:val="36"/>
          <w:rtl/>
        </w:rPr>
        <w:t>وهو قول</w:t>
      </w:r>
      <w:r w:rsidR="00D77058">
        <w:rPr>
          <w:rFonts w:cs="Traditional Arabic" w:hint="cs"/>
          <w:sz w:val="36"/>
          <w:szCs w:val="36"/>
          <w:rtl/>
        </w:rPr>
        <w:t xml:space="preserve"> مجاهد, وطا</w:t>
      </w:r>
      <w:r w:rsidRPr="00574493">
        <w:rPr>
          <w:rFonts w:cs="Traditional Arabic" w:hint="cs"/>
          <w:sz w:val="36"/>
          <w:szCs w:val="36"/>
          <w:rtl/>
        </w:rPr>
        <w:t>وس</w:t>
      </w:r>
      <w:r w:rsidRPr="00574493">
        <w:rPr>
          <w:rStyle w:val="ae"/>
          <w:sz w:val="36"/>
          <w:szCs w:val="36"/>
          <w:rtl/>
        </w:rPr>
        <w:t>(</w:t>
      </w:r>
      <w:r w:rsidRPr="00574493">
        <w:rPr>
          <w:rStyle w:val="ae"/>
          <w:sz w:val="36"/>
          <w:szCs w:val="36"/>
          <w:rtl/>
        </w:rPr>
        <w:footnoteReference w:id="7"/>
      </w:r>
      <w:r w:rsidRPr="00574493">
        <w:rPr>
          <w:rStyle w:val="ae"/>
          <w:sz w:val="36"/>
          <w:szCs w:val="36"/>
          <w:rtl/>
        </w:rPr>
        <w:t>)</w:t>
      </w:r>
      <w:r w:rsidRPr="00574493">
        <w:rPr>
          <w:rFonts w:cs="Traditional Arabic" w:hint="cs"/>
          <w:sz w:val="36"/>
          <w:szCs w:val="36"/>
          <w:rtl/>
        </w:rPr>
        <w:t>, وإليه ذهب المالكيّة</w:t>
      </w:r>
      <w:r w:rsidRPr="00574493">
        <w:rPr>
          <w:rStyle w:val="ae"/>
          <w:sz w:val="36"/>
          <w:szCs w:val="36"/>
          <w:rtl/>
        </w:rPr>
        <w:t>(</w:t>
      </w:r>
      <w:r w:rsidRPr="00574493">
        <w:rPr>
          <w:rStyle w:val="ae"/>
          <w:sz w:val="36"/>
          <w:szCs w:val="36"/>
          <w:rtl/>
        </w:rPr>
        <w:footnoteReference w:id="8"/>
      </w:r>
      <w:r w:rsidRPr="00574493">
        <w:rPr>
          <w:rStyle w:val="ae"/>
          <w:sz w:val="36"/>
          <w:szCs w:val="36"/>
          <w:rtl/>
        </w:rPr>
        <w:t>)</w:t>
      </w:r>
      <w:r w:rsidRPr="00574493">
        <w:rPr>
          <w:rFonts w:cs="Traditional Arabic" w:hint="cs"/>
          <w:sz w:val="36"/>
          <w:szCs w:val="36"/>
          <w:rtl/>
        </w:rPr>
        <w:t xml:space="preserve">, </w:t>
      </w:r>
    </w:p>
    <w:p w:rsidR="000E3E6C" w:rsidRPr="00574493" w:rsidRDefault="000E3E6C" w:rsidP="00940386">
      <w:pPr>
        <w:spacing w:after="0" w:line="226" w:lineRule="auto"/>
        <w:jc w:val="lowKashida"/>
        <w:rPr>
          <w:rFonts w:cs="Traditional Arabic"/>
          <w:sz w:val="36"/>
          <w:szCs w:val="36"/>
          <w:rtl/>
        </w:rPr>
      </w:pPr>
      <w:r w:rsidRPr="00574493">
        <w:rPr>
          <w:rFonts w:cs="Traditional Arabic" w:hint="cs"/>
          <w:sz w:val="36"/>
          <w:szCs w:val="36"/>
          <w:rtl/>
        </w:rPr>
        <w:t>والحنابلة</w:t>
      </w:r>
      <w:r w:rsidRPr="00574493">
        <w:rPr>
          <w:rStyle w:val="ae"/>
          <w:sz w:val="36"/>
          <w:szCs w:val="36"/>
          <w:rtl/>
        </w:rPr>
        <w:t>(</w:t>
      </w:r>
      <w:r w:rsidRPr="00574493">
        <w:rPr>
          <w:rStyle w:val="ae"/>
          <w:sz w:val="36"/>
          <w:szCs w:val="36"/>
          <w:rtl/>
        </w:rPr>
        <w:footnoteReference w:id="9"/>
      </w:r>
      <w:r w:rsidRPr="00574493">
        <w:rPr>
          <w:rStyle w:val="ae"/>
          <w:sz w:val="36"/>
          <w:szCs w:val="36"/>
          <w:rtl/>
        </w:rPr>
        <w:t>)</w:t>
      </w:r>
      <w:r w:rsidRPr="00574493">
        <w:rPr>
          <w:rFonts w:cs="Traditional Arabic" w:hint="cs"/>
          <w:sz w:val="36"/>
          <w:szCs w:val="36"/>
          <w:rtl/>
        </w:rPr>
        <w:t>, وهو قول إسحاق</w:t>
      </w:r>
      <w:r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EC23FB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Pr="00574493">
        <w:rPr>
          <w:rFonts w:cs="Traditional Arabic" w:hint="cs"/>
          <w:sz w:val="36"/>
          <w:szCs w:val="36"/>
          <w:rtl/>
        </w:rPr>
        <w:t xml:space="preserve"> </w:t>
      </w:r>
    </w:p>
    <w:p w:rsidR="006A0255" w:rsidRPr="00574493" w:rsidRDefault="00E719C4" w:rsidP="00773B14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lastRenderedPageBreak/>
        <w:t>سبب الخلاف في المسألة</w:t>
      </w:r>
      <w:r w:rsidRPr="00574493">
        <w:rPr>
          <w:rFonts w:cs="Traditional Arabic" w:hint="cs"/>
          <w:sz w:val="36"/>
          <w:szCs w:val="36"/>
          <w:rtl/>
        </w:rPr>
        <w:t>:</w:t>
      </w:r>
      <w:r w:rsidR="006A0255" w:rsidRPr="00574493">
        <w:rPr>
          <w:rFonts w:cs="Traditional Arabic" w:hint="cs"/>
          <w:sz w:val="36"/>
          <w:szCs w:val="36"/>
          <w:rtl/>
        </w:rPr>
        <w:t xml:space="preserve"> </w:t>
      </w:r>
      <w:r w:rsidR="00CA4210" w:rsidRPr="00574493">
        <w:rPr>
          <w:rFonts w:cs="Traditional Arabic" w:hint="cs"/>
          <w:sz w:val="36"/>
          <w:szCs w:val="36"/>
          <w:rtl/>
        </w:rPr>
        <w:t xml:space="preserve">تعارض </w:t>
      </w:r>
      <w:r w:rsidR="00EC23FB">
        <w:rPr>
          <w:rFonts w:cs="Traditional Arabic" w:hint="cs"/>
          <w:sz w:val="36"/>
          <w:szCs w:val="36"/>
          <w:rtl/>
        </w:rPr>
        <w:t xml:space="preserve"> ظواهر</w:t>
      </w:r>
      <w:r w:rsidR="00D77058">
        <w:rPr>
          <w:rFonts w:cs="Traditional Arabic" w:hint="cs"/>
          <w:sz w:val="36"/>
          <w:szCs w:val="36"/>
          <w:rtl/>
        </w:rPr>
        <w:t xml:space="preserve"> </w:t>
      </w:r>
      <w:r w:rsidR="00CA4210" w:rsidRPr="00574493">
        <w:rPr>
          <w:rFonts w:cs="Traditional Arabic" w:hint="cs"/>
          <w:sz w:val="36"/>
          <w:szCs w:val="36"/>
          <w:rtl/>
        </w:rPr>
        <w:t>الأحاديث الواردة في ذلك.</w:t>
      </w:r>
      <w:r w:rsidRPr="00574493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B4EB9" w:rsidRPr="00574493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AC365D" w:rsidRPr="00574493" w:rsidRDefault="00AC365D" w:rsidP="00773B14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t>أدلة القول ال</w:t>
      </w:r>
      <w:r w:rsidR="00982A82">
        <w:rPr>
          <w:rFonts w:cs="Traditional Arabic" w:hint="cs"/>
          <w:b/>
          <w:bCs/>
          <w:sz w:val="36"/>
          <w:szCs w:val="36"/>
          <w:rtl/>
        </w:rPr>
        <w:t>أول</w:t>
      </w:r>
      <w:r w:rsidRPr="00574493">
        <w:rPr>
          <w:rFonts w:cs="Traditional Arabic" w:hint="cs"/>
          <w:sz w:val="36"/>
          <w:szCs w:val="36"/>
          <w:rtl/>
        </w:rPr>
        <w:t xml:space="preserve">: </w:t>
      </w:r>
    </w:p>
    <w:p w:rsidR="006573CE" w:rsidRPr="00574493" w:rsidRDefault="00AC365D" w:rsidP="00773B14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574493">
        <w:rPr>
          <w:rFonts w:cs="Traditional Arabic" w:hint="cs"/>
          <w:sz w:val="36"/>
          <w:szCs w:val="36"/>
          <w:rtl/>
        </w:rPr>
        <w:t>:</w:t>
      </w:r>
      <w:r w:rsidR="00704431">
        <w:rPr>
          <w:rFonts w:ascii="Traditional Arabic" w:eastAsia="Times New Roman" w:hAnsi="Times New Roman" w:cs="Traditional Arabic" w:hint="cs"/>
          <w:b/>
          <w:bCs/>
          <w:sz w:val="44"/>
          <w:szCs w:val="44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7705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</w:t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عندها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194F0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194F0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والحمار</w:t>
      </w:r>
      <w:r w:rsidR="00194F0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 w:rsidR="00194F0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ُ,</w:t>
      </w:r>
      <w:r w:rsidR="004661D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فقالت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194F0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شبهتمونا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بالحمير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والكلاب</w:t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7705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وإني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السرير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مضطجعة</w:t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فتبدو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الحاجة</w:t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فأكره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أجلس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فأوذي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7705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فأنسل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="006573CE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573CE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رجليه</w:t>
      </w:r>
      <w:r w:rsidR="006573C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713726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3726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713726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3726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AC365D" w:rsidRDefault="006573CE" w:rsidP="00773B14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574493">
        <w:rPr>
          <w:rFonts w:cs="Traditional Arabic" w:hint="cs"/>
          <w:sz w:val="36"/>
          <w:szCs w:val="36"/>
          <w:rtl/>
        </w:rPr>
        <w:t xml:space="preserve">: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7705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7705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راقدة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معترضة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فراشه</w:t>
      </w:r>
      <w:r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يوتر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أيقظني</w:t>
      </w:r>
      <w:r w:rsidR="00E81B43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81B43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فأوترت</w:t>
      </w:r>
      <w:r w:rsidR="00E81B43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574493">
        <w:rPr>
          <w:rFonts w:cs="Traditional Arabic" w:hint="cs"/>
          <w:sz w:val="36"/>
          <w:szCs w:val="36"/>
          <w:rtl/>
        </w:rPr>
        <w:t>"</w:t>
      </w:r>
      <w:r w:rsidR="00713726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3726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713726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3726" w:rsidRPr="00574493">
        <w:rPr>
          <w:rFonts w:cs="Traditional Arabic" w:hint="cs"/>
          <w:sz w:val="36"/>
          <w:szCs w:val="36"/>
          <w:rtl/>
        </w:rPr>
        <w:t>.</w:t>
      </w:r>
    </w:p>
    <w:p w:rsidR="00454F9B" w:rsidRPr="00574493" w:rsidRDefault="00454F9B" w:rsidP="00773B14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C92B28">
        <w:rPr>
          <w:rFonts w:cs="Traditional Arabic" w:hint="cs"/>
          <w:b/>
          <w:bCs/>
          <w:sz w:val="36"/>
          <w:szCs w:val="36"/>
          <w:rtl/>
        </w:rPr>
        <w:t>الدليل الثالث</w:t>
      </w:r>
      <w:r>
        <w:rPr>
          <w:rFonts w:cs="Traditional Arabic" w:hint="cs"/>
          <w:sz w:val="36"/>
          <w:szCs w:val="36"/>
          <w:rtl/>
        </w:rPr>
        <w:t xml:space="preserve">: </w:t>
      </w:r>
      <w:r w:rsidRPr="00454F9B">
        <w:rPr>
          <w:rFonts w:cs="Traditional Arabic" w:hint="cs"/>
          <w:sz w:val="36"/>
          <w:szCs w:val="36"/>
          <w:rtl/>
        </w:rPr>
        <w:t xml:space="preserve">عن عائشة </w:t>
      </w:r>
      <w:r w:rsidR="00D77058">
        <w:rPr>
          <w:rFonts w:cs="Traditional Arabic" w:hint="cs"/>
          <w:sz w:val="36"/>
          <w:szCs w:val="36"/>
          <w:rtl/>
        </w:rPr>
        <w:t xml:space="preserve">رضي الله </w:t>
      </w:r>
      <w:r w:rsidRPr="00454F9B">
        <w:rPr>
          <w:rFonts w:cs="Traditional Arabic" w:hint="cs"/>
          <w:sz w:val="36"/>
          <w:szCs w:val="36"/>
          <w:rtl/>
        </w:rPr>
        <w:t>عنها قالت: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أنام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7705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ورجلاي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قبلته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سجد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غمزني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فقبضت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رجلي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Pr="00454F9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454F9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بسطتهما</w:t>
      </w:r>
      <w:r w:rsidRPr="00454F9B">
        <w:rPr>
          <w:rFonts w:ascii="Traditional Arabic" w:eastAsia="Times New Roman" w:hAnsi="Times New Roman" w:cs="Traditional Arabic" w:hint="cs"/>
          <w:sz w:val="36"/>
          <w:szCs w:val="36"/>
          <w:rtl/>
        </w:rPr>
        <w:t>, قالت والبيوت يومئذ ليس فيها مصابيح</w:t>
      </w:r>
      <w:r w:rsidR="00A66729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66729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A66729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54F9B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DA6ADA" w:rsidRDefault="00DA6ADA" w:rsidP="00773B14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t xml:space="preserve">وجه الدلالة  من </w:t>
      </w:r>
      <w:r w:rsidR="00454F9B">
        <w:rPr>
          <w:rFonts w:cs="Traditional Arabic" w:hint="cs"/>
          <w:b/>
          <w:bCs/>
          <w:sz w:val="36"/>
          <w:szCs w:val="36"/>
          <w:rtl/>
        </w:rPr>
        <w:t>الأحاديث السابقة</w:t>
      </w:r>
      <w:r w:rsidR="00D77058">
        <w:rPr>
          <w:rFonts w:cs="Traditional Arabic" w:hint="cs"/>
          <w:sz w:val="36"/>
          <w:szCs w:val="36"/>
          <w:rtl/>
        </w:rPr>
        <w:t>:</w:t>
      </w:r>
      <w:r w:rsidRPr="00574493">
        <w:rPr>
          <w:rFonts w:cs="Traditional Arabic" w:hint="cs"/>
          <w:sz w:val="36"/>
          <w:szCs w:val="36"/>
          <w:rtl/>
        </w:rPr>
        <w:t xml:space="preserve">كان النبي </w:t>
      </w:r>
      <w:r w:rsidR="00D77058">
        <w:rPr>
          <w:rFonts w:cs="Traditional Arabic" w:hint="cs"/>
          <w:sz w:val="36"/>
          <w:szCs w:val="36"/>
        </w:rPr>
        <w:sym w:font="AGA Arabesque" w:char="F072"/>
      </w:r>
      <w:r w:rsidRPr="00574493">
        <w:rPr>
          <w:rFonts w:cs="Traditional Arabic" w:hint="cs"/>
          <w:sz w:val="36"/>
          <w:szCs w:val="36"/>
          <w:rtl/>
        </w:rPr>
        <w:t xml:space="preserve"> يصلى وعائشة </w:t>
      </w:r>
      <w:r w:rsidR="00D77058">
        <w:rPr>
          <w:rFonts w:cs="Traditional Arabic" w:hint="cs"/>
          <w:sz w:val="36"/>
          <w:szCs w:val="36"/>
          <w:rtl/>
        </w:rPr>
        <w:t xml:space="preserve">رضي الله </w:t>
      </w:r>
      <w:r w:rsidRPr="00574493">
        <w:rPr>
          <w:rFonts w:cs="Traditional Arabic" w:hint="cs"/>
          <w:sz w:val="36"/>
          <w:szCs w:val="36"/>
          <w:rtl/>
        </w:rPr>
        <w:t xml:space="preserve">عنها بين يديه نائمة </w:t>
      </w:r>
      <w:r w:rsidR="000E3E6C">
        <w:rPr>
          <w:rFonts w:cs="Traditional Arabic" w:hint="cs"/>
          <w:sz w:val="36"/>
          <w:szCs w:val="36"/>
          <w:rtl/>
        </w:rPr>
        <w:t>كما يدل على نومها قولها</w:t>
      </w:r>
      <w:r w:rsidRPr="00574493">
        <w:rPr>
          <w:rFonts w:cs="Traditional Arabic" w:hint="cs"/>
          <w:sz w:val="36"/>
          <w:szCs w:val="36"/>
          <w:rtl/>
        </w:rPr>
        <w:t>:"أيقظني فأوترت</w:t>
      </w:r>
      <w:r w:rsidR="00D74F63">
        <w:rPr>
          <w:rFonts w:cs="Traditional Arabic" w:hint="cs"/>
          <w:sz w:val="36"/>
          <w:szCs w:val="36"/>
          <w:rtl/>
        </w:rPr>
        <w:t>ُ</w:t>
      </w:r>
      <w:r w:rsidRPr="00574493">
        <w:rPr>
          <w:rFonts w:cs="Traditional Arabic" w:hint="cs"/>
          <w:sz w:val="36"/>
          <w:szCs w:val="36"/>
          <w:rtl/>
        </w:rPr>
        <w:t>"</w:t>
      </w:r>
      <w:r w:rsidR="00D74F63">
        <w:rPr>
          <w:rFonts w:cs="Traditional Arabic" w:hint="cs"/>
          <w:sz w:val="36"/>
          <w:szCs w:val="36"/>
          <w:rtl/>
        </w:rPr>
        <w:t xml:space="preserve"> </w:t>
      </w:r>
      <w:r w:rsidR="00704431">
        <w:rPr>
          <w:rFonts w:cs="Traditional Arabic" w:hint="cs"/>
          <w:sz w:val="36"/>
          <w:szCs w:val="36"/>
          <w:rtl/>
        </w:rPr>
        <w:t>وقولها</w:t>
      </w:r>
      <w:r w:rsidR="000E3E6C">
        <w:rPr>
          <w:rFonts w:cs="Traditional Arabic" w:hint="cs"/>
          <w:sz w:val="36"/>
          <w:szCs w:val="36"/>
          <w:rtl/>
        </w:rPr>
        <w:t>"كنت أنام"</w:t>
      </w:r>
      <w:r w:rsidRPr="00574493">
        <w:rPr>
          <w:rFonts w:cs="Traditional Arabic" w:hint="cs"/>
          <w:sz w:val="36"/>
          <w:szCs w:val="36"/>
          <w:rtl/>
        </w:rPr>
        <w:t xml:space="preserve"> فدل على أن الصلاة إلى النائم لا تكره</w:t>
      </w:r>
      <w:r w:rsidR="009D74D5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D74D5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9D74D5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74493">
        <w:rPr>
          <w:rFonts w:cs="Traditional Arabic" w:hint="cs"/>
          <w:sz w:val="36"/>
          <w:szCs w:val="36"/>
          <w:rtl/>
        </w:rPr>
        <w:t xml:space="preserve">. </w:t>
      </w:r>
      <w:r w:rsidR="00184A5C" w:rsidRPr="00574493">
        <w:rPr>
          <w:rFonts w:cs="Traditional Arabic" w:hint="cs"/>
          <w:sz w:val="36"/>
          <w:szCs w:val="36"/>
          <w:rtl/>
        </w:rPr>
        <w:t xml:space="preserve"> </w:t>
      </w:r>
    </w:p>
    <w:p w:rsidR="000E3E6C" w:rsidRDefault="000E3E6C" w:rsidP="00773B14">
      <w:pPr>
        <w:autoSpaceDE w:val="0"/>
        <w:autoSpaceDN w:val="0"/>
        <w:adjustRightInd w:val="0"/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Pr="00574493">
        <w:rPr>
          <w:rFonts w:cs="Traditional Arabic" w:hint="cs"/>
          <w:b/>
          <w:bCs/>
          <w:sz w:val="36"/>
          <w:szCs w:val="36"/>
          <w:rtl/>
        </w:rPr>
        <w:t>:</w:t>
      </w:r>
    </w:p>
    <w:p w:rsidR="000B415D" w:rsidRDefault="00C92B28" w:rsidP="00773B14">
      <w:pPr>
        <w:autoSpaceDE w:val="0"/>
        <w:autoSpaceDN w:val="0"/>
        <w:adjustRightInd w:val="0"/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0E3E6C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0E3E6C" w:rsidRPr="00574493">
        <w:rPr>
          <w:rFonts w:cs="Traditional Arabic" w:hint="cs"/>
          <w:sz w:val="36"/>
          <w:szCs w:val="36"/>
          <w:rtl/>
        </w:rPr>
        <w:t xml:space="preserve">عن ابن عبّاس </w:t>
      </w:r>
      <w:r w:rsidR="00D77058">
        <w:rPr>
          <w:rFonts w:cs="Traditional Arabic" w:hint="cs"/>
          <w:sz w:val="36"/>
          <w:szCs w:val="36"/>
          <w:rtl/>
        </w:rPr>
        <w:t>رضي الله عنهما</w:t>
      </w:r>
      <w:r w:rsidR="000E3E6C" w:rsidRPr="00574493">
        <w:rPr>
          <w:rFonts w:cs="Traditional Arabic" w:hint="cs"/>
          <w:sz w:val="36"/>
          <w:szCs w:val="36"/>
          <w:rtl/>
        </w:rPr>
        <w:t xml:space="preserve"> أنّ النبيّ </w:t>
      </w:r>
      <w:r w:rsidR="00D77058">
        <w:rPr>
          <w:rFonts w:cs="Traditional Arabic" w:hint="cs"/>
          <w:sz w:val="36"/>
          <w:szCs w:val="36"/>
        </w:rPr>
        <w:sym w:font="AGA Arabesque" w:char="F072"/>
      </w:r>
      <w:r w:rsidR="000E3E6C" w:rsidRPr="00574493">
        <w:rPr>
          <w:rFonts w:cs="Traditional Arabic" w:hint="cs"/>
          <w:sz w:val="36"/>
          <w:szCs w:val="36"/>
          <w:rtl/>
        </w:rPr>
        <w:t xml:space="preserve"> قال:"لا تُصلّوا خلف النائم, ولا </w:t>
      </w:r>
    </w:p>
    <w:p w:rsidR="000E3E6C" w:rsidRPr="00574493" w:rsidRDefault="000E3E6C" w:rsidP="00773B14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44"/>
          <w:szCs w:val="44"/>
          <w:rtl/>
        </w:rPr>
      </w:pPr>
      <w:r w:rsidRPr="00574493">
        <w:rPr>
          <w:rFonts w:cs="Traditional Arabic" w:hint="cs"/>
          <w:sz w:val="36"/>
          <w:szCs w:val="36"/>
          <w:rtl/>
        </w:rPr>
        <w:t>المتحدث"</w:t>
      </w:r>
      <w:r w:rsidRPr="00574493">
        <w:rPr>
          <w:rStyle w:val="ae"/>
          <w:sz w:val="36"/>
          <w:szCs w:val="36"/>
          <w:rtl/>
        </w:rPr>
        <w:t>(</w:t>
      </w:r>
      <w:r w:rsidRPr="00574493">
        <w:rPr>
          <w:rStyle w:val="ae"/>
          <w:sz w:val="36"/>
          <w:szCs w:val="36"/>
          <w:rtl/>
        </w:rPr>
        <w:footnoteReference w:id="15"/>
      </w:r>
      <w:r w:rsidRPr="00574493">
        <w:rPr>
          <w:rStyle w:val="ae"/>
          <w:sz w:val="36"/>
          <w:szCs w:val="36"/>
          <w:rtl/>
        </w:rPr>
        <w:t>)</w:t>
      </w:r>
      <w:r w:rsidRPr="00574493">
        <w:rPr>
          <w:rFonts w:cs="Traditional Arabic" w:hint="cs"/>
          <w:sz w:val="36"/>
          <w:szCs w:val="36"/>
          <w:rtl/>
        </w:rPr>
        <w:t>.</w:t>
      </w:r>
    </w:p>
    <w:p w:rsidR="000E3E6C" w:rsidRPr="00574493" w:rsidRDefault="00773B14" w:rsidP="000B415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الدليل </w:t>
      </w:r>
      <w:r w:rsidR="000E3E6C" w:rsidRPr="00574493">
        <w:rPr>
          <w:rFonts w:cs="Traditional Arabic" w:hint="cs"/>
          <w:b/>
          <w:bCs/>
          <w:sz w:val="36"/>
          <w:szCs w:val="36"/>
          <w:rtl/>
        </w:rPr>
        <w:t>الثاني</w:t>
      </w:r>
      <w:r w:rsidR="000E3E6C" w:rsidRPr="00574493">
        <w:rPr>
          <w:rFonts w:cs="Traditional Arabic" w:hint="cs"/>
          <w:sz w:val="36"/>
          <w:szCs w:val="36"/>
          <w:rtl/>
        </w:rPr>
        <w:t xml:space="preserve">: 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أبي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77058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D7705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77058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D7705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أن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أصلي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0E3E6C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0E3E6C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0E3E6C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</w:t>
      </w:r>
      <w:r w:rsidR="000E3E6C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"(</w:t>
      </w:r>
      <w:r w:rsidR="000E3E6C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0E3E6C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E3E6C" w:rsidRPr="00574493">
        <w:rPr>
          <w:rFonts w:cs="Traditional Arabic" w:hint="cs"/>
          <w:sz w:val="36"/>
          <w:szCs w:val="36"/>
          <w:rtl/>
        </w:rPr>
        <w:t xml:space="preserve">.  </w:t>
      </w:r>
    </w:p>
    <w:p w:rsidR="000E3E6C" w:rsidRPr="00574493" w:rsidRDefault="000E3E6C" w:rsidP="000B415D">
      <w:pPr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44"/>
          <w:szCs w:val="44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وجه الدلالة </w:t>
      </w:r>
      <w:r>
        <w:rPr>
          <w:rFonts w:cs="Traditional Arabic" w:hint="cs"/>
          <w:b/>
          <w:bCs/>
          <w:sz w:val="36"/>
          <w:szCs w:val="36"/>
          <w:rtl/>
        </w:rPr>
        <w:t>من الحديثين</w:t>
      </w:r>
      <w:r w:rsidRPr="00574493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Pr="00574493">
        <w:rPr>
          <w:rFonts w:cs="Traditional Arabic" w:hint="cs"/>
          <w:sz w:val="36"/>
          <w:szCs w:val="36"/>
          <w:rtl/>
        </w:rPr>
        <w:t>هذان الحديثان  يدلان بكل وضوح على كراهة الصلاة إلى النائم حيث نهى عن الصلاة إلى النائم فيهما.</w:t>
      </w:r>
      <w:r w:rsidRPr="00574493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0E3E6C" w:rsidRPr="00574493" w:rsidRDefault="000E3E6C" w:rsidP="000B415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574493">
        <w:rPr>
          <w:rFonts w:cs="Traditional Arabic" w:hint="cs"/>
          <w:b/>
          <w:bCs/>
          <w:sz w:val="36"/>
          <w:szCs w:val="36"/>
          <w:rtl/>
        </w:rPr>
        <w:t>:</w:t>
      </w:r>
      <w:r w:rsidR="00C92B28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574493">
        <w:rPr>
          <w:rFonts w:cs="Traditional Arabic" w:hint="cs"/>
          <w:sz w:val="36"/>
          <w:szCs w:val="36"/>
          <w:rtl/>
        </w:rPr>
        <w:t>لأنه</w:t>
      </w:r>
      <w:r w:rsidRPr="00574493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574493">
        <w:rPr>
          <w:rFonts w:cs="Traditional Arabic" w:hint="cs"/>
          <w:sz w:val="36"/>
          <w:szCs w:val="36"/>
          <w:rtl/>
        </w:rPr>
        <w:t>يُخشى أن يبدو</w:t>
      </w:r>
      <w:r>
        <w:rPr>
          <w:rFonts w:cs="Traditional Arabic" w:hint="cs"/>
          <w:sz w:val="36"/>
          <w:szCs w:val="36"/>
          <w:rtl/>
        </w:rPr>
        <w:t>َ</w:t>
      </w:r>
      <w:r w:rsidRPr="00574493">
        <w:rPr>
          <w:rFonts w:cs="Traditional Arabic" w:hint="cs"/>
          <w:sz w:val="36"/>
          <w:szCs w:val="36"/>
          <w:rtl/>
        </w:rPr>
        <w:t xml:space="preserve"> من النائم ما ي</w:t>
      </w:r>
      <w:r w:rsidR="00704431">
        <w:rPr>
          <w:rFonts w:cs="Traditional Arabic" w:hint="cs"/>
          <w:sz w:val="36"/>
          <w:szCs w:val="36"/>
          <w:rtl/>
        </w:rPr>
        <w:t>ُلهي المصلّي عن صلاته,</w:t>
      </w:r>
      <w:r w:rsidR="00D77058">
        <w:rPr>
          <w:rFonts w:cs="Traditional Arabic" w:hint="cs"/>
          <w:sz w:val="36"/>
          <w:szCs w:val="36"/>
          <w:rtl/>
        </w:rPr>
        <w:t>كأن تبدو</w:t>
      </w:r>
      <w:r w:rsidR="00704431">
        <w:rPr>
          <w:rFonts w:cs="Traditional Arabic" w:hint="cs"/>
          <w:sz w:val="36"/>
          <w:szCs w:val="36"/>
          <w:rtl/>
        </w:rPr>
        <w:t xml:space="preserve"> </w:t>
      </w:r>
      <w:r w:rsidRPr="00574493">
        <w:rPr>
          <w:rFonts w:cs="Traditional Arabic" w:hint="cs"/>
          <w:sz w:val="36"/>
          <w:szCs w:val="36"/>
          <w:rtl/>
        </w:rPr>
        <w:t>عورته</w:t>
      </w:r>
      <w:r w:rsidR="00D77058">
        <w:rPr>
          <w:rFonts w:cs="Traditional Arabic" w:hint="cs"/>
          <w:sz w:val="36"/>
          <w:szCs w:val="36"/>
          <w:rtl/>
        </w:rPr>
        <w:t xml:space="preserve">, </w:t>
      </w:r>
      <w:r w:rsidRPr="00574493">
        <w:rPr>
          <w:rFonts w:cs="Traditional Arabic" w:hint="cs"/>
          <w:sz w:val="36"/>
          <w:szCs w:val="36"/>
          <w:rtl/>
        </w:rPr>
        <w:t>أو يحدث</w:t>
      </w:r>
      <w:r w:rsidRPr="00574493">
        <w:rPr>
          <w:rStyle w:val="ae"/>
          <w:sz w:val="36"/>
          <w:szCs w:val="36"/>
          <w:rtl/>
        </w:rPr>
        <w:t>(</w:t>
      </w:r>
      <w:r w:rsidRPr="00574493">
        <w:rPr>
          <w:rStyle w:val="ae"/>
          <w:sz w:val="36"/>
          <w:szCs w:val="36"/>
          <w:rtl/>
        </w:rPr>
        <w:footnoteReference w:id="17"/>
      </w:r>
      <w:r w:rsidRPr="00574493">
        <w:rPr>
          <w:rStyle w:val="ae"/>
          <w:sz w:val="36"/>
          <w:szCs w:val="36"/>
          <w:rtl/>
        </w:rPr>
        <w:t>)</w:t>
      </w:r>
      <w:r w:rsidRPr="00574493">
        <w:rPr>
          <w:rFonts w:cs="Traditional Arabic" w:hint="cs"/>
          <w:sz w:val="36"/>
          <w:szCs w:val="36"/>
          <w:rtl/>
        </w:rPr>
        <w:t>.</w:t>
      </w:r>
    </w:p>
    <w:p w:rsidR="009D74D5" w:rsidRPr="00574493" w:rsidRDefault="009D74D5" w:rsidP="000B415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44"/>
          <w:szCs w:val="44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t>والراجح في المسألة</w:t>
      </w:r>
      <w:r w:rsidR="00790D74" w:rsidRPr="00574493">
        <w:rPr>
          <w:rFonts w:cs="Traditional Arabic" w:hint="cs"/>
          <w:b/>
          <w:bCs/>
          <w:sz w:val="36"/>
          <w:szCs w:val="36"/>
          <w:rtl/>
        </w:rPr>
        <w:t>:</w:t>
      </w:r>
      <w:r w:rsidRPr="00574493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34FEE">
        <w:rPr>
          <w:rFonts w:cs="Traditional Arabic" w:hint="cs"/>
          <w:sz w:val="36"/>
          <w:szCs w:val="36"/>
          <w:rtl/>
        </w:rPr>
        <w:t>الذي يظهر لي والعلم عند الله جلَّ</w:t>
      </w:r>
      <w:r w:rsidRPr="00574493">
        <w:rPr>
          <w:rFonts w:cs="Traditional Arabic" w:hint="cs"/>
          <w:sz w:val="36"/>
          <w:szCs w:val="36"/>
          <w:rtl/>
        </w:rPr>
        <w:t xml:space="preserve"> شأنه هو ما قال</w:t>
      </w:r>
      <w:r w:rsidR="004649D4" w:rsidRPr="00574493">
        <w:rPr>
          <w:rFonts w:cs="Traditional Arabic" w:hint="cs"/>
          <w:sz w:val="36"/>
          <w:szCs w:val="36"/>
          <w:rtl/>
        </w:rPr>
        <w:t>ه</w:t>
      </w:r>
      <w:r w:rsidRPr="00574493">
        <w:rPr>
          <w:rFonts w:cs="Traditional Arabic" w:hint="cs"/>
          <w:sz w:val="36"/>
          <w:szCs w:val="36"/>
          <w:rtl/>
        </w:rPr>
        <w:t xml:space="preserve"> ابن رجب رحمه الله تعالى</w:t>
      </w:r>
      <w:r w:rsidR="000E3E6C">
        <w:rPr>
          <w:rFonts w:cs="Traditional Arabic" w:hint="cs"/>
          <w:sz w:val="36"/>
          <w:szCs w:val="36"/>
          <w:rtl/>
        </w:rPr>
        <w:t>:"</w:t>
      </w:r>
      <w:r w:rsidRPr="00574493">
        <w:rPr>
          <w:rFonts w:cs="Traditional Arabic" w:hint="cs"/>
          <w:sz w:val="36"/>
          <w:szCs w:val="36"/>
          <w:rtl/>
        </w:rPr>
        <w:t xml:space="preserve">لعل أقرب الأقوال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تختص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الكراهة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بالفريضة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النافلة؛</w:t>
      </w:r>
      <w:r w:rsidR="0070443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جمعا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الأدلة</w:t>
      </w:r>
      <w:r w:rsidR="008A06B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FB015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A06B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لأن حديث عائشة </w:t>
      </w:r>
      <w:r w:rsidR="00D7705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8A06B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 يدل على جوازها في النافلة</w:t>
      </w:r>
      <w:r w:rsidR="00790D74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A06B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وحديث ابن عباس</w:t>
      </w:r>
      <w:r w:rsidR="00790D74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77058">
        <w:rPr>
          <w:rFonts w:cs="Traditional Arabic" w:hint="cs"/>
          <w:sz w:val="36"/>
          <w:szCs w:val="36"/>
          <w:rtl/>
        </w:rPr>
        <w:t>رضي الله عنهما</w:t>
      </w:r>
      <w:r w:rsidR="00D77058" w:rsidRPr="00574493">
        <w:rPr>
          <w:rFonts w:cs="Traditional Arabic" w:hint="cs"/>
          <w:sz w:val="36"/>
          <w:szCs w:val="36"/>
          <w:rtl/>
        </w:rPr>
        <w:t xml:space="preserve"> </w:t>
      </w:r>
      <w:r w:rsidR="008A06B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يدل على المنع مطلقا</w:t>
      </w:r>
      <w:r w:rsidR="006C5478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C5478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6C5478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A06B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B015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A06B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ثم </w:t>
      </w:r>
      <w:r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ثبت أن حديث ابن عباس</w:t>
      </w:r>
      <w:r w:rsidR="00790D74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77058">
        <w:rPr>
          <w:rFonts w:cs="Traditional Arabic" w:hint="cs"/>
          <w:sz w:val="36"/>
          <w:szCs w:val="36"/>
          <w:rtl/>
        </w:rPr>
        <w:t>رضي الله عنهما</w:t>
      </w:r>
      <w:r w:rsidR="00D77058" w:rsidRPr="00574493">
        <w:rPr>
          <w:rFonts w:cs="Traditional Arabic" w:hint="cs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أقل أحواله أنه حسن</w:t>
      </w:r>
      <w:r w:rsidR="002D41DD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فلا يترك</w:t>
      </w:r>
      <w:r w:rsidR="0025371B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2D41DD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وبذلك لا</w:t>
      </w:r>
      <w:r w:rsidR="000E3E6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5371B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نحتاج إلى تأوي</w:t>
      </w:r>
      <w:r w:rsidR="008A06BF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ل حديث</w:t>
      </w:r>
      <w:r w:rsidR="001C7F2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ابن عباس وأبي هريرة </w:t>
      </w:r>
      <w:r w:rsidR="00D77058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9"/>
      </w:r>
      <w:r w:rsidR="004649D4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بأنهما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محمول</w:t>
      </w:r>
      <w:r w:rsidR="004649D4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ان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النائمين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خاف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ظهور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يضحكه</w:t>
      </w:r>
      <w:r w:rsidR="001C7F2E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ويخجل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النائم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4649D4"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649D4"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انتبه</w:t>
      </w:r>
      <w:r w:rsidR="004649D4" w:rsidRPr="00574493">
        <w:rPr>
          <w:rFonts w:cs="Traditional Arabic" w:hint="cs"/>
          <w:sz w:val="36"/>
          <w:szCs w:val="36"/>
          <w:rtl/>
        </w:rPr>
        <w:t xml:space="preserve"> كما قيل</w:t>
      </w:r>
      <w:r w:rsidR="00C95116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95116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C95116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649D4" w:rsidRPr="00574493">
        <w:rPr>
          <w:rFonts w:cs="Traditional Arabic" w:hint="cs"/>
          <w:b/>
          <w:bCs/>
          <w:sz w:val="36"/>
          <w:szCs w:val="36"/>
          <w:rtl/>
        </w:rPr>
        <w:t xml:space="preserve">.  </w:t>
      </w:r>
    </w:p>
    <w:p w:rsidR="005C697B" w:rsidRPr="00574493" w:rsidRDefault="005C697B" w:rsidP="000B415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t>فإن قيل</w:t>
      </w:r>
      <w:r w:rsidR="00194F0F" w:rsidRPr="00574493">
        <w:rPr>
          <w:rFonts w:cs="Traditional Arabic" w:hint="cs"/>
          <w:sz w:val="36"/>
          <w:szCs w:val="36"/>
          <w:rtl/>
        </w:rPr>
        <w:t>:</w:t>
      </w:r>
      <w:r w:rsidRPr="00574493">
        <w:rPr>
          <w:rFonts w:cs="Traditional Arabic" w:hint="cs"/>
          <w:sz w:val="36"/>
          <w:szCs w:val="36"/>
          <w:rtl/>
        </w:rPr>
        <w:t xml:space="preserve"> حديث عائشة</w:t>
      </w:r>
      <w:r w:rsidR="00194F0F" w:rsidRPr="00574493">
        <w:rPr>
          <w:rFonts w:cs="Traditional Arabic" w:hint="cs"/>
          <w:sz w:val="36"/>
          <w:szCs w:val="36"/>
          <w:rtl/>
        </w:rPr>
        <w:t xml:space="preserve"> </w:t>
      </w:r>
      <w:r w:rsidR="00D77058">
        <w:rPr>
          <w:rFonts w:cs="Traditional Arabic" w:hint="cs"/>
          <w:sz w:val="36"/>
          <w:szCs w:val="36"/>
          <w:rtl/>
        </w:rPr>
        <w:t xml:space="preserve">رضي الله </w:t>
      </w:r>
      <w:r w:rsidR="00194F0F" w:rsidRPr="00574493">
        <w:rPr>
          <w:rFonts w:cs="Traditional Arabic" w:hint="cs"/>
          <w:sz w:val="36"/>
          <w:szCs w:val="36"/>
          <w:rtl/>
        </w:rPr>
        <w:t>عنها</w:t>
      </w:r>
      <w:r w:rsidRPr="00574493">
        <w:rPr>
          <w:rFonts w:cs="Traditional Arabic" w:hint="cs"/>
          <w:sz w:val="36"/>
          <w:szCs w:val="36"/>
          <w:rtl/>
        </w:rPr>
        <w:t xml:space="preserve"> يدل على جواز الصلاة إلى النائمة لا إلى النائم. </w:t>
      </w:r>
    </w:p>
    <w:p w:rsidR="005C697B" w:rsidRPr="00574493" w:rsidRDefault="005C697B" w:rsidP="000B415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74493">
        <w:rPr>
          <w:rFonts w:cs="Traditional Arabic" w:hint="cs"/>
          <w:b/>
          <w:bCs/>
          <w:sz w:val="36"/>
          <w:szCs w:val="36"/>
          <w:rtl/>
        </w:rPr>
        <w:t>فيقال</w:t>
      </w:r>
      <w:r w:rsidRPr="00574493">
        <w:rPr>
          <w:rFonts w:cs="Traditional Arabic" w:hint="cs"/>
          <w:sz w:val="36"/>
          <w:szCs w:val="36"/>
          <w:rtl/>
        </w:rPr>
        <w:t xml:space="preserve">: </w:t>
      </w:r>
      <w:r w:rsidR="000F67D5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إ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والنساء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الأحكام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خصه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الدليل</w:t>
      </w:r>
      <w:r w:rsidR="00AE5EC7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D7705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جاز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النائمة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فخلف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النائم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بالطريق</w:t>
      </w:r>
      <w:r w:rsidRPr="0057449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449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 w:rsidR="00AE5EC7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A93F78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لأن </w:t>
      </w:r>
      <w:r w:rsidR="00B11D6A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النائمة</w:t>
      </w:r>
      <w:r w:rsidR="00A93F78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11D6A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أكثر</w:t>
      </w:r>
      <w:r w:rsidR="00A522AA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D56DE0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تشويشا ل</w:t>
      </w:r>
      <w:r w:rsidR="00B11D6A" w:rsidRPr="00574493">
        <w:rPr>
          <w:rFonts w:ascii="Traditional Arabic" w:eastAsia="Times New Roman" w:hAnsi="Times New Roman" w:cs="Traditional Arabic" w:hint="cs"/>
          <w:sz w:val="36"/>
          <w:szCs w:val="36"/>
          <w:rtl/>
        </w:rPr>
        <w:t>لقلب من النائم</w:t>
      </w:r>
      <w:r w:rsidR="00771411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71411" w:rsidRPr="0057449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771411" w:rsidRPr="0057449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71411" w:rsidRPr="00574493">
        <w:rPr>
          <w:rFonts w:cs="Traditional Arabic" w:hint="cs"/>
          <w:sz w:val="36"/>
          <w:szCs w:val="36"/>
          <w:rtl/>
        </w:rPr>
        <w:t xml:space="preserve">. </w:t>
      </w:r>
      <w:r w:rsidR="00D70CEF" w:rsidRPr="00574493">
        <w:rPr>
          <w:rFonts w:cs="Traditional Arabic" w:hint="cs"/>
          <w:sz w:val="36"/>
          <w:szCs w:val="36"/>
          <w:rtl/>
        </w:rPr>
        <w:t xml:space="preserve"> والله أعلم. </w:t>
      </w:r>
    </w:p>
    <w:p w:rsidR="00C5563F" w:rsidRPr="00574493" w:rsidRDefault="00C5563F" w:rsidP="000B415D">
      <w:pPr>
        <w:spacing w:after="0" w:line="240" w:lineRule="auto"/>
        <w:jc w:val="lowKashida"/>
        <w:rPr>
          <w:rFonts w:cs="Traditional Arabic"/>
          <w:sz w:val="36"/>
          <w:szCs w:val="36"/>
        </w:rPr>
      </w:pPr>
    </w:p>
    <w:sectPr w:rsidR="00C5563F" w:rsidRPr="00574493" w:rsidSect="004661DA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76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707" w:rsidRDefault="00771707" w:rsidP="003D1E38">
      <w:pPr>
        <w:spacing w:after="0" w:line="240" w:lineRule="auto"/>
      </w:pPr>
      <w:r>
        <w:separator/>
      </w:r>
    </w:p>
  </w:endnote>
  <w:endnote w:type="continuationSeparator" w:id="1">
    <w:p w:rsidR="00771707" w:rsidRDefault="00771707" w:rsidP="003D1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112266"/>
      <w:docPartObj>
        <w:docPartGallery w:val="Page Numbers (Bottom of Page)"/>
        <w:docPartUnique/>
      </w:docPartObj>
    </w:sdtPr>
    <w:sdtContent>
      <w:p w:rsidR="00190D0A" w:rsidRDefault="004661DA" w:rsidP="004661DA">
        <w:pPr>
          <w:pStyle w:val="afd"/>
          <w:jc w:val="center"/>
        </w:pPr>
        <w:r>
          <w:rPr>
            <w:noProof/>
            <w:rtl/>
          </w:rPr>
          <w:pict>
            <v:roundrect id="_x0000_s20481" style="position:absolute;left:0;text-align:left;margin-left:193.15pt;margin-top:-3.9pt;width:38.9pt;height:20.05pt;z-index:251658240;mso-position-horizontal-relative:margin;mso-position-vertical-relative:text" arcsize="10923f">
              <v:textbox style="mso-next-textbox:#_x0000_s20481">
                <w:txbxContent>
                  <w:p w:rsidR="004661DA" w:rsidRPr="00A6537B" w:rsidRDefault="004661DA" w:rsidP="004661DA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AB52F6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DB2EB0" w:rsidRPr="00DB2EB0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763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190D0A" w:rsidRDefault="00190D0A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707" w:rsidRDefault="00771707" w:rsidP="00190D0A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771707" w:rsidRDefault="00771707" w:rsidP="00190D0A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EC23FB" w:rsidRPr="005006B1" w:rsidRDefault="00EC23FB" w:rsidP="00017FD1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C23FB">
        <w:rPr>
          <w:rFonts w:ascii="Traditional Arabic" w:eastAsia="Calibri" w:cs="Traditional Arabic" w:hint="cs"/>
          <w:sz w:val="32"/>
          <w:szCs w:val="32"/>
          <w:rtl/>
        </w:rPr>
        <w:t>متفق علي</w:t>
      </w:r>
      <w:r w:rsidR="00EB395F">
        <w:rPr>
          <w:rFonts w:ascii="Traditional Arabic" w:eastAsia="Calibri" w:cs="Traditional Arabic" w:hint="cs"/>
          <w:sz w:val="32"/>
          <w:szCs w:val="32"/>
          <w:rtl/>
        </w:rPr>
        <w:t>ه</w:t>
      </w:r>
      <w:r w:rsidR="00704431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EC23FB">
        <w:rPr>
          <w:rFonts w:ascii="Traditional Arabic" w:eastAsia="Calibri" w:cs="Traditional Arabic" w:hint="cs"/>
          <w:sz w:val="32"/>
          <w:szCs w:val="32"/>
          <w:rtl/>
        </w:rPr>
        <w:t xml:space="preserve">أخرجه البخاري في كتاب الصلاة, </w:t>
      </w:r>
      <w:r w:rsidRPr="00EC23F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باب</w:t>
      </w:r>
      <w:r w:rsidRPr="00EC23F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EC23F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الصلاة</w:t>
      </w:r>
      <w:r w:rsidRPr="00EC23F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EC23F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EC23F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EC23F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الفراش</w:t>
      </w:r>
      <w:r w:rsidRPr="00EC23FB">
        <w:rPr>
          <w:rFonts w:ascii="Traditional Arabic" w:eastAsia="Times New Roman" w:hAnsi="Times New Roman" w:cs="Traditional Arabic" w:hint="cs"/>
          <w:sz w:val="32"/>
          <w:szCs w:val="32"/>
          <w:rtl/>
        </w:rPr>
        <w:t>1/144, برقم382, ومسلم في كتاب الصلاة,</w:t>
      </w:r>
      <w:r w:rsidRPr="00EC23F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EC23F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باب</w:t>
      </w:r>
      <w:r w:rsidRPr="00EC23F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EC23F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الاعتراض</w:t>
      </w:r>
      <w:r w:rsidRPr="00EC23F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EC23F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EC23F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EC23FB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يدي</w:t>
      </w:r>
      <w:r w:rsidRPr="00EC23FB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EC23FB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المصلي</w:t>
      </w:r>
      <w:r w:rsidRPr="00EC23F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ص</w:t>
      </w:r>
      <w:r w:rsidR="00017FD1">
        <w:rPr>
          <w:rFonts w:ascii="Traditional Arabic" w:eastAsia="Times New Roman" w:hAnsi="Times New Roman" w:cs="Traditional Arabic" w:hint="cs"/>
          <w:sz w:val="32"/>
          <w:szCs w:val="32"/>
          <w:rtl/>
        </w:rPr>
        <w:t>2</w:t>
      </w:r>
      <w:r w:rsidRPr="00EC23FB">
        <w:rPr>
          <w:rFonts w:ascii="Traditional Arabic" w:eastAsia="Times New Roman" w:hAnsi="Times New Roman" w:cs="Traditional Arabic" w:hint="cs"/>
          <w:sz w:val="32"/>
          <w:szCs w:val="32"/>
          <w:rtl/>
        </w:rPr>
        <w:t>09, برقم512.</w:t>
      </w:r>
    </w:p>
  </w:footnote>
  <w:footnote w:id="3">
    <w:p w:rsidR="00C310BF" w:rsidRPr="005006B1" w:rsidRDefault="00C310BF" w:rsidP="00D74F6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="00EB395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F1151" w:rsidRPr="005006B1">
        <w:rPr>
          <w:rFonts w:ascii="Traditional Arabic" w:eastAsia="Calibri" w:cs="Traditional Arabic" w:hint="cs"/>
          <w:sz w:val="32"/>
          <w:szCs w:val="32"/>
          <w:rtl/>
        </w:rPr>
        <w:t>مرعاة المفاتيح 2/505</w:t>
      </w:r>
      <w:r w:rsidR="00EB395F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4">
    <w:p w:rsidR="00BA5206" w:rsidRPr="005006B1" w:rsidRDefault="00BA5206" w:rsidP="00D74F63">
      <w:pPr>
        <w:pStyle w:val="af3"/>
        <w:ind w:left="423" w:hanging="425"/>
        <w:jc w:val="lowKashida"/>
        <w:rPr>
          <w:rtl/>
        </w:rPr>
      </w:pPr>
      <w:r w:rsidRPr="005006B1">
        <w:rPr>
          <w:rFonts w:hint="cs"/>
          <w:sz w:val="32"/>
          <w:szCs w:val="32"/>
          <w:rtl/>
        </w:rPr>
        <w:t>(</w:t>
      </w:r>
      <w:r w:rsidRPr="005006B1">
        <w:rPr>
          <w:sz w:val="32"/>
          <w:szCs w:val="32"/>
          <w:rtl/>
        </w:rPr>
        <w:footnoteRef/>
      </w:r>
      <w:r w:rsidRPr="005006B1">
        <w:rPr>
          <w:rFonts w:hint="cs"/>
          <w:sz w:val="32"/>
          <w:szCs w:val="32"/>
          <w:rtl/>
        </w:rPr>
        <w:t>)</w:t>
      </w:r>
      <w:r w:rsidR="00EB395F">
        <w:rPr>
          <w:rFonts w:ascii="Traditional Arabic" w:eastAsia="Calibri" w:hint="cs"/>
          <w:sz w:val="32"/>
          <w:szCs w:val="32"/>
          <w:rtl/>
        </w:rPr>
        <w:t xml:space="preserve"> ينظر</w:t>
      </w:r>
      <w:r w:rsidR="00C81008" w:rsidRPr="005006B1">
        <w:rPr>
          <w:rFonts w:ascii="Traditional Arabic" w:eastAsia="Calibri" w:hint="cs"/>
          <w:sz w:val="32"/>
          <w:szCs w:val="32"/>
          <w:rtl/>
        </w:rPr>
        <w:t xml:space="preserve">: </w:t>
      </w:r>
      <w:r w:rsidR="00EB395F" w:rsidRPr="000B415D">
        <w:rPr>
          <w:rFonts w:hint="cs"/>
          <w:spacing w:val="-20"/>
          <w:sz w:val="32"/>
          <w:szCs w:val="32"/>
          <w:rtl/>
        </w:rPr>
        <w:t>تبيين الحقائق</w:t>
      </w:r>
      <w:r w:rsidR="00E87D1A" w:rsidRPr="000B415D">
        <w:rPr>
          <w:rFonts w:hint="cs"/>
          <w:spacing w:val="-20"/>
          <w:sz w:val="32"/>
          <w:szCs w:val="32"/>
          <w:rtl/>
        </w:rPr>
        <w:t>1/167,</w:t>
      </w:r>
      <w:r w:rsidR="00EB395F" w:rsidRPr="000B415D">
        <w:rPr>
          <w:rFonts w:ascii="Traditional Arabic" w:eastAsia="Calibri" w:hint="cs"/>
          <w:spacing w:val="-20"/>
          <w:sz w:val="32"/>
          <w:szCs w:val="32"/>
          <w:rtl/>
        </w:rPr>
        <w:t xml:space="preserve"> </w:t>
      </w:r>
      <w:r w:rsidR="00704431" w:rsidRPr="000B415D">
        <w:rPr>
          <w:rFonts w:ascii="Traditional Arabic" w:eastAsia="Calibri" w:hint="cs"/>
          <w:spacing w:val="-20"/>
          <w:sz w:val="32"/>
          <w:szCs w:val="32"/>
          <w:rtl/>
        </w:rPr>
        <w:t>و</w:t>
      </w:r>
      <w:r w:rsidR="00EB395F" w:rsidRPr="000B415D">
        <w:rPr>
          <w:rFonts w:ascii="Traditional Arabic" w:eastAsia="Calibri" w:hint="cs"/>
          <w:spacing w:val="-20"/>
          <w:sz w:val="32"/>
          <w:szCs w:val="32"/>
          <w:rtl/>
        </w:rPr>
        <w:t>البناية2/543,</w:t>
      </w:r>
      <w:r w:rsidR="00EB395F" w:rsidRPr="000B415D">
        <w:rPr>
          <w:rFonts w:hint="cs"/>
          <w:spacing w:val="-20"/>
          <w:sz w:val="32"/>
          <w:szCs w:val="32"/>
          <w:rtl/>
        </w:rPr>
        <w:t xml:space="preserve"> وفتح القدير</w:t>
      </w:r>
      <w:r w:rsidR="00192DFF" w:rsidRPr="000B415D">
        <w:rPr>
          <w:rFonts w:hint="cs"/>
          <w:spacing w:val="-20"/>
          <w:sz w:val="32"/>
          <w:szCs w:val="32"/>
          <w:rtl/>
        </w:rPr>
        <w:t xml:space="preserve">1/413, </w:t>
      </w:r>
      <w:r w:rsidR="00940386">
        <w:rPr>
          <w:rFonts w:hint="cs"/>
          <w:spacing w:val="-20"/>
          <w:sz w:val="32"/>
          <w:szCs w:val="32"/>
          <w:rtl/>
        </w:rPr>
        <w:t>والبحر الرائق</w:t>
      </w:r>
      <w:r w:rsidR="00E87D1A" w:rsidRPr="000B415D">
        <w:rPr>
          <w:rFonts w:hint="cs"/>
          <w:spacing w:val="-20"/>
          <w:sz w:val="32"/>
          <w:szCs w:val="32"/>
          <w:rtl/>
        </w:rPr>
        <w:t xml:space="preserve">2/33, </w:t>
      </w:r>
      <w:r w:rsidR="00C81008" w:rsidRPr="000B415D">
        <w:rPr>
          <w:rFonts w:ascii="Traditional Arabic" w:eastAsia="Calibri" w:hint="cs"/>
          <w:spacing w:val="-20"/>
          <w:sz w:val="32"/>
          <w:szCs w:val="32"/>
          <w:rtl/>
        </w:rPr>
        <w:t>و</w:t>
      </w:r>
      <w:r w:rsidR="00EB395F" w:rsidRPr="000B415D">
        <w:rPr>
          <w:rFonts w:ascii="Traditional Arabic" w:eastAsia="Calibri" w:hint="cs"/>
          <w:spacing w:val="-20"/>
          <w:sz w:val="32"/>
          <w:szCs w:val="32"/>
          <w:rtl/>
        </w:rPr>
        <w:t>حاشية ابن عابدين</w:t>
      </w:r>
      <w:r w:rsidRPr="000B415D">
        <w:rPr>
          <w:rFonts w:ascii="Traditional Arabic" w:eastAsia="Calibri" w:hint="cs"/>
          <w:spacing w:val="-20"/>
          <w:sz w:val="32"/>
          <w:szCs w:val="32"/>
          <w:rtl/>
        </w:rPr>
        <w:t>2</w:t>
      </w:r>
      <w:r w:rsidR="00864871" w:rsidRPr="000B415D">
        <w:rPr>
          <w:rFonts w:ascii="Traditional Arabic" w:eastAsia="Calibri" w:hint="cs"/>
          <w:spacing w:val="-20"/>
          <w:sz w:val="32"/>
          <w:szCs w:val="32"/>
          <w:rtl/>
        </w:rPr>
        <w:t>/</w:t>
      </w:r>
      <w:r w:rsidR="00CB4EB9" w:rsidRPr="000B415D">
        <w:rPr>
          <w:rFonts w:ascii="Traditional Arabic" w:eastAsia="Calibri" w:hint="cs"/>
          <w:spacing w:val="-20"/>
          <w:sz w:val="32"/>
          <w:szCs w:val="32"/>
          <w:rtl/>
        </w:rPr>
        <w:t>422.</w:t>
      </w:r>
    </w:p>
  </w:footnote>
  <w:footnote w:id="5">
    <w:p w:rsidR="00CB4EB9" w:rsidRPr="005006B1" w:rsidRDefault="00CB4EB9" w:rsidP="00D74F6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="00EB395F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9474DD" w:rsidRPr="005006B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EB395F">
        <w:rPr>
          <w:rFonts w:ascii="Traditional Arabic" w:eastAsia="Calibri" w:cs="Traditional Arabic" w:hint="cs"/>
          <w:sz w:val="32"/>
          <w:szCs w:val="32"/>
          <w:rtl/>
        </w:rPr>
        <w:t>المجموع للنووي</w:t>
      </w:r>
      <w:r w:rsidR="005757A1" w:rsidRPr="005006B1">
        <w:rPr>
          <w:rFonts w:ascii="Traditional Arabic" w:eastAsia="Calibri" w:cs="Traditional Arabic" w:hint="cs"/>
          <w:sz w:val="32"/>
          <w:szCs w:val="32"/>
          <w:rtl/>
        </w:rPr>
        <w:t>3/231,</w:t>
      </w:r>
      <w:r w:rsidR="00EB395F">
        <w:rPr>
          <w:rFonts w:ascii="Traditional Arabic" w:eastAsia="Calibri" w:cs="Traditional Arabic" w:hint="cs"/>
          <w:sz w:val="32"/>
          <w:szCs w:val="32"/>
          <w:rtl/>
        </w:rPr>
        <w:t xml:space="preserve"> وشرح مسلم للنووي</w:t>
      </w:r>
      <w:r w:rsidR="005C70A5" w:rsidRPr="005006B1">
        <w:rPr>
          <w:rFonts w:ascii="Traditional Arabic" w:eastAsia="Calibri" w:cs="Traditional Arabic" w:hint="cs"/>
          <w:sz w:val="32"/>
          <w:szCs w:val="32"/>
          <w:rtl/>
        </w:rPr>
        <w:t>4/228.</w:t>
      </w:r>
      <w:r w:rsidR="00C02A5A" w:rsidRPr="005006B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757A1" w:rsidRPr="005006B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6">
    <w:p w:rsidR="00600AD7" w:rsidRPr="005006B1" w:rsidRDefault="00600AD7" w:rsidP="00D74F6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="00EB395F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5C70A5" w:rsidRPr="005006B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EB395F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 xml:space="preserve">5/98. </w:t>
      </w:r>
    </w:p>
  </w:footnote>
  <w:footnote w:id="7">
    <w:p w:rsidR="000E3E6C" w:rsidRPr="005006B1" w:rsidRDefault="000E3E6C" w:rsidP="00D74F63">
      <w:pPr>
        <w:pStyle w:val="af3"/>
        <w:ind w:left="423" w:hanging="425"/>
        <w:jc w:val="lowKashida"/>
        <w:rPr>
          <w:rStyle w:val="ae"/>
          <w:sz w:val="36"/>
          <w:szCs w:val="36"/>
          <w:vertAlign w:val="baseline"/>
          <w:rtl/>
        </w:rPr>
      </w:pPr>
      <w:r w:rsidRPr="005006B1">
        <w:rPr>
          <w:rStyle w:val="ae"/>
          <w:sz w:val="36"/>
          <w:szCs w:val="36"/>
          <w:vertAlign w:val="baseline"/>
          <w:rtl/>
        </w:rPr>
        <w:t>(</w:t>
      </w:r>
      <w:r w:rsidRPr="005006B1">
        <w:rPr>
          <w:rStyle w:val="ae"/>
          <w:sz w:val="36"/>
          <w:szCs w:val="36"/>
          <w:vertAlign w:val="baseline"/>
        </w:rPr>
        <w:footnoteRef/>
      </w:r>
      <w:r w:rsidRPr="005006B1">
        <w:rPr>
          <w:rStyle w:val="ae"/>
          <w:sz w:val="36"/>
          <w:szCs w:val="36"/>
          <w:vertAlign w:val="baseline"/>
          <w:rtl/>
        </w:rPr>
        <w:t>)</w:t>
      </w:r>
      <w:r w:rsidRPr="005006B1">
        <w:rPr>
          <w:sz w:val="36"/>
          <w:szCs w:val="36"/>
        </w:rPr>
        <w:t xml:space="preserve"> </w:t>
      </w:r>
      <w:r w:rsidRPr="005006B1">
        <w:rPr>
          <w:rFonts w:hint="cs"/>
          <w:sz w:val="32"/>
          <w:szCs w:val="32"/>
          <w:rtl/>
        </w:rPr>
        <w:t xml:space="preserve">ينظر: </w:t>
      </w:r>
      <w:r w:rsidR="00EB395F">
        <w:rPr>
          <w:rFonts w:hint="cs"/>
          <w:sz w:val="32"/>
          <w:szCs w:val="32"/>
          <w:rtl/>
        </w:rPr>
        <w:t>شرح البخاري لابن بطال</w:t>
      </w:r>
      <w:r w:rsidRPr="005006B1">
        <w:rPr>
          <w:rFonts w:hint="cs"/>
          <w:sz w:val="32"/>
          <w:szCs w:val="32"/>
          <w:rtl/>
        </w:rPr>
        <w:t>2/140, و</w:t>
      </w:r>
      <w:r w:rsidR="00EB395F">
        <w:rPr>
          <w:rFonts w:hint="cs"/>
          <w:sz w:val="32"/>
          <w:szCs w:val="32"/>
          <w:rtl/>
        </w:rPr>
        <w:t>طرح التثريب</w:t>
      </w:r>
      <w:r w:rsidRPr="005006B1">
        <w:rPr>
          <w:rFonts w:hint="cs"/>
          <w:sz w:val="32"/>
          <w:szCs w:val="32"/>
          <w:rtl/>
        </w:rPr>
        <w:t>2/387, و</w:t>
      </w:r>
      <w:r w:rsidR="00EB395F">
        <w:rPr>
          <w:rFonts w:hint="cs"/>
          <w:sz w:val="32"/>
          <w:szCs w:val="32"/>
          <w:rtl/>
        </w:rPr>
        <w:t>فتح الباري</w:t>
      </w:r>
      <w:r w:rsidRPr="005006B1">
        <w:rPr>
          <w:rFonts w:hint="cs"/>
          <w:sz w:val="32"/>
          <w:szCs w:val="32"/>
          <w:rtl/>
        </w:rPr>
        <w:t xml:space="preserve">1/759. </w:t>
      </w:r>
    </w:p>
  </w:footnote>
  <w:footnote w:id="8">
    <w:p w:rsidR="000E3E6C" w:rsidRPr="005006B1" w:rsidRDefault="000E3E6C" w:rsidP="00D74F63">
      <w:pPr>
        <w:pStyle w:val="af3"/>
        <w:ind w:left="423" w:hanging="425"/>
        <w:jc w:val="lowKashida"/>
        <w:rPr>
          <w:rStyle w:val="ae"/>
          <w:sz w:val="36"/>
          <w:szCs w:val="36"/>
          <w:vertAlign w:val="baseline"/>
          <w:rtl/>
        </w:rPr>
      </w:pPr>
      <w:r w:rsidRPr="005006B1">
        <w:rPr>
          <w:rStyle w:val="ae"/>
          <w:sz w:val="36"/>
          <w:szCs w:val="36"/>
          <w:vertAlign w:val="baseline"/>
          <w:rtl/>
        </w:rPr>
        <w:t>(</w:t>
      </w:r>
      <w:r w:rsidRPr="005006B1">
        <w:rPr>
          <w:rStyle w:val="ae"/>
          <w:sz w:val="36"/>
          <w:szCs w:val="36"/>
          <w:vertAlign w:val="baseline"/>
        </w:rPr>
        <w:footnoteRef/>
      </w:r>
      <w:r w:rsidRPr="005006B1">
        <w:rPr>
          <w:rStyle w:val="ae"/>
          <w:sz w:val="36"/>
          <w:szCs w:val="36"/>
          <w:vertAlign w:val="baseline"/>
          <w:rtl/>
        </w:rPr>
        <w:t>)</w:t>
      </w:r>
      <w:r w:rsidRPr="005006B1">
        <w:rPr>
          <w:sz w:val="36"/>
          <w:szCs w:val="36"/>
        </w:rPr>
        <w:t xml:space="preserve"> </w:t>
      </w:r>
      <w:r w:rsidRPr="005006B1">
        <w:rPr>
          <w:rFonts w:hint="cs"/>
          <w:sz w:val="32"/>
          <w:szCs w:val="32"/>
          <w:rtl/>
        </w:rPr>
        <w:t>ين</w:t>
      </w:r>
      <w:r w:rsidR="00EB395F">
        <w:rPr>
          <w:rFonts w:hint="cs"/>
          <w:sz w:val="32"/>
          <w:szCs w:val="32"/>
          <w:rtl/>
        </w:rPr>
        <w:t xml:space="preserve">ظر: </w:t>
      </w:r>
      <w:r w:rsidR="00EB395F" w:rsidRPr="000B415D">
        <w:rPr>
          <w:rFonts w:hint="cs"/>
          <w:spacing w:val="-20"/>
          <w:sz w:val="32"/>
          <w:szCs w:val="32"/>
          <w:rtl/>
        </w:rPr>
        <w:t>التفريع</w:t>
      </w:r>
      <w:r w:rsidRPr="000B415D">
        <w:rPr>
          <w:rFonts w:hint="cs"/>
          <w:spacing w:val="-20"/>
          <w:sz w:val="32"/>
          <w:szCs w:val="32"/>
          <w:rtl/>
        </w:rPr>
        <w:t>1/230, و</w:t>
      </w:r>
      <w:r w:rsidR="00EB395F" w:rsidRPr="000B415D">
        <w:rPr>
          <w:rFonts w:hint="cs"/>
          <w:spacing w:val="-20"/>
          <w:sz w:val="32"/>
          <w:szCs w:val="32"/>
          <w:rtl/>
        </w:rPr>
        <w:t>المعونة</w:t>
      </w:r>
      <w:r w:rsidRPr="000B415D">
        <w:rPr>
          <w:rFonts w:hint="cs"/>
          <w:spacing w:val="-20"/>
          <w:sz w:val="32"/>
          <w:szCs w:val="32"/>
          <w:rtl/>
        </w:rPr>
        <w:t>1/157, والكافي لابن عبد البرّ ص45, و</w:t>
      </w:r>
      <w:r w:rsidR="00EB395F" w:rsidRPr="000B415D">
        <w:rPr>
          <w:rFonts w:hint="cs"/>
          <w:spacing w:val="-20"/>
          <w:sz w:val="32"/>
          <w:szCs w:val="32"/>
          <w:rtl/>
        </w:rPr>
        <w:t>الذخيرة</w:t>
      </w:r>
      <w:r w:rsidRPr="000B415D">
        <w:rPr>
          <w:rFonts w:hint="cs"/>
          <w:spacing w:val="-20"/>
          <w:sz w:val="32"/>
          <w:szCs w:val="32"/>
          <w:rtl/>
        </w:rPr>
        <w:t>2/157, والتاج</w:t>
      </w:r>
      <w:r w:rsidR="00EB395F" w:rsidRPr="000B415D">
        <w:rPr>
          <w:rFonts w:hint="cs"/>
          <w:spacing w:val="-20"/>
          <w:sz w:val="32"/>
          <w:szCs w:val="32"/>
          <w:rtl/>
        </w:rPr>
        <w:t xml:space="preserve"> والإكليل</w:t>
      </w:r>
      <w:r w:rsidRPr="000B415D">
        <w:rPr>
          <w:rFonts w:hint="cs"/>
          <w:spacing w:val="-20"/>
          <w:sz w:val="32"/>
          <w:szCs w:val="32"/>
          <w:rtl/>
        </w:rPr>
        <w:t>2/235.</w:t>
      </w:r>
      <w:r w:rsidRPr="005006B1">
        <w:rPr>
          <w:rFonts w:hint="cs"/>
          <w:sz w:val="32"/>
          <w:szCs w:val="32"/>
          <w:rtl/>
        </w:rPr>
        <w:t xml:space="preserve"> </w:t>
      </w:r>
    </w:p>
  </w:footnote>
  <w:footnote w:id="9">
    <w:p w:rsidR="000E3E6C" w:rsidRPr="005006B1" w:rsidRDefault="000E3E6C" w:rsidP="00D74F6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Style w:val="ae"/>
          <w:rFonts w:ascii="Traditional Arabic" w:eastAsia="Times New Roman" w:hAnsi="Times New Roman"/>
          <w:b/>
          <w:bCs/>
          <w:color w:val="000000"/>
          <w:sz w:val="44"/>
          <w:szCs w:val="44"/>
          <w:vertAlign w:val="baseline"/>
          <w:rtl/>
        </w:rPr>
      </w:pPr>
      <w:r w:rsidRPr="005006B1">
        <w:rPr>
          <w:rStyle w:val="ae"/>
          <w:sz w:val="36"/>
          <w:szCs w:val="36"/>
          <w:vertAlign w:val="baseline"/>
          <w:rtl/>
        </w:rPr>
        <w:t>(</w:t>
      </w:r>
      <w:r w:rsidRPr="005006B1">
        <w:rPr>
          <w:rStyle w:val="ae"/>
          <w:sz w:val="36"/>
          <w:szCs w:val="36"/>
          <w:vertAlign w:val="baseline"/>
        </w:rPr>
        <w:footnoteRef/>
      </w:r>
      <w:r w:rsidRPr="005006B1">
        <w:rPr>
          <w:rStyle w:val="ae"/>
          <w:sz w:val="36"/>
          <w:szCs w:val="36"/>
          <w:vertAlign w:val="baseline"/>
          <w:rtl/>
        </w:rPr>
        <w:t>)</w:t>
      </w:r>
      <w:r w:rsidRPr="005006B1">
        <w:rPr>
          <w:rFonts w:hint="cs"/>
          <w:sz w:val="36"/>
          <w:szCs w:val="36"/>
          <w:rtl/>
        </w:rPr>
        <w:t xml:space="preserve"> </w:t>
      </w:r>
      <w:r w:rsidRPr="00940386">
        <w:rPr>
          <w:rFonts w:cs="Traditional Arabic" w:hint="cs"/>
          <w:spacing w:val="-20"/>
          <w:sz w:val="32"/>
          <w:szCs w:val="32"/>
          <w:rtl/>
        </w:rPr>
        <w:t>اُختلف في الصلاة إلى النائم عند الحنابلة فرُوى أنه يكره, وعن أحمد ما يدل على أنه يكره في الفريضة خاصة, ولا يكره في</w:t>
      </w:r>
      <w:r w:rsidR="00940386" w:rsidRPr="00940386">
        <w:rPr>
          <w:rFonts w:cs="Traditional Arabic" w:hint="cs"/>
          <w:spacing w:val="-20"/>
          <w:sz w:val="32"/>
          <w:szCs w:val="32"/>
          <w:rtl/>
        </w:rPr>
        <w:t xml:space="preserve"> التطوع,</w:t>
      </w:r>
      <w:r w:rsidR="00EB395F" w:rsidRPr="00940386">
        <w:rPr>
          <w:rFonts w:cs="Traditional Arabic" w:hint="cs"/>
          <w:spacing w:val="-20"/>
          <w:sz w:val="32"/>
          <w:szCs w:val="32"/>
          <w:rtl/>
        </w:rPr>
        <w:t>وقيل:</w:t>
      </w:r>
      <w:r w:rsidRPr="00940386">
        <w:rPr>
          <w:rFonts w:cs="Traditional Arabic" w:hint="cs"/>
          <w:spacing w:val="-20"/>
          <w:sz w:val="32"/>
          <w:szCs w:val="32"/>
          <w:rtl/>
        </w:rPr>
        <w:t>لا يكره فيهما.ي</w:t>
      </w:r>
      <w:r w:rsidR="00EB395F" w:rsidRPr="00940386">
        <w:rPr>
          <w:rFonts w:cs="Traditional Arabic" w:hint="cs"/>
          <w:spacing w:val="-20"/>
          <w:sz w:val="32"/>
          <w:szCs w:val="32"/>
          <w:rtl/>
        </w:rPr>
        <w:t>نظر:[</w:t>
      </w:r>
      <w:r w:rsidRPr="00940386">
        <w:rPr>
          <w:rFonts w:cs="Traditional Arabic" w:hint="cs"/>
          <w:spacing w:val="-20"/>
          <w:sz w:val="32"/>
          <w:szCs w:val="32"/>
          <w:rtl/>
        </w:rPr>
        <w:t xml:space="preserve">المغني 3/87, </w:t>
      </w:r>
      <w:r w:rsidR="00704431" w:rsidRPr="00940386">
        <w:rPr>
          <w:rFonts w:cs="Traditional Arabic" w:hint="cs"/>
          <w:spacing w:val="-20"/>
          <w:sz w:val="32"/>
          <w:szCs w:val="32"/>
          <w:rtl/>
        </w:rPr>
        <w:t>و</w:t>
      </w:r>
      <w:r w:rsidRPr="00940386">
        <w:rPr>
          <w:rFonts w:cs="Traditional Arabic" w:hint="cs"/>
          <w:spacing w:val="-20"/>
          <w:sz w:val="32"/>
          <w:szCs w:val="32"/>
          <w:rtl/>
        </w:rPr>
        <w:t>الشرح الكبير مع المقنع</w:t>
      </w:r>
      <w:r w:rsidR="00EB395F" w:rsidRPr="00940386">
        <w:rPr>
          <w:rFonts w:cs="Traditional Arabic" w:hint="cs"/>
          <w:spacing w:val="-20"/>
          <w:sz w:val="32"/>
          <w:szCs w:val="32"/>
          <w:rtl/>
        </w:rPr>
        <w:t xml:space="preserve">3/643, </w:t>
      </w:r>
      <w:r w:rsidR="00704431" w:rsidRPr="00940386">
        <w:rPr>
          <w:rFonts w:cs="Traditional Arabic" w:hint="cs"/>
          <w:spacing w:val="-20"/>
          <w:sz w:val="32"/>
          <w:szCs w:val="32"/>
          <w:rtl/>
        </w:rPr>
        <w:t>و</w:t>
      </w:r>
      <w:r w:rsidR="00EB395F" w:rsidRPr="00940386">
        <w:rPr>
          <w:rFonts w:cs="Traditional Arabic" w:hint="cs"/>
          <w:spacing w:val="-20"/>
          <w:sz w:val="32"/>
          <w:szCs w:val="32"/>
          <w:rtl/>
        </w:rPr>
        <w:t xml:space="preserve">الإقناع1/195, </w:t>
      </w:r>
      <w:r w:rsidR="00704431" w:rsidRPr="00940386">
        <w:rPr>
          <w:rFonts w:cs="Traditional Arabic" w:hint="cs"/>
          <w:spacing w:val="-20"/>
          <w:sz w:val="32"/>
          <w:szCs w:val="32"/>
          <w:rtl/>
        </w:rPr>
        <w:t>و</w:t>
      </w:r>
      <w:r w:rsidR="00EB395F" w:rsidRPr="00940386">
        <w:rPr>
          <w:rFonts w:cs="Traditional Arabic" w:hint="cs"/>
          <w:spacing w:val="-20"/>
          <w:sz w:val="32"/>
          <w:szCs w:val="32"/>
          <w:rtl/>
        </w:rPr>
        <w:t>منتهى الإرادات</w:t>
      </w:r>
      <w:r w:rsidRPr="00940386">
        <w:rPr>
          <w:rFonts w:cs="Traditional Arabic" w:hint="cs"/>
          <w:spacing w:val="-20"/>
          <w:sz w:val="32"/>
          <w:szCs w:val="32"/>
          <w:rtl/>
        </w:rPr>
        <w:t>1/ 226,</w:t>
      </w:r>
      <w:r w:rsidR="00D74F63">
        <w:rPr>
          <w:rFonts w:cs="Traditional Arabic" w:hint="cs"/>
          <w:spacing w:val="-20"/>
          <w:sz w:val="32"/>
          <w:szCs w:val="32"/>
          <w:rtl/>
        </w:rPr>
        <w:t xml:space="preserve"> </w:t>
      </w:r>
      <w:r w:rsidR="00D74F63">
        <w:rPr>
          <w:rFonts w:ascii="Traditional Arabic" w:cs="Traditional Arabic" w:hint="cs"/>
          <w:spacing w:val="-20"/>
          <w:sz w:val="32"/>
          <w:szCs w:val="32"/>
          <w:rtl/>
        </w:rPr>
        <w:t>و</w:t>
      </w:r>
      <w:r w:rsidR="00940386" w:rsidRPr="00940386">
        <w:rPr>
          <w:rFonts w:ascii="Traditional Arabic" w:cs="Traditional Arabic" w:hint="cs"/>
          <w:spacing w:val="-20"/>
          <w:sz w:val="32"/>
          <w:szCs w:val="32"/>
          <w:rtl/>
        </w:rPr>
        <w:t xml:space="preserve"> فتح الباري لابن رجب4/108, </w:t>
      </w:r>
      <w:r w:rsidR="00EB395F" w:rsidRPr="00940386">
        <w:rPr>
          <w:rFonts w:cs="Traditional Arabic" w:hint="cs"/>
          <w:spacing w:val="-20"/>
          <w:sz w:val="32"/>
          <w:szCs w:val="32"/>
          <w:rtl/>
        </w:rPr>
        <w:t>وكشاف القناع</w:t>
      </w:r>
      <w:r w:rsidRPr="00940386">
        <w:rPr>
          <w:rFonts w:cs="Traditional Arabic" w:hint="cs"/>
          <w:spacing w:val="-20"/>
          <w:sz w:val="32"/>
          <w:szCs w:val="32"/>
          <w:rtl/>
        </w:rPr>
        <w:t xml:space="preserve">1/348, </w:t>
      </w:r>
      <w:r w:rsidR="00EB395F" w:rsidRPr="00940386">
        <w:rPr>
          <w:rFonts w:cs="Traditional Arabic" w:hint="cs"/>
          <w:spacing w:val="-20"/>
          <w:sz w:val="32"/>
          <w:szCs w:val="32"/>
          <w:rtl/>
        </w:rPr>
        <w:t>وحاشية الروض المربع</w:t>
      </w:r>
      <w:r w:rsidRPr="00940386">
        <w:rPr>
          <w:rFonts w:cs="Traditional Arabic" w:hint="cs"/>
          <w:spacing w:val="-20"/>
          <w:sz w:val="32"/>
          <w:szCs w:val="32"/>
          <w:rtl/>
        </w:rPr>
        <w:t>2/95</w:t>
      </w:r>
      <w:r w:rsidR="00EB395F" w:rsidRPr="00940386">
        <w:rPr>
          <w:rFonts w:cs="Traditional Arabic" w:hint="cs"/>
          <w:spacing w:val="-20"/>
          <w:sz w:val="32"/>
          <w:szCs w:val="32"/>
          <w:rtl/>
        </w:rPr>
        <w:t>]</w:t>
      </w:r>
      <w:r w:rsidRPr="00940386">
        <w:rPr>
          <w:rFonts w:cs="Traditional Arabic" w:hint="cs"/>
          <w:spacing w:val="-20"/>
          <w:sz w:val="32"/>
          <w:szCs w:val="32"/>
          <w:rtl/>
        </w:rPr>
        <w:t>.</w:t>
      </w:r>
      <w:r w:rsidRPr="005006B1">
        <w:rPr>
          <w:rFonts w:hint="cs"/>
          <w:rtl/>
        </w:rPr>
        <w:t xml:space="preserve"> </w:t>
      </w:r>
    </w:p>
  </w:footnote>
  <w:footnote w:id="10">
    <w:p w:rsidR="000E3E6C" w:rsidRPr="005006B1" w:rsidRDefault="000E3E6C" w:rsidP="00D74F6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="00704431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>: فتح الباري لابن رجب 4/107.</w:t>
      </w:r>
    </w:p>
  </w:footnote>
  <w:footnote w:id="11">
    <w:p w:rsidR="00713726" w:rsidRPr="005006B1" w:rsidRDefault="00713726" w:rsidP="00DB2EB0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 xml:space="preserve"> سبق تخريجه في </w:t>
      </w:r>
      <w:r w:rsidR="00DB2EB0">
        <w:rPr>
          <w:rFonts w:ascii="Traditional Arabic" w:eastAsia="Calibri" w:cs="Traditional Arabic" w:hint="cs"/>
          <w:sz w:val="32"/>
          <w:szCs w:val="32"/>
          <w:rtl/>
        </w:rPr>
        <w:t>ص (752).</w:t>
      </w:r>
    </w:p>
  </w:footnote>
  <w:footnote w:id="12">
    <w:p w:rsidR="00713726" w:rsidRPr="005006B1" w:rsidRDefault="00713726" w:rsidP="000D0BD2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="007C4F1A">
        <w:rPr>
          <w:rFonts w:cs="Traditional Arabic" w:hint="cs"/>
          <w:sz w:val="32"/>
          <w:szCs w:val="32"/>
          <w:rtl/>
        </w:rPr>
        <w:t xml:space="preserve"> متفق عليه:</w:t>
      </w:r>
      <w:r w:rsidR="00483451" w:rsidRPr="005006B1">
        <w:rPr>
          <w:rFonts w:cs="Traditional Arabic" w:hint="cs"/>
          <w:sz w:val="32"/>
          <w:szCs w:val="32"/>
          <w:rtl/>
        </w:rPr>
        <w:t xml:space="preserve"> </w:t>
      </w:r>
      <w:r w:rsidR="00517F6F">
        <w:rPr>
          <w:rFonts w:cs="Traditional Arabic" w:hint="cs"/>
          <w:sz w:val="32"/>
          <w:szCs w:val="32"/>
          <w:rtl/>
        </w:rPr>
        <w:t>أخرجه البخاري</w:t>
      </w:r>
      <w:r w:rsidR="000D0BD2">
        <w:rPr>
          <w:rFonts w:cs="Traditional Arabic" w:hint="cs"/>
          <w:sz w:val="32"/>
          <w:szCs w:val="32"/>
          <w:rtl/>
        </w:rPr>
        <w:t xml:space="preserve"> </w:t>
      </w:r>
      <w:r w:rsidR="007C4F1A">
        <w:rPr>
          <w:rFonts w:cs="Traditional Arabic" w:hint="cs"/>
          <w:sz w:val="32"/>
          <w:szCs w:val="32"/>
          <w:rtl/>
        </w:rPr>
        <w:t xml:space="preserve">في كتاب الصلاة, </w:t>
      </w:r>
      <w:r w:rsidR="000D0BD2">
        <w:rPr>
          <w:rFonts w:cs="Traditional Arabic" w:hint="cs"/>
          <w:sz w:val="32"/>
          <w:szCs w:val="32"/>
          <w:rtl/>
        </w:rPr>
        <w:t>باب الصلاةخلف النائم1/179,</w:t>
      </w:r>
      <w:r w:rsidR="00517F6F">
        <w:rPr>
          <w:rFonts w:cs="Traditional Arabic" w:hint="cs"/>
          <w:sz w:val="32"/>
          <w:szCs w:val="32"/>
          <w:rtl/>
        </w:rPr>
        <w:t xml:space="preserve"> برقم 512.ومسلم في كتاب الصلاة, باب الاعتراض بين يدي المصلى ص208, برقم512</w:t>
      </w:r>
      <w:r w:rsidR="007C4F1A">
        <w:rPr>
          <w:rFonts w:cs="Traditional Arabic" w:hint="cs"/>
          <w:sz w:val="32"/>
          <w:szCs w:val="32"/>
          <w:rtl/>
        </w:rPr>
        <w:t>.</w:t>
      </w:r>
    </w:p>
  </w:footnote>
  <w:footnote w:id="13">
    <w:p w:rsidR="00A66729" w:rsidRPr="005006B1" w:rsidRDefault="00A66729" w:rsidP="004661DA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DB2EB0">
        <w:rPr>
          <w:rFonts w:cs="Traditional Arabic" w:hint="cs"/>
          <w:sz w:val="32"/>
          <w:szCs w:val="32"/>
          <w:rtl/>
        </w:rPr>
        <w:t xml:space="preserve">تقدم تخريجه في </w:t>
      </w:r>
      <w:r w:rsidR="004661DA" w:rsidRPr="00DB2EB0">
        <w:rPr>
          <w:rFonts w:cs="Traditional Arabic" w:hint="cs"/>
          <w:sz w:val="32"/>
          <w:szCs w:val="32"/>
          <w:rtl/>
        </w:rPr>
        <w:t>ص (762).</w:t>
      </w:r>
    </w:p>
  </w:footnote>
  <w:footnote w:id="14">
    <w:p w:rsidR="009D74D5" w:rsidRPr="005006B1" w:rsidRDefault="009D74D5" w:rsidP="00D74F63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="00900849">
        <w:rPr>
          <w:rFonts w:cs="Traditional Arabic" w:hint="cs"/>
          <w:sz w:val="32"/>
          <w:szCs w:val="32"/>
          <w:rtl/>
        </w:rPr>
        <w:t xml:space="preserve"> ينظر:الأوسط</w:t>
      </w:r>
      <w:r w:rsidR="005E5E14" w:rsidRPr="005006B1">
        <w:rPr>
          <w:rFonts w:cs="Traditional Arabic" w:hint="cs"/>
          <w:sz w:val="32"/>
          <w:szCs w:val="32"/>
          <w:rtl/>
        </w:rPr>
        <w:t xml:space="preserve">5/98, </w:t>
      </w:r>
      <w:r w:rsidRPr="005006B1">
        <w:rPr>
          <w:rFonts w:cs="Traditional Arabic" w:hint="cs"/>
          <w:sz w:val="32"/>
          <w:szCs w:val="32"/>
          <w:rtl/>
        </w:rPr>
        <w:t>وإحكام الأحكام ص2889,</w:t>
      </w:r>
      <w:r w:rsidR="00900849" w:rsidRPr="00900849">
        <w:rPr>
          <w:rFonts w:cs="Traditional Arabic" w:hint="cs"/>
          <w:sz w:val="32"/>
          <w:szCs w:val="32"/>
          <w:rtl/>
        </w:rPr>
        <w:t xml:space="preserve"> </w:t>
      </w:r>
      <w:r w:rsidR="00900849" w:rsidRPr="005006B1">
        <w:rPr>
          <w:rFonts w:cs="Traditional Arabic" w:hint="cs"/>
          <w:sz w:val="32"/>
          <w:szCs w:val="32"/>
          <w:rtl/>
        </w:rPr>
        <w:t>و</w:t>
      </w:r>
      <w:r w:rsidR="00900849">
        <w:rPr>
          <w:rFonts w:cs="Traditional Arabic" w:hint="cs"/>
          <w:sz w:val="32"/>
          <w:szCs w:val="32"/>
          <w:rtl/>
        </w:rPr>
        <w:t>طرح التثريب</w:t>
      </w:r>
      <w:r w:rsidR="00900849" w:rsidRPr="005006B1">
        <w:rPr>
          <w:rFonts w:cs="Traditional Arabic" w:hint="cs"/>
          <w:sz w:val="32"/>
          <w:szCs w:val="32"/>
          <w:rtl/>
        </w:rPr>
        <w:t xml:space="preserve">2/387, </w:t>
      </w:r>
      <w:r w:rsidR="00900849">
        <w:rPr>
          <w:rFonts w:cs="Traditional Arabic" w:hint="cs"/>
          <w:sz w:val="32"/>
          <w:szCs w:val="32"/>
          <w:rtl/>
        </w:rPr>
        <w:t>ونيل الأوطار</w:t>
      </w:r>
      <w:r w:rsidRPr="005006B1">
        <w:rPr>
          <w:rFonts w:cs="Traditional Arabic" w:hint="cs"/>
          <w:sz w:val="32"/>
          <w:szCs w:val="32"/>
          <w:rtl/>
        </w:rPr>
        <w:t>3/12, وعون المعبود 2/400.</w:t>
      </w:r>
    </w:p>
  </w:footnote>
  <w:footnote w:id="15">
    <w:p w:rsidR="000E3E6C" w:rsidRPr="005006B1" w:rsidRDefault="000E3E6C" w:rsidP="00773B14">
      <w:pPr>
        <w:pStyle w:val="af3"/>
        <w:spacing w:line="233" w:lineRule="auto"/>
        <w:ind w:left="425" w:hanging="425"/>
        <w:jc w:val="lowKashida"/>
        <w:rPr>
          <w:rStyle w:val="ae"/>
          <w:vertAlign w:val="baseline"/>
          <w:rtl/>
        </w:rPr>
      </w:pPr>
      <w:r w:rsidRPr="005006B1">
        <w:rPr>
          <w:rStyle w:val="ae"/>
          <w:sz w:val="32"/>
          <w:szCs w:val="32"/>
          <w:vertAlign w:val="baseline"/>
          <w:rtl/>
        </w:rPr>
        <w:t>(</w:t>
      </w:r>
      <w:r w:rsidRPr="005006B1">
        <w:rPr>
          <w:rStyle w:val="ae"/>
          <w:sz w:val="32"/>
          <w:szCs w:val="32"/>
          <w:vertAlign w:val="baseline"/>
        </w:rPr>
        <w:footnoteRef/>
      </w:r>
      <w:r w:rsidRPr="005006B1">
        <w:rPr>
          <w:rStyle w:val="ae"/>
          <w:sz w:val="32"/>
          <w:szCs w:val="32"/>
          <w:vertAlign w:val="baseline"/>
          <w:rtl/>
        </w:rPr>
        <w:t>)</w:t>
      </w:r>
      <w:r w:rsidRPr="005006B1">
        <w:rPr>
          <w:sz w:val="32"/>
          <w:szCs w:val="32"/>
        </w:rPr>
        <w:t xml:space="preserve"> </w:t>
      </w:r>
      <w:r w:rsidRPr="005006B1">
        <w:rPr>
          <w:rFonts w:hint="cs"/>
          <w:sz w:val="32"/>
          <w:szCs w:val="32"/>
          <w:rtl/>
        </w:rPr>
        <w:t xml:space="preserve">أخرجه أبو داود في </w:t>
      </w:r>
      <w:r w:rsidR="00900849">
        <w:rPr>
          <w:rFonts w:hint="cs"/>
          <w:sz w:val="32"/>
          <w:szCs w:val="32"/>
          <w:rtl/>
        </w:rPr>
        <w:t xml:space="preserve">سننه في </w:t>
      </w:r>
      <w:r w:rsidRPr="005006B1">
        <w:rPr>
          <w:rFonts w:hint="cs"/>
          <w:sz w:val="32"/>
          <w:szCs w:val="32"/>
          <w:rtl/>
        </w:rPr>
        <w:t>كتاب الصلاة, باب الصلاة إل</w:t>
      </w:r>
      <w:r w:rsidR="00900849">
        <w:rPr>
          <w:rFonts w:hint="cs"/>
          <w:sz w:val="32"/>
          <w:szCs w:val="32"/>
          <w:rtl/>
        </w:rPr>
        <w:t>ى المتحدّثين والنيام1/314, برقم</w:t>
      </w:r>
      <w:r w:rsidRPr="005006B1">
        <w:rPr>
          <w:rFonts w:hint="cs"/>
          <w:sz w:val="32"/>
          <w:szCs w:val="32"/>
          <w:rtl/>
        </w:rPr>
        <w:t>694</w:t>
      </w:r>
      <w:r w:rsidR="00900849">
        <w:rPr>
          <w:rFonts w:hint="cs"/>
          <w:sz w:val="32"/>
          <w:szCs w:val="32"/>
          <w:rtl/>
        </w:rPr>
        <w:t xml:space="preserve">, </w:t>
      </w:r>
      <w:r w:rsidRPr="005006B1">
        <w:rPr>
          <w:rFonts w:hint="cs"/>
          <w:sz w:val="32"/>
          <w:szCs w:val="32"/>
          <w:rtl/>
        </w:rPr>
        <w:t>وابن ماجه في كتاب إقامة الصلاة, باب من صلّى وبين</w:t>
      </w:r>
      <w:r w:rsidR="00900849">
        <w:rPr>
          <w:rFonts w:hint="cs"/>
          <w:sz w:val="32"/>
          <w:szCs w:val="32"/>
          <w:rtl/>
        </w:rPr>
        <w:t>ه وبين القبلة شيءٌ, ص308, برقم959,</w:t>
      </w:r>
      <w:r w:rsidRPr="005006B1">
        <w:rPr>
          <w:rFonts w:hint="cs"/>
          <w:sz w:val="32"/>
          <w:szCs w:val="32"/>
          <w:rtl/>
        </w:rPr>
        <w:t xml:space="preserve"> وعبد الرزاق في مصنفه2</w:t>
      </w:r>
      <w:r w:rsidR="00900849">
        <w:rPr>
          <w:rFonts w:hint="cs"/>
          <w:sz w:val="32"/>
          <w:szCs w:val="32"/>
          <w:rtl/>
        </w:rPr>
        <w:t>/</w:t>
      </w:r>
      <w:r w:rsidRPr="005006B1">
        <w:rPr>
          <w:rFonts w:hint="cs"/>
          <w:sz w:val="32"/>
          <w:szCs w:val="32"/>
          <w:rtl/>
        </w:rPr>
        <w:t>61,</w:t>
      </w:r>
      <w:r w:rsidR="00900849">
        <w:rPr>
          <w:rFonts w:hint="cs"/>
          <w:sz w:val="32"/>
          <w:szCs w:val="32"/>
          <w:rtl/>
        </w:rPr>
        <w:t>والبيهقي في السنن الكبرى2/566, برقم</w:t>
      </w:r>
      <w:r w:rsidR="00900849" w:rsidRPr="005006B1">
        <w:rPr>
          <w:rFonts w:hint="cs"/>
          <w:sz w:val="32"/>
          <w:szCs w:val="32"/>
          <w:rtl/>
        </w:rPr>
        <w:t xml:space="preserve">3525, </w:t>
      </w:r>
      <w:r w:rsidRPr="005006B1">
        <w:rPr>
          <w:rFonts w:hint="cs"/>
          <w:sz w:val="32"/>
          <w:szCs w:val="32"/>
          <w:rtl/>
        </w:rPr>
        <w:t>والحديث ضعفه أبو داود عند ما أخر</w:t>
      </w:r>
      <w:r w:rsidR="00704431">
        <w:rPr>
          <w:rFonts w:hint="cs"/>
          <w:sz w:val="32"/>
          <w:szCs w:val="32"/>
          <w:rtl/>
        </w:rPr>
        <w:t>ج</w:t>
      </w:r>
      <w:r w:rsidRPr="005006B1">
        <w:rPr>
          <w:rFonts w:hint="cs"/>
          <w:sz w:val="32"/>
          <w:szCs w:val="32"/>
          <w:rtl/>
        </w:rPr>
        <w:t xml:space="preserve"> ح</w:t>
      </w:r>
      <w:r w:rsidR="00900849">
        <w:rPr>
          <w:rFonts w:hint="cs"/>
          <w:sz w:val="32"/>
          <w:szCs w:val="32"/>
          <w:rtl/>
        </w:rPr>
        <w:t>ديثا أخر من نفس السند فقال بعده</w:t>
      </w:r>
      <w:r w:rsidRPr="005006B1">
        <w:rPr>
          <w:rFonts w:hint="cs"/>
          <w:sz w:val="32"/>
          <w:szCs w:val="32"/>
          <w:rtl/>
        </w:rPr>
        <w:t>:"</w:t>
      </w:r>
      <w:r w:rsidRPr="005006B1">
        <w:rPr>
          <w:rFonts w:ascii="Traditional Arabic" w:hint="eastAsia"/>
          <w:sz w:val="32"/>
          <w:szCs w:val="32"/>
          <w:rtl/>
        </w:rPr>
        <w:t>ر</w:t>
      </w:r>
      <w:r w:rsidRPr="005006B1">
        <w:rPr>
          <w:rFonts w:ascii="Traditional Arabic" w:hint="cs"/>
          <w:sz w:val="32"/>
          <w:szCs w:val="32"/>
          <w:rtl/>
        </w:rPr>
        <w:t>ُ</w:t>
      </w:r>
      <w:r w:rsidRPr="005006B1">
        <w:rPr>
          <w:rFonts w:ascii="Traditional Arabic" w:hint="eastAsia"/>
          <w:sz w:val="32"/>
          <w:szCs w:val="32"/>
          <w:rtl/>
        </w:rPr>
        <w:t>وي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هذا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الحديث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من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غير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وجه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عن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محمد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بن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كعب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كلها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واهية</w:t>
      </w:r>
      <w:r w:rsidRPr="005006B1">
        <w:rPr>
          <w:rFonts w:ascii="Traditional Arabic" w:hint="cs"/>
          <w:sz w:val="32"/>
          <w:szCs w:val="32"/>
          <w:rtl/>
        </w:rPr>
        <w:t>,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وهذا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الطريق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أمثلها</w:t>
      </w:r>
      <w:r w:rsidRPr="005006B1">
        <w:rPr>
          <w:rFonts w:ascii="Traditional Arabic" w:hint="cs"/>
          <w:sz w:val="32"/>
          <w:szCs w:val="32"/>
          <w:rtl/>
        </w:rPr>
        <w:t>,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وهو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ضعيف</w:t>
      </w:r>
      <w:r w:rsidRPr="005006B1">
        <w:rPr>
          <w:rFonts w:ascii="Traditional Arabic"/>
          <w:sz w:val="32"/>
          <w:szCs w:val="32"/>
          <w:rtl/>
        </w:rPr>
        <w:t xml:space="preserve"> </w:t>
      </w:r>
      <w:r w:rsidRPr="005006B1">
        <w:rPr>
          <w:rFonts w:ascii="Traditional Arabic" w:hint="eastAsia"/>
          <w:sz w:val="32"/>
          <w:szCs w:val="32"/>
          <w:rtl/>
        </w:rPr>
        <w:t>أيضا</w:t>
      </w:r>
      <w:r w:rsidRPr="005006B1">
        <w:rPr>
          <w:rFonts w:ascii="Traditional Arabic"/>
          <w:sz w:val="32"/>
          <w:szCs w:val="32"/>
          <w:rtl/>
        </w:rPr>
        <w:t>"</w:t>
      </w:r>
      <w:r w:rsidRPr="005006B1">
        <w:rPr>
          <w:rFonts w:ascii="Traditional Arabic" w:hint="cs"/>
          <w:sz w:val="32"/>
          <w:szCs w:val="32"/>
          <w:rtl/>
        </w:rPr>
        <w:t>[</w:t>
      </w:r>
      <w:r w:rsidR="00900849">
        <w:rPr>
          <w:rFonts w:ascii="Traditional Arabic" w:hint="cs"/>
          <w:sz w:val="32"/>
          <w:szCs w:val="32"/>
          <w:rtl/>
        </w:rPr>
        <w:t>سنن أبي داود</w:t>
      </w:r>
      <w:r w:rsidRPr="005006B1">
        <w:rPr>
          <w:rFonts w:ascii="Traditional Arabic" w:hint="cs"/>
          <w:sz w:val="32"/>
          <w:szCs w:val="32"/>
          <w:rtl/>
        </w:rPr>
        <w:t>2/111]</w:t>
      </w:r>
      <w:r w:rsidR="00900849">
        <w:rPr>
          <w:rFonts w:ascii="Traditional Arabic" w:hint="cs"/>
          <w:sz w:val="32"/>
          <w:szCs w:val="32"/>
          <w:rtl/>
        </w:rPr>
        <w:t>, وضعفه الخطابي في معالم السنن</w:t>
      </w:r>
      <w:r w:rsidRPr="005006B1">
        <w:rPr>
          <w:rFonts w:ascii="Traditional Arabic" w:hint="cs"/>
          <w:sz w:val="32"/>
          <w:szCs w:val="32"/>
          <w:rtl/>
        </w:rPr>
        <w:t>1/186, وا</w:t>
      </w:r>
      <w:r w:rsidR="00900849">
        <w:rPr>
          <w:rFonts w:ascii="Traditional Arabic" w:hint="cs"/>
          <w:sz w:val="32"/>
          <w:szCs w:val="32"/>
          <w:rtl/>
        </w:rPr>
        <w:t>بن القطان في بيان الوهم الإيهام</w:t>
      </w:r>
      <w:r w:rsidRPr="005006B1">
        <w:rPr>
          <w:rFonts w:ascii="Traditional Arabic" w:hint="cs"/>
          <w:sz w:val="32"/>
          <w:szCs w:val="32"/>
          <w:rtl/>
        </w:rPr>
        <w:t>5/688, و</w:t>
      </w:r>
      <w:r w:rsidRPr="005006B1">
        <w:rPr>
          <w:rFonts w:hint="cs"/>
          <w:sz w:val="32"/>
          <w:szCs w:val="32"/>
          <w:rtl/>
        </w:rPr>
        <w:t xml:space="preserve"> ابن المنذر في</w:t>
      </w:r>
      <w:r w:rsidR="00900849">
        <w:rPr>
          <w:rFonts w:hint="cs"/>
          <w:sz w:val="32"/>
          <w:szCs w:val="32"/>
          <w:rtl/>
        </w:rPr>
        <w:t xml:space="preserve"> الأوسط</w:t>
      </w:r>
      <w:r w:rsidRPr="005006B1">
        <w:rPr>
          <w:rFonts w:hint="cs"/>
          <w:sz w:val="32"/>
          <w:szCs w:val="32"/>
          <w:rtl/>
        </w:rPr>
        <w:t xml:space="preserve">5/97, </w:t>
      </w:r>
      <w:r w:rsidR="00900849">
        <w:rPr>
          <w:rFonts w:ascii="Traditional Arabic" w:hint="cs"/>
          <w:sz w:val="32"/>
          <w:szCs w:val="32"/>
          <w:rtl/>
        </w:rPr>
        <w:t>والنووي في المجموع3/131, وابن حجر في الدراية</w:t>
      </w:r>
      <w:r w:rsidRPr="005006B1">
        <w:rPr>
          <w:rFonts w:ascii="Traditional Arabic" w:hint="cs"/>
          <w:sz w:val="32"/>
          <w:szCs w:val="32"/>
          <w:rtl/>
        </w:rPr>
        <w:t xml:space="preserve">1/185,وكذلك ضعف إسناده العلامة الألباني رحمه </w:t>
      </w:r>
      <w:r w:rsidR="00900849">
        <w:rPr>
          <w:rFonts w:ascii="Traditional Arabic" w:hint="cs"/>
          <w:sz w:val="32"/>
          <w:szCs w:val="32"/>
          <w:rtl/>
        </w:rPr>
        <w:t>الله تعالى في صحيح سنن أبي داود</w:t>
      </w:r>
      <w:r w:rsidRPr="005006B1">
        <w:rPr>
          <w:rFonts w:ascii="Traditional Arabic" w:hint="cs"/>
          <w:sz w:val="32"/>
          <w:szCs w:val="32"/>
          <w:rtl/>
        </w:rPr>
        <w:t>3/ 274,</w:t>
      </w:r>
      <w:r w:rsidR="00900849">
        <w:rPr>
          <w:rFonts w:ascii="Traditional Arabic" w:hint="cs"/>
          <w:sz w:val="32"/>
          <w:szCs w:val="32"/>
          <w:rtl/>
        </w:rPr>
        <w:t>[</w:t>
      </w:r>
      <w:r w:rsidRPr="005006B1">
        <w:rPr>
          <w:rFonts w:ascii="Traditional Arabic" w:hint="cs"/>
          <w:sz w:val="32"/>
          <w:szCs w:val="32"/>
          <w:rtl/>
        </w:rPr>
        <w:t xml:space="preserve"> ثم تراجع الألباني عن هذا الحكم, وصحح الحديث لشو</w:t>
      </w:r>
      <w:r w:rsidR="00900849">
        <w:rPr>
          <w:rFonts w:ascii="Traditional Arabic" w:hint="cs"/>
          <w:sz w:val="32"/>
          <w:szCs w:val="32"/>
          <w:rtl/>
        </w:rPr>
        <w:t>ا</w:t>
      </w:r>
      <w:r w:rsidRPr="005006B1">
        <w:rPr>
          <w:rFonts w:ascii="Traditional Arabic" w:hint="cs"/>
          <w:sz w:val="32"/>
          <w:szCs w:val="32"/>
          <w:rtl/>
        </w:rPr>
        <w:t>هده كما سيأتي ] لأنه لم يسم عبد الله بن يعقوب من حدثه عنه عن محمد بن كعب</w:t>
      </w:r>
      <w:r w:rsidR="00704431">
        <w:rPr>
          <w:rFonts w:ascii="Traditional Arabic" w:hint="cs"/>
          <w:sz w:val="32"/>
          <w:szCs w:val="32"/>
          <w:rtl/>
        </w:rPr>
        <w:t>,</w:t>
      </w:r>
      <w:r w:rsidRPr="005006B1">
        <w:rPr>
          <w:rFonts w:ascii="Traditional Arabic" w:hint="cs"/>
          <w:sz w:val="32"/>
          <w:szCs w:val="32"/>
          <w:rtl/>
        </w:rPr>
        <w:t xml:space="preserve"> </w:t>
      </w:r>
      <w:r w:rsidR="00704431">
        <w:rPr>
          <w:rFonts w:ascii="Traditional Arabic" w:hint="cs"/>
          <w:sz w:val="32"/>
          <w:szCs w:val="32"/>
          <w:rtl/>
        </w:rPr>
        <w:t>وإنما رواه عن محمد بن كعب رجلان</w:t>
      </w:r>
      <w:r w:rsidRPr="005006B1">
        <w:rPr>
          <w:rFonts w:ascii="Traditional Arabic" w:hint="cs"/>
          <w:sz w:val="32"/>
          <w:szCs w:val="32"/>
          <w:rtl/>
        </w:rPr>
        <w:t xml:space="preserve">: تمام ين زريغ وعيسى بن ميمون وكلاهما ضعيفان, ورواه أيضا عبد الكريم أبو أمية عن مجاهد عن ابن عباس  وعبد الكريم متروك وليس هذا عبد الكريم الجزري وإن كان </w:t>
      </w:r>
      <w:r w:rsidR="00900849">
        <w:rPr>
          <w:rFonts w:ascii="Traditional Arabic" w:hint="cs"/>
          <w:sz w:val="32"/>
          <w:szCs w:val="32"/>
          <w:rtl/>
        </w:rPr>
        <w:t xml:space="preserve">ذاك إلا أنه في الحديث ليس بذلك. </w:t>
      </w:r>
      <w:r w:rsidR="00900849">
        <w:rPr>
          <w:rFonts w:hint="cs"/>
          <w:sz w:val="32"/>
          <w:szCs w:val="32"/>
          <w:rtl/>
        </w:rPr>
        <w:t>وقال البيهقي في السنن الكبرى</w:t>
      </w:r>
      <w:r w:rsidRPr="005006B1">
        <w:rPr>
          <w:rFonts w:hint="cs"/>
          <w:sz w:val="32"/>
          <w:szCs w:val="32"/>
          <w:rtl/>
        </w:rPr>
        <w:t>2/566:"وهذا أحسن ما روي في هذا الباب, وهو مرسل</w:t>
      </w:r>
      <w:r w:rsidR="00900849">
        <w:rPr>
          <w:rFonts w:hint="cs"/>
          <w:sz w:val="32"/>
          <w:szCs w:val="32"/>
          <w:rtl/>
        </w:rPr>
        <w:t>". وتعقّبه ابن التركماني بقوله:</w:t>
      </w:r>
      <w:r w:rsidRPr="005006B1">
        <w:rPr>
          <w:rFonts w:hint="cs"/>
          <w:sz w:val="32"/>
          <w:szCs w:val="32"/>
          <w:rtl/>
        </w:rPr>
        <w:t>"صرّح في كتاب المعرفة بأنّ إرساله من قبل محمد بن كعب, وفيه نظر, فإنّ محمداً صرّح بأن ابن عباس حدّثني, وصرّح صاحب الكمال بأنه سمع ع</w:t>
      </w:r>
      <w:r w:rsidR="00900849">
        <w:rPr>
          <w:rFonts w:hint="cs"/>
          <w:sz w:val="32"/>
          <w:szCs w:val="32"/>
          <w:rtl/>
        </w:rPr>
        <w:t>نه, فكيف يكون حديثه عنه مرسلاً"</w:t>
      </w:r>
      <w:r w:rsidRPr="005006B1">
        <w:rPr>
          <w:rFonts w:hint="cs"/>
          <w:sz w:val="32"/>
          <w:szCs w:val="32"/>
          <w:rtl/>
        </w:rPr>
        <w:t>. الجوهر النقي مع السنن الكبرى2/280.</w:t>
      </w:r>
      <w:r w:rsidR="00D74F63">
        <w:rPr>
          <w:rFonts w:hint="cs"/>
          <w:sz w:val="32"/>
          <w:szCs w:val="32"/>
          <w:rtl/>
        </w:rPr>
        <w:t xml:space="preserve"> </w:t>
      </w:r>
      <w:r w:rsidRPr="005006B1">
        <w:rPr>
          <w:rFonts w:hint="cs"/>
          <w:sz w:val="32"/>
          <w:szCs w:val="32"/>
          <w:rtl/>
        </w:rPr>
        <w:t>فالإسناد وإن كان ضعيفا لكن الحديث حسن إ</w:t>
      </w:r>
      <w:r w:rsidR="00704431">
        <w:rPr>
          <w:rFonts w:hint="cs"/>
          <w:sz w:val="32"/>
          <w:szCs w:val="32"/>
          <w:rtl/>
        </w:rPr>
        <w:t xml:space="preserve">ن شاء </w:t>
      </w:r>
      <w:r w:rsidRPr="005006B1">
        <w:rPr>
          <w:rFonts w:hint="cs"/>
          <w:sz w:val="32"/>
          <w:szCs w:val="32"/>
          <w:rtl/>
        </w:rPr>
        <w:t>بشواهده كم</w:t>
      </w:r>
      <w:r w:rsidR="00900849">
        <w:rPr>
          <w:rFonts w:hint="cs"/>
          <w:sz w:val="32"/>
          <w:szCs w:val="32"/>
          <w:rtl/>
        </w:rPr>
        <w:t xml:space="preserve">ا سيأتي في الحديث التالي إن شاء </w:t>
      </w:r>
      <w:r w:rsidRPr="005006B1">
        <w:rPr>
          <w:rFonts w:hint="cs"/>
          <w:sz w:val="32"/>
          <w:szCs w:val="32"/>
          <w:rtl/>
        </w:rPr>
        <w:t xml:space="preserve">الله. </w:t>
      </w:r>
    </w:p>
  </w:footnote>
  <w:footnote w:id="16">
    <w:p w:rsidR="00D74F63" w:rsidRDefault="000E3E6C" w:rsidP="00773B14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00849">
        <w:rPr>
          <w:rFonts w:ascii="Traditional Arabic" w:eastAsia="Calibri" w:cs="Traditional Arabic" w:hint="cs"/>
          <w:sz w:val="32"/>
          <w:szCs w:val="32"/>
          <w:rtl/>
        </w:rPr>
        <w:t>أخرجه الطبراني في المعجم الأوسط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>5/256, برقم 5246,و</w:t>
      </w:r>
      <w:r w:rsidR="00900849">
        <w:rPr>
          <w:rFonts w:ascii="Traditional Arabic" w:eastAsia="Calibri" w:cs="Traditional Arabic" w:hint="cs"/>
          <w:sz w:val="32"/>
          <w:szCs w:val="32"/>
          <w:rtl/>
        </w:rPr>
        <w:t>قال الهثيمي في مجمع الزوائد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>2/202: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رواه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الطبراني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الأوسط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وفيه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محمد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عمرو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علقمة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واختلف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الاحتجاج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به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>" والحديث حسن</w:t>
      </w:r>
      <w:r w:rsidR="00900849">
        <w:rPr>
          <w:rFonts w:ascii="Traditional Arabic" w:eastAsia="Calibri" w:cs="Traditional Arabic" w:hint="cs"/>
          <w:sz w:val="32"/>
          <w:szCs w:val="32"/>
          <w:rtl/>
        </w:rPr>
        <w:t>ه الألباني في صحيح سنن أبي داود3/276, تحت رقم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>691,  وقال بنقل</w:t>
      </w:r>
      <w:r w:rsidR="00704431">
        <w:rPr>
          <w:rFonts w:ascii="Traditional Arabic" w:eastAsia="Calibri" w:cs="Traditional Arabic" w:hint="cs"/>
          <w:sz w:val="32"/>
          <w:szCs w:val="32"/>
          <w:rtl/>
        </w:rPr>
        <w:t xml:space="preserve">ه إلى الصحيح, وفي إرواء الغليل 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>قال بعد أن نقل كلام الهيثمي المذكور: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قلت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: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وهو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ثقة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كما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قال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أبوحاتم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وغيره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ولذلك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بقية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الرواة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كلهم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ثقات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معروفون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رجال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التهذيب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غير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شيخ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الطبراني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هذا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ترجمه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الخطيب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وقال</w:t>
      </w:r>
      <w:r w:rsidR="009008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( </w:t>
      </w:r>
      <w:r w:rsidR="009008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3</w:t>
      </w:r>
      <w:r w:rsidR="009008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/ 153)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: "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وكان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ثقة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وذكره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الدارقطني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فقال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: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صدوق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"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وليس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واحد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منم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مغمز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اللهم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إلا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محمد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عمرو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وهو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ابن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علقمة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الليثي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المدني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ففيه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ضعف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يسير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قبل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حفظه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ولكنه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كما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قال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الذهبي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:"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شيخ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مشهور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حسن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الحديث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مكثر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أبي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سلمة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عبد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الرحمن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قد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أخرج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له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الشيخين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متابعة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".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وقال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الحافظ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التقريب</w:t>
      </w:r>
      <w:r w:rsidR="009008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: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صدوق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له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أوهام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.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قلت</w:t>
      </w:r>
      <w:r w:rsidR="009008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: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"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فالحديث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عندي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حسن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وتضعيف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الحافظ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له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مما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لا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يساعد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عليه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مصطلح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الحديث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,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وقد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أورده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الهيثمي</w:t>
      </w:r>
      <w:r w:rsidR="009008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="009008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"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مجمع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الزوائد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"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وقال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: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"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رواه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الطبراني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الأوسط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وفيه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محمد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عمرو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علقمة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واختلف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الاحتجاج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"</w:t>
      </w:r>
      <w:r w:rsidR="009008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.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قلت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: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لكن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المتقرر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أنه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حسن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الحديث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وهو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-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أعني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الهيثمي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-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وكذلك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الحافظ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العسقلاني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وغيرهم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الحفاظ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النقاد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جروا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على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تحسين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حديثه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وقد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صرح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بنحو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ذلك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الذهبي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كما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رأيت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فلا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مندوحة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القول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بحسن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</w:p>
    <w:p w:rsidR="000E3E6C" w:rsidRPr="005006B1" w:rsidRDefault="000E3E6C" w:rsidP="00773B14">
      <w:pPr>
        <w:autoSpaceDE w:val="0"/>
        <w:autoSpaceDN w:val="0"/>
        <w:adjustRightInd w:val="0"/>
        <w:spacing w:after="0" w:line="233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بهذا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5006B1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الحديث</w:t>
      </w:r>
      <w:r w:rsidRPr="005006B1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.</w:t>
      </w:r>
      <w:r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والله أعلم. 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 xml:space="preserve">[ إرواء الغليل 2/96, برقم 375]. </w:t>
      </w:r>
    </w:p>
  </w:footnote>
  <w:footnote w:id="17">
    <w:p w:rsidR="000E3E6C" w:rsidRPr="005006B1" w:rsidRDefault="000E3E6C" w:rsidP="00D74F63">
      <w:pPr>
        <w:pStyle w:val="af3"/>
        <w:ind w:left="423" w:hanging="425"/>
        <w:jc w:val="lowKashida"/>
        <w:rPr>
          <w:rStyle w:val="ae"/>
          <w:vertAlign w:val="baseline"/>
          <w:rtl/>
        </w:rPr>
      </w:pPr>
      <w:r w:rsidRPr="005006B1">
        <w:rPr>
          <w:rStyle w:val="ae"/>
          <w:sz w:val="32"/>
          <w:szCs w:val="32"/>
          <w:vertAlign w:val="baseline"/>
          <w:rtl/>
        </w:rPr>
        <w:t>(</w:t>
      </w:r>
      <w:r w:rsidRPr="005006B1">
        <w:rPr>
          <w:rStyle w:val="ae"/>
          <w:sz w:val="32"/>
          <w:szCs w:val="32"/>
          <w:vertAlign w:val="baseline"/>
        </w:rPr>
        <w:footnoteRef/>
      </w:r>
      <w:r w:rsidRPr="005006B1">
        <w:rPr>
          <w:rStyle w:val="ae"/>
          <w:sz w:val="32"/>
          <w:szCs w:val="32"/>
          <w:vertAlign w:val="baseline"/>
          <w:rtl/>
        </w:rPr>
        <w:t>)</w:t>
      </w:r>
      <w:r w:rsidRPr="005006B1">
        <w:t xml:space="preserve"> </w:t>
      </w:r>
      <w:r w:rsidRPr="005006B1">
        <w:rPr>
          <w:rFonts w:hint="cs"/>
          <w:sz w:val="32"/>
          <w:szCs w:val="32"/>
          <w:rtl/>
        </w:rPr>
        <w:t>ي</w:t>
      </w:r>
      <w:r w:rsidR="00900849">
        <w:rPr>
          <w:rFonts w:hint="cs"/>
          <w:sz w:val="32"/>
          <w:szCs w:val="32"/>
          <w:rtl/>
        </w:rPr>
        <w:t>نظر: المعونة</w:t>
      </w:r>
      <w:r w:rsidRPr="005006B1">
        <w:rPr>
          <w:rFonts w:hint="cs"/>
          <w:sz w:val="32"/>
          <w:szCs w:val="32"/>
          <w:rtl/>
        </w:rPr>
        <w:t xml:space="preserve">1/157, </w:t>
      </w:r>
      <w:r w:rsidR="00704431">
        <w:rPr>
          <w:rFonts w:hint="cs"/>
          <w:sz w:val="32"/>
          <w:szCs w:val="32"/>
          <w:rtl/>
        </w:rPr>
        <w:t>و</w:t>
      </w:r>
      <w:r w:rsidRPr="005006B1">
        <w:rPr>
          <w:rFonts w:hint="cs"/>
          <w:sz w:val="32"/>
          <w:szCs w:val="32"/>
          <w:rtl/>
        </w:rPr>
        <w:t xml:space="preserve">فتح الباري لابن رجب4/107, وطرح التثريب2/388, </w:t>
      </w:r>
      <w:r w:rsidR="00900849">
        <w:rPr>
          <w:rFonts w:hint="cs"/>
          <w:sz w:val="32"/>
          <w:szCs w:val="32"/>
          <w:rtl/>
        </w:rPr>
        <w:t>و</w:t>
      </w:r>
      <w:r w:rsidRPr="005006B1">
        <w:rPr>
          <w:rFonts w:hint="cs"/>
          <w:sz w:val="32"/>
          <w:szCs w:val="32"/>
          <w:rtl/>
        </w:rPr>
        <w:t>فتح الباري</w:t>
      </w:r>
      <w:r w:rsidR="00900849">
        <w:rPr>
          <w:rFonts w:hint="cs"/>
          <w:sz w:val="32"/>
          <w:szCs w:val="32"/>
          <w:rtl/>
        </w:rPr>
        <w:t xml:space="preserve"> لابن حجر</w:t>
      </w:r>
      <w:r w:rsidRPr="005006B1">
        <w:rPr>
          <w:rFonts w:hint="cs"/>
          <w:sz w:val="32"/>
          <w:szCs w:val="32"/>
          <w:rtl/>
        </w:rPr>
        <w:t xml:space="preserve">1/759. </w:t>
      </w:r>
    </w:p>
  </w:footnote>
  <w:footnote w:id="18">
    <w:p w:rsidR="006C5478" w:rsidRPr="005006B1" w:rsidRDefault="006C5478" w:rsidP="00D74F6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Pr="005006B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04431">
        <w:rPr>
          <w:rFonts w:ascii="Traditional Arabic" w:eastAsia="Calibri" w:cs="Traditional Arabic" w:hint="cs"/>
          <w:sz w:val="32"/>
          <w:szCs w:val="32"/>
          <w:rtl/>
        </w:rPr>
        <w:t xml:space="preserve"> نقلت كلامه بالمعنى </w:t>
      </w:r>
      <w:r w:rsidR="00C95116" w:rsidRPr="005006B1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C772FC" w:rsidRPr="005006B1">
        <w:rPr>
          <w:rFonts w:ascii="Traditional Arabic" w:eastAsia="Calibri" w:cs="Traditional Arabic" w:hint="cs"/>
          <w:sz w:val="32"/>
          <w:szCs w:val="32"/>
          <w:rtl/>
        </w:rPr>
        <w:t>:[</w:t>
      </w:r>
      <w:r w:rsidR="00900849">
        <w:rPr>
          <w:rFonts w:ascii="Traditional Arabic" w:eastAsia="Calibri" w:cs="Traditional Arabic" w:hint="cs"/>
          <w:sz w:val="32"/>
          <w:szCs w:val="32"/>
          <w:rtl/>
        </w:rPr>
        <w:t xml:space="preserve"> فتح الباري له</w:t>
      </w:r>
      <w:r w:rsidR="00C95116" w:rsidRPr="005006B1">
        <w:rPr>
          <w:rFonts w:ascii="Traditional Arabic" w:eastAsia="Calibri" w:cs="Traditional Arabic" w:hint="cs"/>
          <w:sz w:val="32"/>
          <w:szCs w:val="32"/>
          <w:rtl/>
        </w:rPr>
        <w:t>4/</w:t>
      </w:r>
      <w:r w:rsidR="00C772FC" w:rsidRPr="005006B1">
        <w:rPr>
          <w:rFonts w:ascii="Traditional Arabic" w:eastAsia="Calibri" w:cs="Traditional Arabic" w:hint="cs"/>
          <w:sz w:val="32"/>
          <w:szCs w:val="32"/>
          <w:rtl/>
        </w:rPr>
        <w:t>108].</w:t>
      </w:r>
    </w:p>
  </w:footnote>
  <w:footnote w:id="19">
    <w:p w:rsidR="00C95116" w:rsidRPr="005006B1" w:rsidRDefault="00C95116" w:rsidP="00D74F6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="00EF76E1">
        <w:rPr>
          <w:rFonts w:cs="Traditional Arabic" w:hint="cs"/>
          <w:sz w:val="32"/>
          <w:szCs w:val="32"/>
          <w:rtl/>
        </w:rPr>
        <w:t xml:space="preserve">) ينظر: </w:t>
      </w:r>
      <w:r w:rsidR="00900849">
        <w:rPr>
          <w:rFonts w:cs="Traditional Arabic" w:hint="cs"/>
          <w:sz w:val="32"/>
          <w:szCs w:val="32"/>
          <w:rtl/>
        </w:rPr>
        <w:t>البناية</w:t>
      </w:r>
      <w:r w:rsidR="00704431">
        <w:rPr>
          <w:rFonts w:cs="Traditional Arabic" w:hint="cs"/>
          <w:sz w:val="32"/>
          <w:szCs w:val="32"/>
          <w:rtl/>
        </w:rPr>
        <w:t>2/</w:t>
      </w:r>
      <w:r w:rsidR="00F26527" w:rsidRPr="005006B1">
        <w:rPr>
          <w:rFonts w:cs="Traditional Arabic" w:hint="cs"/>
          <w:sz w:val="32"/>
          <w:szCs w:val="32"/>
          <w:rtl/>
        </w:rPr>
        <w:t xml:space="preserve">543, </w:t>
      </w:r>
      <w:r w:rsidR="00E238BA" w:rsidRPr="005006B1">
        <w:rPr>
          <w:rFonts w:cs="Traditional Arabic" w:hint="cs"/>
          <w:sz w:val="32"/>
          <w:szCs w:val="32"/>
          <w:rtl/>
        </w:rPr>
        <w:t>و</w:t>
      </w:r>
      <w:r w:rsidRPr="005006B1">
        <w:rPr>
          <w:rFonts w:cs="Traditional Arabic" w:hint="cs"/>
          <w:sz w:val="32"/>
          <w:szCs w:val="32"/>
          <w:rtl/>
        </w:rPr>
        <w:t>فتح القدير</w:t>
      </w:r>
      <w:r w:rsidR="003A12AE" w:rsidRPr="005006B1">
        <w:rPr>
          <w:rFonts w:cs="Traditional Arabic" w:hint="cs"/>
          <w:sz w:val="32"/>
          <w:szCs w:val="32"/>
          <w:rtl/>
        </w:rPr>
        <w:t xml:space="preserve"> </w:t>
      </w:r>
      <w:r w:rsidR="00E238BA" w:rsidRPr="005006B1">
        <w:rPr>
          <w:rFonts w:cs="Traditional Arabic" w:hint="cs"/>
          <w:sz w:val="32"/>
          <w:szCs w:val="32"/>
          <w:rtl/>
        </w:rPr>
        <w:t>لابن الهمام</w:t>
      </w:r>
      <w:r w:rsidRPr="005006B1">
        <w:rPr>
          <w:rFonts w:cs="Traditional Arabic" w:hint="cs"/>
          <w:sz w:val="32"/>
          <w:szCs w:val="32"/>
          <w:rtl/>
        </w:rPr>
        <w:t>1/</w:t>
      </w:r>
      <w:r w:rsidR="00E238BA" w:rsidRPr="005006B1">
        <w:rPr>
          <w:rFonts w:cs="Traditional Arabic" w:hint="cs"/>
          <w:sz w:val="32"/>
          <w:szCs w:val="32"/>
          <w:rtl/>
        </w:rPr>
        <w:t>414,</w:t>
      </w:r>
      <w:r w:rsidR="00900849" w:rsidRPr="00900849">
        <w:rPr>
          <w:rFonts w:cs="Traditional Arabic" w:hint="cs"/>
          <w:sz w:val="32"/>
          <w:szCs w:val="32"/>
          <w:rtl/>
        </w:rPr>
        <w:t xml:space="preserve"> </w:t>
      </w:r>
      <w:r w:rsidR="00704431">
        <w:rPr>
          <w:rFonts w:cs="Traditional Arabic" w:hint="cs"/>
          <w:sz w:val="32"/>
          <w:szCs w:val="32"/>
          <w:rtl/>
        </w:rPr>
        <w:t>و</w:t>
      </w:r>
      <w:r w:rsidR="00900849">
        <w:rPr>
          <w:rFonts w:cs="Traditional Arabic" w:hint="cs"/>
          <w:sz w:val="32"/>
          <w:szCs w:val="32"/>
          <w:rtl/>
        </w:rPr>
        <w:t>البحر الرائق</w:t>
      </w:r>
      <w:r w:rsidR="00900849" w:rsidRPr="005006B1">
        <w:rPr>
          <w:rFonts w:cs="Traditional Arabic" w:hint="cs"/>
          <w:sz w:val="32"/>
          <w:szCs w:val="32"/>
          <w:rtl/>
        </w:rPr>
        <w:t>2/33,</w:t>
      </w:r>
      <w:r w:rsidR="00E238BA" w:rsidRPr="005006B1">
        <w:rPr>
          <w:rFonts w:cs="Traditional Arabic" w:hint="cs"/>
          <w:sz w:val="32"/>
          <w:szCs w:val="32"/>
          <w:rtl/>
        </w:rPr>
        <w:t xml:space="preserve"> وحاشية ابن عابدين 2/422.</w:t>
      </w:r>
    </w:p>
  </w:footnote>
  <w:footnote w:id="20">
    <w:p w:rsidR="00771411" w:rsidRPr="005006B1" w:rsidRDefault="00771411" w:rsidP="00D74F6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006B1">
        <w:rPr>
          <w:rFonts w:cs="Traditional Arabic" w:hint="cs"/>
          <w:sz w:val="32"/>
          <w:szCs w:val="32"/>
          <w:rtl/>
        </w:rPr>
        <w:t>(</w:t>
      </w:r>
      <w:r w:rsidRPr="005006B1">
        <w:rPr>
          <w:rFonts w:cs="Traditional Arabic"/>
          <w:sz w:val="32"/>
          <w:szCs w:val="32"/>
          <w:rtl/>
        </w:rPr>
        <w:footnoteRef/>
      </w:r>
      <w:r w:rsidRPr="005006B1">
        <w:rPr>
          <w:rFonts w:cs="Traditional Arabic" w:hint="cs"/>
          <w:sz w:val="32"/>
          <w:szCs w:val="32"/>
          <w:rtl/>
        </w:rPr>
        <w:t>)</w:t>
      </w:r>
      <w:r w:rsidR="00E238BA" w:rsidRPr="005006B1">
        <w:rPr>
          <w:rFonts w:ascii="Traditional Arabic" w:eastAsia="Times New Roman" w:hAnsi="Times New Roman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238BA"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ينظر</w:t>
      </w:r>
      <w:r w:rsidR="001C7F2E" w:rsidRPr="005006B1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: </w:t>
      </w:r>
      <w:r w:rsidR="00900849">
        <w:rPr>
          <w:rFonts w:cs="Traditional Arabic" w:hint="cs"/>
          <w:sz w:val="32"/>
          <w:szCs w:val="32"/>
          <w:rtl/>
        </w:rPr>
        <w:t>عمدة القاري</w:t>
      </w:r>
      <w:r w:rsidR="001C7F2E" w:rsidRPr="005006B1">
        <w:rPr>
          <w:rFonts w:cs="Traditional Arabic" w:hint="cs"/>
          <w:sz w:val="32"/>
          <w:szCs w:val="32"/>
          <w:rtl/>
        </w:rPr>
        <w:t>4/434.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89BB1E75D77E492EAA1475BCBA2B535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F76E1" w:rsidRPr="00EF76E1" w:rsidRDefault="000B415D" w:rsidP="000B415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0B415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الثامن:</w:t>
        </w:r>
        <w:r w:rsidR="00EF76E1" w:rsidRPr="000B415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الصلاة إلى النائم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62C0C9E"/>
    <w:multiLevelType w:val="hybridMultilevel"/>
    <w:tmpl w:val="2234A930"/>
    <w:lvl w:ilvl="0" w:tplc="2654CFC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69CD1A9B"/>
    <w:multiLevelType w:val="hybridMultilevel"/>
    <w:tmpl w:val="14F690FA"/>
    <w:lvl w:ilvl="0" w:tplc="7402F4D4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1506"/>
    <o:shapelayout v:ext="edit">
      <o:idmap v:ext="edit" data="20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3D1E38"/>
    <w:rsid w:val="00001C20"/>
    <w:rsid w:val="00017FD1"/>
    <w:rsid w:val="00021A59"/>
    <w:rsid w:val="00047B95"/>
    <w:rsid w:val="00051AF1"/>
    <w:rsid w:val="00054731"/>
    <w:rsid w:val="00060DF9"/>
    <w:rsid w:val="00075B92"/>
    <w:rsid w:val="000762B5"/>
    <w:rsid w:val="00084585"/>
    <w:rsid w:val="000851A7"/>
    <w:rsid w:val="000B415D"/>
    <w:rsid w:val="000C5D5D"/>
    <w:rsid w:val="000D0BD2"/>
    <w:rsid w:val="000D0F3D"/>
    <w:rsid w:val="000D6637"/>
    <w:rsid w:val="000E33AD"/>
    <w:rsid w:val="000E3E6C"/>
    <w:rsid w:val="000F60DF"/>
    <w:rsid w:val="000F66E4"/>
    <w:rsid w:val="000F67D5"/>
    <w:rsid w:val="00113DCD"/>
    <w:rsid w:val="001146EF"/>
    <w:rsid w:val="00122D92"/>
    <w:rsid w:val="00132D32"/>
    <w:rsid w:val="0015177B"/>
    <w:rsid w:val="001523B3"/>
    <w:rsid w:val="001565A6"/>
    <w:rsid w:val="00162D7F"/>
    <w:rsid w:val="0016755A"/>
    <w:rsid w:val="00184A5C"/>
    <w:rsid w:val="00190D0A"/>
    <w:rsid w:val="00192DFF"/>
    <w:rsid w:val="00194F0F"/>
    <w:rsid w:val="00196DB0"/>
    <w:rsid w:val="001A33B1"/>
    <w:rsid w:val="001A6221"/>
    <w:rsid w:val="001B3220"/>
    <w:rsid w:val="001C7F2E"/>
    <w:rsid w:val="001D25AD"/>
    <w:rsid w:val="001E394F"/>
    <w:rsid w:val="001F1151"/>
    <w:rsid w:val="001F122D"/>
    <w:rsid w:val="00211079"/>
    <w:rsid w:val="00221D98"/>
    <w:rsid w:val="00247F6A"/>
    <w:rsid w:val="002508AA"/>
    <w:rsid w:val="0025371B"/>
    <w:rsid w:val="0027193D"/>
    <w:rsid w:val="00272FBE"/>
    <w:rsid w:val="002737FB"/>
    <w:rsid w:val="002746B8"/>
    <w:rsid w:val="00287CA0"/>
    <w:rsid w:val="00296DD2"/>
    <w:rsid w:val="002A4E19"/>
    <w:rsid w:val="002B1B61"/>
    <w:rsid w:val="002B7349"/>
    <w:rsid w:val="002C46BD"/>
    <w:rsid w:val="002D41DD"/>
    <w:rsid w:val="00305526"/>
    <w:rsid w:val="00313F66"/>
    <w:rsid w:val="00324D3E"/>
    <w:rsid w:val="00336EC0"/>
    <w:rsid w:val="003411DD"/>
    <w:rsid w:val="00342848"/>
    <w:rsid w:val="00382970"/>
    <w:rsid w:val="00390404"/>
    <w:rsid w:val="00390A08"/>
    <w:rsid w:val="00395307"/>
    <w:rsid w:val="003A12AE"/>
    <w:rsid w:val="003A2B1E"/>
    <w:rsid w:val="003B700A"/>
    <w:rsid w:val="003C4D6F"/>
    <w:rsid w:val="003D1E38"/>
    <w:rsid w:val="003D7B61"/>
    <w:rsid w:val="003E661B"/>
    <w:rsid w:val="003F05B2"/>
    <w:rsid w:val="00403B2D"/>
    <w:rsid w:val="00433965"/>
    <w:rsid w:val="00434FEE"/>
    <w:rsid w:val="004445F8"/>
    <w:rsid w:val="0045065A"/>
    <w:rsid w:val="00454F9B"/>
    <w:rsid w:val="00457247"/>
    <w:rsid w:val="004649D4"/>
    <w:rsid w:val="004661DA"/>
    <w:rsid w:val="004729E5"/>
    <w:rsid w:val="0047709E"/>
    <w:rsid w:val="00483451"/>
    <w:rsid w:val="004A6132"/>
    <w:rsid w:val="005006B1"/>
    <w:rsid w:val="0051242A"/>
    <w:rsid w:val="00517F6F"/>
    <w:rsid w:val="00574493"/>
    <w:rsid w:val="005757A1"/>
    <w:rsid w:val="005B25B8"/>
    <w:rsid w:val="005C2854"/>
    <w:rsid w:val="005C697B"/>
    <w:rsid w:val="005C70A5"/>
    <w:rsid w:val="005C7D9D"/>
    <w:rsid w:val="005D1C63"/>
    <w:rsid w:val="005E5E14"/>
    <w:rsid w:val="005F60E7"/>
    <w:rsid w:val="00600AD7"/>
    <w:rsid w:val="006112D6"/>
    <w:rsid w:val="00636977"/>
    <w:rsid w:val="00637BB5"/>
    <w:rsid w:val="0065169D"/>
    <w:rsid w:val="006573CE"/>
    <w:rsid w:val="006619B1"/>
    <w:rsid w:val="006635FB"/>
    <w:rsid w:val="00667901"/>
    <w:rsid w:val="00672B8F"/>
    <w:rsid w:val="00674EC9"/>
    <w:rsid w:val="0068596A"/>
    <w:rsid w:val="006A0255"/>
    <w:rsid w:val="006C5478"/>
    <w:rsid w:val="006E35FF"/>
    <w:rsid w:val="006E6B72"/>
    <w:rsid w:val="006E6BA2"/>
    <w:rsid w:val="006F4CA7"/>
    <w:rsid w:val="00704431"/>
    <w:rsid w:val="00710FC0"/>
    <w:rsid w:val="00713726"/>
    <w:rsid w:val="00713863"/>
    <w:rsid w:val="007228F0"/>
    <w:rsid w:val="00726C6D"/>
    <w:rsid w:val="007351C8"/>
    <w:rsid w:val="00750E7A"/>
    <w:rsid w:val="00760D66"/>
    <w:rsid w:val="00771411"/>
    <w:rsid w:val="00771707"/>
    <w:rsid w:val="00773B14"/>
    <w:rsid w:val="00777673"/>
    <w:rsid w:val="00786B69"/>
    <w:rsid w:val="00790D74"/>
    <w:rsid w:val="007A1188"/>
    <w:rsid w:val="007A2C6E"/>
    <w:rsid w:val="007A3726"/>
    <w:rsid w:val="007B5D2B"/>
    <w:rsid w:val="007C4F1A"/>
    <w:rsid w:val="007C7280"/>
    <w:rsid w:val="007C74CA"/>
    <w:rsid w:val="00802428"/>
    <w:rsid w:val="008025DE"/>
    <w:rsid w:val="00810DE3"/>
    <w:rsid w:val="008452E1"/>
    <w:rsid w:val="00850437"/>
    <w:rsid w:val="00851B5F"/>
    <w:rsid w:val="00863CCD"/>
    <w:rsid w:val="00864871"/>
    <w:rsid w:val="008676BF"/>
    <w:rsid w:val="00875E98"/>
    <w:rsid w:val="00895D05"/>
    <w:rsid w:val="00897DA2"/>
    <w:rsid w:val="008A06BF"/>
    <w:rsid w:val="008B02D2"/>
    <w:rsid w:val="008B470D"/>
    <w:rsid w:val="008B4C2F"/>
    <w:rsid w:val="00900849"/>
    <w:rsid w:val="009055C7"/>
    <w:rsid w:val="00940386"/>
    <w:rsid w:val="009474DD"/>
    <w:rsid w:val="00956780"/>
    <w:rsid w:val="00957B05"/>
    <w:rsid w:val="00960146"/>
    <w:rsid w:val="009706D7"/>
    <w:rsid w:val="00982A82"/>
    <w:rsid w:val="00986375"/>
    <w:rsid w:val="00991E40"/>
    <w:rsid w:val="00997B18"/>
    <w:rsid w:val="009A7ACE"/>
    <w:rsid w:val="009B682D"/>
    <w:rsid w:val="009B7238"/>
    <w:rsid w:val="009C158C"/>
    <w:rsid w:val="009C7BC3"/>
    <w:rsid w:val="009D74D5"/>
    <w:rsid w:val="00A01D9C"/>
    <w:rsid w:val="00A023A4"/>
    <w:rsid w:val="00A44C74"/>
    <w:rsid w:val="00A45435"/>
    <w:rsid w:val="00A507B1"/>
    <w:rsid w:val="00A522AA"/>
    <w:rsid w:val="00A56AEC"/>
    <w:rsid w:val="00A57F82"/>
    <w:rsid w:val="00A66729"/>
    <w:rsid w:val="00A93F78"/>
    <w:rsid w:val="00A96E07"/>
    <w:rsid w:val="00AC365D"/>
    <w:rsid w:val="00AD3B1C"/>
    <w:rsid w:val="00AE5EC7"/>
    <w:rsid w:val="00AE7D9F"/>
    <w:rsid w:val="00AF3C2A"/>
    <w:rsid w:val="00AF3E02"/>
    <w:rsid w:val="00B05D67"/>
    <w:rsid w:val="00B11D6A"/>
    <w:rsid w:val="00B13E3C"/>
    <w:rsid w:val="00B1669C"/>
    <w:rsid w:val="00B432B8"/>
    <w:rsid w:val="00B60617"/>
    <w:rsid w:val="00B704DC"/>
    <w:rsid w:val="00B95BC0"/>
    <w:rsid w:val="00BA5206"/>
    <w:rsid w:val="00BF27CC"/>
    <w:rsid w:val="00C0087E"/>
    <w:rsid w:val="00C02A5A"/>
    <w:rsid w:val="00C126BD"/>
    <w:rsid w:val="00C1403A"/>
    <w:rsid w:val="00C210E4"/>
    <w:rsid w:val="00C310BF"/>
    <w:rsid w:val="00C32121"/>
    <w:rsid w:val="00C47809"/>
    <w:rsid w:val="00C52722"/>
    <w:rsid w:val="00C5563F"/>
    <w:rsid w:val="00C74D21"/>
    <w:rsid w:val="00C772FC"/>
    <w:rsid w:val="00C81008"/>
    <w:rsid w:val="00C84144"/>
    <w:rsid w:val="00C84625"/>
    <w:rsid w:val="00C8646E"/>
    <w:rsid w:val="00C9051E"/>
    <w:rsid w:val="00C92B28"/>
    <w:rsid w:val="00C95116"/>
    <w:rsid w:val="00CA4210"/>
    <w:rsid w:val="00CB4EB9"/>
    <w:rsid w:val="00CD4A97"/>
    <w:rsid w:val="00CD5B0B"/>
    <w:rsid w:val="00CD65B4"/>
    <w:rsid w:val="00CE5DBB"/>
    <w:rsid w:val="00CF4C3B"/>
    <w:rsid w:val="00D04C01"/>
    <w:rsid w:val="00D07E32"/>
    <w:rsid w:val="00D36818"/>
    <w:rsid w:val="00D404E6"/>
    <w:rsid w:val="00D50EFB"/>
    <w:rsid w:val="00D549AA"/>
    <w:rsid w:val="00D56DE0"/>
    <w:rsid w:val="00D70CEF"/>
    <w:rsid w:val="00D74F63"/>
    <w:rsid w:val="00D77058"/>
    <w:rsid w:val="00D839A0"/>
    <w:rsid w:val="00DA2707"/>
    <w:rsid w:val="00DA6ADA"/>
    <w:rsid w:val="00DB2EB0"/>
    <w:rsid w:val="00DB302C"/>
    <w:rsid w:val="00DC4806"/>
    <w:rsid w:val="00DC6DA0"/>
    <w:rsid w:val="00E11D81"/>
    <w:rsid w:val="00E143F7"/>
    <w:rsid w:val="00E238BA"/>
    <w:rsid w:val="00E40ACF"/>
    <w:rsid w:val="00E43FB5"/>
    <w:rsid w:val="00E50799"/>
    <w:rsid w:val="00E53955"/>
    <w:rsid w:val="00E719C4"/>
    <w:rsid w:val="00E75DC7"/>
    <w:rsid w:val="00E774EB"/>
    <w:rsid w:val="00E81B43"/>
    <w:rsid w:val="00E862D3"/>
    <w:rsid w:val="00E87D1A"/>
    <w:rsid w:val="00E90E1B"/>
    <w:rsid w:val="00E94195"/>
    <w:rsid w:val="00E96422"/>
    <w:rsid w:val="00EA11BF"/>
    <w:rsid w:val="00EA33DA"/>
    <w:rsid w:val="00EB395F"/>
    <w:rsid w:val="00EC23FB"/>
    <w:rsid w:val="00ED049C"/>
    <w:rsid w:val="00ED6969"/>
    <w:rsid w:val="00EE0FE9"/>
    <w:rsid w:val="00EE14B9"/>
    <w:rsid w:val="00EF76E1"/>
    <w:rsid w:val="00F16CDD"/>
    <w:rsid w:val="00F26527"/>
    <w:rsid w:val="00F63F10"/>
    <w:rsid w:val="00F65075"/>
    <w:rsid w:val="00F70A6D"/>
    <w:rsid w:val="00F70AF8"/>
    <w:rsid w:val="00F71F63"/>
    <w:rsid w:val="00F77116"/>
    <w:rsid w:val="00F86AD3"/>
    <w:rsid w:val="00F97628"/>
    <w:rsid w:val="00FB0153"/>
    <w:rsid w:val="00FC74A2"/>
    <w:rsid w:val="00FE3332"/>
    <w:rsid w:val="00FF1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E38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link w:val="3Char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aliases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aliases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3Char">
    <w:name w:val="عنوان 3 Char"/>
    <w:basedOn w:val="a0"/>
    <w:link w:val="3"/>
    <w:rsid w:val="003D1E38"/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character" w:customStyle="1" w:styleId="Char0">
    <w:name w:val="نص حاشية سفلية Char"/>
    <w:aliases w:val="Footnote Text Char"/>
    <w:basedOn w:val="a0"/>
    <w:link w:val="af3"/>
    <w:rsid w:val="003D1E38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672B8F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190D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190D0A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EF76E1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9BB1E75D77E492EAA1475BCBA2B535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D7C0B06-D5FC-4F92-BFE3-C3248EE4559E}"/>
      </w:docPartPr>
      <w:docPartBody>
        <w:p w:rsidR="005F4D2E" w:rsidRDefault="00380FA5" w:rsidP="00380FA5">
          <w:pPr>
            <w:pStyle w:val="89BB1E75D77E492EAA1475BCBA2B535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80FA5"/>
    <w:rsid w:val="000B16D7"/>
    <w:rsid w:val="001C6734"/>
    <w:rsid w:val="001C7B0B"/>
    <w:rsid w:val="00380FA5"/>
    <w:rsid w:val="004113AD"/>
    <w:rsid w:val="00541D5D"/>
    <w:rsid w:val="005F4D2E"/>
    <w:rsid w:val="008501D5"/>
    <w:rsid w:val="009C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9BB1E75D77E492EAA1475BCBA2B535C">
    <w:name w:val="89BB1E75D77E492EAA1475BCBA2B535C"/>
    <w:rsid w:val="00380FA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F266C-37DD-4175-A8A7-2403BDE39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4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الرابع, الصلاة إلى النائم.</vt:lpstr>
    </vt:vector>
  </TitlesOfParts>
  <Company>Almutamaiz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الثامن: الصلاة إلى النائم</dc:title>
  <dc:subject/>
  <dc:creator>Almutamaiz</dc:creator>
  <cp:keywords/>
  <dc:description/>
  <cp:lastModifiedBy>Almutamaiz</cp:lastModifiedBy>
  <cp:revision>207</cp:revision>
  <dcterms:created xsi:type="dcterms:W3CDTF">2011-05-25T13:30:00Z</dcterms:created>
  <dcterms:modified xsi:type="dcterms:W3CDTF">2012-08-23T18:46:00Z</dcterms:modified>
</cp:coreProperties>
</file>