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0F55C2" w:rsidRDefault="008A6A0F" w:rsidP="000F55C2">
      <w:pPr>
        <w:ind w:firstLine="0"/>
        <w:jc w:val="center"/>
        <w:rPr>
          <w:rFonts w:cs="AL-Mateen"/>
          <w:rtl/>
        </w:rPr>
      </w:pPr>
      <w:r w:rsidRPr="000F55C2">
        <w:rPr>
          <w:rFonts w:cs="AL-Mateen" w:hint="cs"/>
          <w:rtl/>
        </w:rPr>
        <w:t>المطلب الأول</w:t>
      </w:r>
      <w:r w:rsidR="00357D6C" w:rsidRPr="000F55C2">
        <w:rPr>
          <w:rFonts w:cs="AL-Mateen" w:hint="cs"/>
          <w:rtl/>
        </w:rPr>
        <w:t xml:space="preserve"> </w:t>
      </w:r>
      <w:r w:rsidRPr="000F55C2">
        <w:rPr>
          <w:rFonts w:cs="AL-Mateen" w:hint="cs"/>
          <w:rtl/>
        </w:rPr>
        <w:t xml:space="preserve">: </w:t>
      </w:r>
      <w:r w:rsidR="00357D6C" w:rsidRPr="000F55C2">
        <w:rPr>
          <w:rFonts w:cs="AL-Mateen" w:hint="cs"/>
          <w:rtl/>
        </w:rPr>
        <w:t xml:space="preserve"> </w:t>
      </w:r>
      <w:r w:rsidR="000F55C2">
        <w:rPr>
          <w:rFonts w:cs="AL-Mateen" w:hint="cs"/>
          <w:rtl/>
        </w:rPr>
        <w:t>استعمال الأبراش [</w:t>
      </w:r>
      <w:r w:rsidR="00F26BBE" w:rsidRPr="000F55C2">
        <w:rPr>
          <w:rFonts w:cs="AL-Mateen" w:hint="cs"/>
          <w:rtl/>
        </w:rPr>
        <w:t xml:space="preserve">الفرشاة </w:t>
      </w:r>
      <w:r w:rsidR="009C57F3" w:rsidRPr="000F55C2">
        <w:rPr>
          <w:rFonts w:cs="AL-Mateen" w:hint="cs"/>
          <w:rtl/>
        </w:rPr>
        <w:t xml:space="preserve"> </w:t>
      </w:r>
      <w:r w:rsidR="009C57F3" w:rsidRPr="000F55C2">
        <w:rPr>
          <w:rFonts w:ascii="AGA Arabesque" w:hAnsi="AGA Arabesque" w:cs="AL-Mateen" w:hint="cs"/>
          <w:smallCaps/>
          <w:vertAlign w:val="superscript"/>
          <w:rtl/>
        </w:rPr>
        <w:t>(</w:t>
      </w:r>
      <w:r w:rsidR="009C57F3" w:rsidRPr="000F55C2">
        <w:rPr>
          <w:rFonts w:ascii="AGA Arabesque" w:hAnsi="AGA Arabesque" w:cs="AL-Mateen"/>
          <w:smallCaps/>
          <w:vertAlign w:val="superscript"/>
          <w:rtl/>
        </w:rPr>
        <w:footnoteReference w:id="2"/>
      </w:r>
      <w:r w:rsidR="009C57F3" w:rsidRPr="000F55C2">
        <w:rPr>
          <w:rFonts w:ascii="AGA Arabesque" w:hAnsi="AGA Arabesque" w:cs="AL-Mateen" w:hint="cs"/>
          <w:smallCaps/>
          <w:vertAlign w:val="superscript"/>
          <w:rtl/>
        </w:rPr>
        <w:t>)</w:t>
      </w:r>
      <w:r w:rsidR="00F26BBE" w:rsidRPr="000F55C2">
        <w:rPr>
          <w:rFonts w:cs="AL-Mateen" w:hint="cs"/>
          <w:rtl/>
        </w:rPr>
        <w:t>] في تفريش الأسنان.</w:t>
      </w:r>
    </w:p>
    <w:p w:rsidR="0074398E" w:rsidRPr="000F55C2" w:rsidRDefault="00AF4CA2" w:rsidP="000F55C2">
      <w:pPr>
        <w:ind w:firstLine="0"/>
        <w:jc w:val="lowKashida"/>
        <w:rPr>
          <w:rFonts w:ascii="Lotus Linotype" w:hAnsi="Lotus Linotype" w:cs="Lotus Linotype"/>
          <w:b/>
          <w:bCs/>
          <w:vertAlign w:val="superscript"/>
          <w:rtl/>
        </w:rPr>
      </w:pPr>
      <w:r w:rsidRPr="000F55C2">
        <w:rPr>
          <w:rFonts w:ascii="Lotus Linotype" w:hAnsi="Lotus Linotype" w:cs="Lotus Linotype"/>
          <w:b/>
          <w:bCs/>
          <w:rtl/>
        </w:rPr>
        <w:t>اختار المباركفوري رحمه تعالى</w:t>
      </w:r>
      <w:r w:rsidR="0074398E" w:rsidRPr="000F55C2">
        <w:rPr>
          <w:rFonts w:ascii="Lotus Linotype" w:hAnsi="Lotus Linotype" w:cs="Lotus Linotype"/>
          <w:b/>
          <w:bCs/>
          <w:rtl/>
        </w:rPr>
        <w:t>: أن الاحتراز من الأبراش والفرشاة التي صنعت من شعر الخنزير أولى وأحوط حيث قال : وأما الأبراش التي تعمل في معامل أوربا أو غيرها لتصفية الأسنان وتنقيتها فالاحتراز منها أولى وأحوط عندي فإن أكثرها كما قيل تصنع من أشعار الخنازير إلا أن يعلم أنها عملت من غيرها مما يؤكل لحمه</w:t>
      </w:r>
      <w:r w:rsidR="00902512" w:rsidRPr="000F55C2">
        <w:rPr>
          <w:rFonts w:ascii="Lotus Linotype" w:hAnsi="Lotus Linotype" w:cs="Lotus Linotype"/>
          <w:b/>
          <w:bCs/>
          <w:rtl/>
        </w:rPr>
        <w:t>"</w:t>
      </w:r>
      <w:r w:rsidR="00902512" w:rsidRPr="00612CFC">
        <w:rPr>
          <w:rFonts w:ascii="Lotus Linotype" w:hAnsi="Lotus Linotype" w:cs="Lotus Linotype"/>
          <w:b/>
          <w:bCs/>
          <w:smallCaps/>
          <w:vertAlign w:val="superscript"/>
          <w:rtl/>
        </w:rPr>
        <w:t>(</w:t>
      </w:r>
      <w:r w:rsidR="00902512" w:rsidRPr="00612CFC">
        <w:rPr>
          <w:rFonts w:ascii="Lotus Linotype" w:hAnsi="Lotus Linotype" w:cs="Lotus Linotype"/>
          <w:b/>
          <w:bCs/>
          <w:smallCaps/>
          <w:vertAlign w:val="superscript"/>
          <w:rtl/>
        </w:rPr>
        <w:footnoteReference w:id="3"/>
      </w:r>
      <w:r w:rsidR="00902512" w:rsidRPr="00612CFC">
        <w:rPr>
          <w:rFonts w:ascii="Lotus Linotype" w:hAnsi="Lotus Linotype" w:cs="Lotus Linotype"/>
          <w:b/>
          <w:bCs/>
          <w:smallCaps/>
          <w:vertAlign w:val="superscript"/>
          <w:rtl/>
        </w:rPr>
        <w:t>)</w:t>
      </w:r>
      <w:r w:rsidR="0074398E" w:rsidRPr="000F55C2">
        <w:rPr>
          <w:rFonts w:ascii="Lotus Linotype" w:hAnsi="Lotus Linotype" w:cs="Lotus Linotype"/>
          <w:b/>
          <w:bCs/>
          <w:rtl/>
        </w:rPr>
        <w:t xml:space="preserve">. </w:t>
      </w:r>
    </w:p>
    <w:p w:rsidR="009C57F3" w:rsidRPr="009C57F3" w:rsidRDefault="00043E85" w:rsidP="002D4AC5">
      <w:pPr>
        <w:ind w:firstLine="0"/>
        <w:jc w:val="lowKashida"/>
        <w:rPr>
          <w:rtl/>
        </w:rPr>
      </w:pPr>
      <w:r>
        <w:rPr>
          <w:rFonts w:hint="cs"/>
          <w:b/>
          <w:bCs/>
          <w:rtl/>
        </w:rPr>
        <w:t>تحرير محل النزاع</w:t>
      </w:r>
      <w:r w:rsidR="009C57F3" w:rsidRPr="009C57F3">
        <w:rPr>
          <w:rFonts w:hint="cs"/>
          <w:b/>
          <w:bCs/>
          <w:rtl/>
        </w:rPr>
        <w:t xml:space="preserve">: </w:t>
      </w:r>
      <w:r w:rsidR="009C57F3" w:rsidRPr="009C57F3">
        <w:rPr>
          <w:rFonts w:hint="cs"/>
          <w:rtl/>
        </w:rPr>
        <w:t>لا خلاف بين العلماء في أن الأفضل والأولى تسوك الأسنان لتنظيفها بالعود</w:t>
      </w:r>
      <w:r w:rsidR="009C57F3" w:rsidRPr="009C57F3">
        <w:rPr>
          <w:rFonts w:ascii="AGA Arabesque" w:hAnsi="AGA Arabesque" w:hint="cs"/>
          <w:smallCaps/>
          <w:vertAlign w:val="superscript"/>
          <w:rtl/>
        </w:rPr>
        <w:t>(</w:t>
      </w:r>
      <w:r w:rsidR="009C57F3" w:rsidRPr="009C57F3">
        <w:rPr>
          <w:rFonts w:ascii="AGA Arabesque" w:hAnsi="AGA Arabesque"/>
          <w:smallCaps/>
          <w:vertAlign w:val="superscript"/>
          <w:rtl/>
        </w:rPr>
        <w:footnoteReference w:id="4"/>
      </w:r>
      <w:r w:rsidR="009C57F3" w:rsidRPr="009C57F3">
        <w:rPr>
          <w:rFonts w:ascii="AGA Arabesque" w:hAnsi="AGA Arabesque" w:hint="cs"/>
          <w:smallCaps/>
          <w:vertAlign w:val="superscript"/>
          <w:rtl/>
        </w:rPr>
        <w:t>)</w:t>
      </w:r>
      <w:r w:rsidR="00951649" w:rsidRPr="00951649">
        <w:rPr>
          <w:rFonts w:ascii="AGA Arabesque" w:hAnsi="AGA Arabesque" w:hint="cs"/>
          <w:smallCaps/>
          <w:rtl/>
        </w:rPr>
        <w:t>,</w:t>
      </w:r>
      <w:r w:rsidR="009C57F3" w:rsidRPr="009C57F3">
        <w:rPr>
          <w:rFonts w:hint="cs"/>
          <w:rtl/>
        </w:rPr>
        <w:t xml:space="preserve"> كما لا خلاف بينهم بأن الذي يحصل به تنظيف الأسنان مما هو مباح الاستعمال من غير أن يضر اللثة فإنه يجوز استخدامه في ذلك</w:t>
      </w:r>
      <w:r w:rsidR="009C57F3" w:rsidRPr="009C57F3">
        <w:rPr>
          <w:rFonts w:ascii="AGA Arabesque" w:hAnsi="AGA Arabesque" w:hint="cs"/>
          <w:smallCaps/>
          <w:vertAlign w:val="superscript"/>
          <w:rtl/>
        </w:rPr>
        <w:t>(</w:t>
      </w:r>
      <w:r w:rsidR="009C57F3" w:rsidRPr="009C57F3">
        <w:rPr>
          <w:rFonts w:ascii="AGA Arabesque" w:hAnsi="AGA Arabesque"/>
          <w:smallCaps/>
          <w:vertAlign w:val="superscript"/>
          <w:rtl/>
        </w:rPr>
        <w:footnoteReference w:id="5"/>
      </w:r>
      <w:r w:rsidR="009C57F3" w:rsidRPr="009C57F3">
        <w:rPr>
          <w:rFonts w:ascii="AGA Arabesque" w:hAnsi="AGA Arabesque" w:hint="cs"/>
          <w:smallCaps/>
          <w:vertAlign w:val="superscript"/>
          <w:rtl/>
        </w:rPr>
        <w:t>)</w:t>
      </w:r>
      <w:r w:rsidR="00D3483B">
        <w:rPr>
          <w:rFonts w:hint="cs"/>
          <w:rtl/>
        </w:rPr>
        <w:t>,</w:t>
      </w:r>
      <w:r w:rsidR="009C57F3" w:rsidRPr="009C57F3">
        <w:rPr>
          <w:rFonts w:hint="cs"/>
          <w:rtl/>
        </w:rPr>
        <w:t xml:space="preserve"> والفرشاة المصنوعة من الأشياء المباحة كذلك فكان</w:t>
      </w:r>
      <w:r w:rsidR="00D3483B">
        <w:rPr>
          <w:rFonts w:hint="cs"/>
          <w:rtl/>
        </w:rPr>
        <w:t>ت</w:t>
      </w:r>
      <w:r w:rsidR="009C57F3" w:rsidRPr="009C57F3">
        <w:rPr>
          <w:rFonts w:hint="cs"/>
          <w:rtl/>
        </w:rPr>
        <w:t xml:space="preserve"> جائزا</w:t>
      </w:r>
      <w:r w:rsidR="009C57F3" w:rsidRPr="009C57F3">
        <w:rPr>
          <w:rFonts w:ascii="AGA Arabesque" w:hAnsi="AGA Arabesque" w:hint="cs"/>
          <w:smallCaps/>
          <w:vertAlign w:val="superscript"/>
          <w:rtl/>
        </w:rPr>
        <w:t>(</w:t>
      </w:r>
      <w:r w:rsidR="009C57F3" w:rsidRPr="009C57F3">
        <w:rPr>
          <w:rFonts w:ascii="AGA Arabesque" w:hAnsi="AGA Arabesque"/>
          <w:smallCaps/>
          <w:vertAlign w:val="superscript"/>
          <w:rtl/>
        </w:rPr>
        <w:footnoteReference w:id="6"/>
      </w:r>
      <w:r w:rsidR="009C57F3" w:rsidRPr="009C57F3">
        <w:rPr>
          <w:rFonts w:ascii="AGA Arabesque" w:hAnsi="AGA Arabesque" w:hint="cs"/>
          <w:smallCaps/>
          <w:vertAlign w:val="superscript"/>
          <w:rtl/>
        </w:rPr>
        <w:t>)</w:t>
      </w:r>
      <w:r w:rsidR="009C57F3" w:rsidRPr="009C57F3">
        <w:rPr>
          <w:rFonts w:hint="cs"/>
          <w:rtl/>
        </w:rPr>
        <w:t>, وإنما اختلفوا إذا كانت فرشاة الأسنان مصنوعة أليافها من شعر الخنرير</w:t>
      </w:r>
      <w:r w:rsidR="009C57F3" w:rsidRPr="009C57F3">
        <w:rPr>
          <w:rFonts w:ascii="AGA Arabesque" w:hAnsi="AGA Arabesque" w:hint="cs"/>
          <w:smallCaps/>
          <w:vertAlign w:val="superscript"/>
          <w:rtl/>
        </w:rPr>
        <w:t>(</w:t>
      </w:r>
      <w:r w:rsidR="009C57F3" w:rsidRPr="009C57F3">
        <w:rPr>
          <w:rFonts w:ascii="AGA Arabesque" w:hAnsi="AGA Arabesque"/>
          <w:smallCaps/>
          <w:vertAlign w:val="superscript"/>
          <w:rtl/>
        </w:rPr>
        <w:footnoteReference w:id="7"/>
      </w:r>
      <w:r w:rsidR="009C57F3" w:rsidRPr="009C57F3">
        <w:rPr>
          <w:rFonts w:ascii="AGA Arabesque" w:hAnsi="AGA Arabesque" w:hint="cs"/>
          <w:smallCaps/>
          <w:vertAlign w:val="superscript"/>
          <w:rtl/>
        </w:rPr>
        <w:t>)</w:t>
      </w:r>
      <w:r w:rsidR="009C57F3" w:rsidRPr="009C57F3">
        <w:rPr>
          <w:rFonts w:hint="cs"/>
          <w:rtl/>
        </w:rPr>
        <w:t xml:space="preserve"> فهل يجوز استخدامه</w:t>
      </w:r>
      <w:r w:rsidR="00D3483B">
        <w:rPr>
          <w:rFonts w:hint="cs"/>
          <w:rtl/>
        </w:rPr>
        <w:t>ا</w:t>
      </w:r>
      <w:r w:rsidR="009C57F3" w:rsidRPr="009C57F3">
        <w:rPr>
          <w:rFonts w:hint="cs"/>
          <w:rtl/>
        </w:rPr>
        <w:t xml:space="preserve"> ف</w:t>
      </w:r>
      <w:r w:rsidR="007C4C90">
        <w:rPr>
          <w:rFonts w:hint="cs"/>
          <w:rtl/>
        </w:rPr>
        <w:t>ي تنظيف الأسنان أم لا على قولين</w:t>
      </w:r>
      <w:r w:rsidR="009C57F3" w:rsidRPr="009C57F3">
        <w:rPr>
          <w:rFonts w:hint="cs"/>
          <w:rtl/>
        </w:rPr>
        <w:t xml:space="preserve">: </w:t>
      </w:r>
    </w:p>
    <w:p w:rsidR="00722C1C" w:rsidRDefault="008C19C4" w:rsidP="000F55C2">
      <w:pPr>
        <w:ind w:firstLine="0"/>
        <w:jc w:val="lowKashida"/>
        <w:rPr>
          <w:b/>
          <w:bCs/>
          <w:rtl/>
        </w:rPr>
      </w:pPr>
      <w:r>
        <w:rPr>
          <w:rFonts w:hint="cs"/>
          <w:b/>
          <w:bCs/>
          <w:rtl/>
        </w:rPr>
        <w:lastRenderedPageBreak/>
        <w:t>القول الأول</w:t>
      </w:r>
      <w:r w:rsidR="009C57F3" w:rsidRPr="009C57F3">
        <w:rPr>
          <w:rFonts w:hint="cs"/>
          <w:b/>
          <w:bCs/>
          <w:rtl/>
        </w:rPr>
        <w:t>:</w:t>
      </w:r>
      <w:r>
        <w:rPr>
          <w:rFonts w:hint="cs"/>
          <w:b/>
          <w:bCs/>
          <w:rtl/>
        </w:rPr>
        <w:t xml:space="preserve"> </w:t>
      </w:r>
      <w:r w:rsidR="00D3483B" w:rsidRPr="00F418CF">
        <w:rPr>
          <w:rFonts w:hint="cs"/>
          <w:rtl/>
        </w:rPr>
        <w:t>لا يجوز استخدامها في تنظيف الأسنان إذا ك</w:t>
      </w:r>
      <w:r w:rsidR="00834EEF" w:rsidRPr="00F418CF">
        <w:rPr>
          <w:rFonts w:hint="cs"/>
          <w:rtl/>
        </w:rPr>
        <w:t>انت أ</w:t>
      </w:r>
      <w:r w:rsidR="00F846F9">
        <w:rPr>
          <w:rFonts w:hint="cs"/>
          <w:rtl/>
        </w:rPr>
        <w:t xml:space="preserve">ليافها مصنوعة من شعرة الخنزير, </w:t>
      </w:r>
      <w:r w:rsidR="00D3483B" w:rsidRPr="00F418CF">
        <w:rPr>
          <w:rFonts w:hint="cs"/>
          <w:rtl/>
        </w:rPr>
        <w:t>وهو مقتضى قول</w:t>
      </w:r>
      <w:r w:rsidR="00EF008B" w:rsidRPr="00F418CF">
        <w:rPr>
          <w:rFonts w:hint="cs"/>
          <w:rtl/>
        </w:rPr>
        <w:t xml:space="preserve"> ابن سيرين</w:t>
      </w:r>
      <w:r w:rsidR="00F846F9">
        <w:rPr>
          <w:rFonts w:hint="cs"/>
          <w:rtl/>
        </w:rPr>
        <w:t>,</w:t>
      </w:r>
      <w:r w:rsidR="00EF008B" w:rsidRPr="00F418CF">
        <w:rPr>
          <w:rFonts w:hint="cs"/>
          <w:rtl/>
        </w:rPr>
        <w:t xml:space="preserve"> والحكم</w:t>
      </w:r>
      <w:r w:rsidR="00F846F9">
        <w:rPr>
          <w:rFonts w:hint="cs"/>
          <w:rtl/>
        </w:rPr>
        <w:t>,</w:t>
      </w:r>
      <w:r w:rsidR="00EF008B" w:rsidRPr="00F418CF">
        <w:rPr>
          <w:rFonts w:hint="cs"/>
          <w:rtl/>
        </w:rPr>
        <w:t xml:space="preserve"> </w:t>
      </w:r>
      <w:r w:rsidR="0025060A" w:rsidRPr="00F418CF">
        <w:rPr>
          <w:rFonts w:hint="cs"/>
          <w:rtl/>
        </w:rPr>
        <w:t>وحماد</w:t>
      </w:r>
      <w:r w:rsidR="0025060A" w:rsidRPr="00F418CF">
        <w:rPr>
          <w:rFonts w:ascii="AGA Arabesque" w:hAnsi="AGA Arabesque" w:hint="cs"/>
          <w:smallCaps/>
          <w:vertAlign w:val="superscript"/>
          <w:rtl/>
        </w:rPr>
        <w:t>(</w:t>
      </w:r>
      <w:r w:rsidR="0025060A" w:rsidRPr="00F418CF">
        <w:rPr>
          <w:rFonts w:ascii="AGA Arabesque" w:hAnsi="AGA Arabesque"/>
          <w:smallCaps/>
          <w:vertAlign w:val="superscript"/>
          <w:rtl/>
        </w:rPr>
        <w:footnoteReference w:id="8"/>
      </w:r>
      <w:r w:rsidR="0025060A" w:rsidRPr="00F418CF">
        <w:rPr>
          <w:rFonts w:ascii="AGA Arabesque" w:hAnsi="AGA Arabesque" w:hint="cs"/>
          <w:smallCaps/>
          <w:vertAlign w:val="superscript"/>
          <w:rtl/>
        </w:rPr>
        <w:t>)</w:t>
      </w:r>
      <w:r w:rsidR="00C778D7" w:rsidRPr="00F846F9">
        <w:rPr>
          <w:rFonts w:ascii="AGA Arabesque" w:hAnsi="AGA Arabesque" w:hint="cs"/>
          <w:smallCaps/>
          <w:rtl/>
        </w:rPr>
        <w:t>,</w:t>
      </w:r>
      <w:r w:rsidR="00C778D7" w:rsidRPr="00F418CF">
        <w:rPr>
          <w:rFonts w:ascii="AGA Arabesque" w:hAnsi="AGA Arabesque" w:hint="cs"/>
          <w:smallCaps/>
          <w:vertAlign w:val="superscript"/>
          <w:rtl/>
        </w:rPr>
        <w:t xml:space="preserve"> </w:t>
      </w:r>
      <w:r w:rsidR="000943B1" w:rsidRPr="00F418CF">
        <w:rPr>
          <w:rFonts w:hint="cs"/>
          <w:rtl/>
        </w:rPr>
        <w:t>وهو قياس</w:t>
      </w:r>
      <w:r w:rsidR="00CD4172" w:rsidRPr="00F418CF">
        <w:rPr>
          <w:rFonts w:hint="cs"/>
          <w:rtl/>
        </w:rPr>
        <w:t xml:space="preserve"> مذهب الحنفية</w:t>
      </w:r>
      <w:r w:rsidR="00CD4172" w:rsidRPr="00F418CF">
        <w:rPr>
          <w:rFonts w:ascii="AGA Arabesque" w:hAnsi="AGA Arabesque" w:hint="cs"/>
          <w:smallCaps/>
          <w:vertAlign w:val="superscript"/>
          <w:rtl/>
        </w:rPr>
        <w:t>(</w:t>
      </w:r>
      <w:r w:rsidR="00CD4172" w:rsidRPr="00F418CF">
        <w:rPr>
          <w:rFonts w:ascii="AGA Arabesque" w:hAnsi="AGA Arabesque"/>
          <w:smallCaps/>
          <w:vertAlign w:val="superscript"/>
          <w:rtl/>
        </w:rPr>
        <w:footnoteReference w:id="9"/>
      </w:r>
      <w:r w:rsidR="00CD4172" w:rsidRPr="00F418CF">
        <w:rPr>
          <w:rFonts w:ascii="AGA Arabesque" w:hAnsi="AGA Arabesque" w:hint="cs"/>
          <w:smallCaps/>
          <w:vertAlign w:val="superscript"/>
          <w:rtl/>
        </w:rPr>
        <w:t>)</w:t>
      </w:r>
      <w:r w:rsidR="00F846F9">
        <w:rPr>
          <w:rFonts w:hint="cs"/>
          <w:rtl/>
        </w:rPr>
        <w:t>,</w:t>
      </w:r>
      <w:r w:rsidR="000943B1" w:rsidRPr="00F418CF">
        <w:rPr>
          <w:rFonts w:hint="cs"/>
          <w:rtl/>
        </w:rPr>
        <w:t xml:space="preserve"> </w:t>
      </w:r>
      <w:r w:rsidR="00F846F9">
        <w:rPr>
          <w:rFonts w:hint="cs"/>
          <w:rtl/>
        </w:rPr>
        <w:t>و</w:t>
      </w:r>
      <w:r w:rsidR="00C87FA4" w:rsidRPr="00F418CF">
        <w:rPr>
          <w:rFonts w:hint="cs"/>
          <w:rtl/>
        </w:rPr>
        <w:t>الشافعية</w:t>
      </w:r>
      <w:r w:rsidR="00C778D7" w:rsidRPr="00F418CF">
        <w:rPr>
          <w:rFonts w:ascii="AGA Arabesque" w:hAnsi="AGA Arabesque" w:hint="cs"/>
          <w:smallCaps/>
          <w:vertAlign w:val="superscript"/>
          <w:rtl/>
        </w:rPr>
        <w:t>(</w:t>
      </w:r>
      <w:r w:rsidR="00C778D7" w:rsidRPr="00F418CF">
        <w:rPr>
          <w:rFonts w:ascii="AGA Arabesque" w:hAnsi="AGA Arabesque"/>
          <w:smallCaps/>
          <w:vertAlign w:val="superscript"/>
          <w:rtl/>
        </w:rPr>
        <w:footnoteReference w:id="10"/>
      </w:r>
      <w:r w:rsidR="00C778D7" w:rsidRPr="00F418CF">
        <w:rPr>
          <w:rFonts w:ascii="AGA Arabesque" w:hAnsi="AGA Arabesque" w:hint="cs"/>
          <w:smallCaps/>
          <w:vertAlign w:val="superscript"/>
          <w:rtl/>
        </w:rPr>
        <w:t>)</w:t>
      </w:r>
      <w:r w:rsidR="00B77049">
        <w:rPr>
          <w:rFonts w:hint="cs"/>
          <w:rtl/>
        </w:rPr>
        <w:t>,</w:t>
      </w:r>
      <w:r w:rsidR="00F846F9">
        <w:rPr>
          <w:rFonts w:hint="cs"/>
          <w:rtl/>
        </w:rPr>
        <w:t xml:space="preserve"> والحنابلة</w:t>
      </w:r>
      <w:r w:rsidR="00C778D7" w:rsidRPr="00F418CF">
        <w:rPr>
          <w:rFonts w:ascii="AGA Arabesque" w:hAnsi="AGA Arabesque" w:hint="cs"/>
          <w:smallCaps/>
          <w:vertAlign w:val="superscript"/>
          <w:rtl/>
        </w:rPr>
        <w:t>(</w:t>
      </w:r>
      <w:r w:rsidR="00C778D7" w:rsidRPr="00F418CF">
        <w:rPr>
          <w:rFonts w:ascii="AGA Arabesque" w:hAnsi="AGA Arabesque"/>
          <w:smallCaps/>
          <w:vertAlign w:val="superscript"/>
          <w:rtl/>
        </w:rPr>
        <w:footnoteReference w:id="11"/>
      </w:r>
      <w:r w:rsidR="00C778D7" w:rsidRPr="00F418CF">
        <w:rPr>
          <w:rFonts w:ascii="AGA Arabesque" w:hAnsi="AGA Arabesque" w:hint="cs"/>
          <w:smallCaps/>
          <w:vertAlign w:val="superscript"/>
          <w:rtl/>
        </w:rPr>
        <w:t>)</w:t>
      </w:r>
      <w:r w:rsidR="00CB250E">
        <w:rPr>
          <w:rFonts w:hint="cs"/>
          <w:rtl/>
        </w:rPr>
        <w:t>, وهو اختيار المباركفوري.</w:t>
      </w:r>
    </w:p>
    <w:p w:rsidR="000943B1" w:rsidRDefault="00722C1C" w:rsidP="000F55C2">
      <w:pPr>
        <w:widowControl/>
        <w:autoSpaceDE w:val="0"/>
        <w:autoSpaceDN w:val="0"/>
        <w:adjustRightInd w:val="0"/>
        <w:ind w:firstLine="0"/>
        <w:jc w:val="left"/>
        <w:rPr>
          <w:b/>
          <w:bCs/>
          <w:rtl/>
        </w:rPr>
      </w:pPr>
      <w:r>
        <w:rPr>
          <w:rFonts w:hint="cs"/>
          <w:b/>
          <w:bCs/>
          <w:rtl/>
        </w:rPr>
        <w:t>القول الثاني</w:t>
      </w:r>
      <w:r w:rsidR="000F55C2">
        <w:rPr>
          <w:rFonts w:hint="cs"/>
          <w:rtl/>
        </w:rPr>
        <w:t>:</w:t>
      </w:r>
      <w:r w:rsidRPr="00F418CF">
        <w:rPr>
          <w:rFonts w:hint="cs"/>
          <w:rtl/>
        </w:rPr>
        <w:t>يجوز استخدام الفرشاة المصنوعة من</w:t>
      </w:r>
      <w:r w:rsidR="000F55C2">
        <w:rPr>
          <w:rFonts w:hint="cs"/>
          <w:rtl/>
        </w:rPr>
        <w:t xml:space="preserve"> شعرة الخنزير في تنظيف الأسنان,و</w:t>
      </w:r>
      <w:r w:rsidR="007E3F36" w:rsidRPr="00F418CF">
        <w:rPr>
          <w:rFonts w:hint="cs"/>
          <w:rtl/>
        </w:rPr>
        <w:t>هو</w:t>
      </w:r>
      <w:r w:rsidR="000F55C2">
        <w:rPr>
          <w:rFonts w:hint="cs"/>
          <w:rtl/>
        </w:rPr>
        <w:t>قياس</w:t>
      </w:r>
      <w:r w:rsidR="007E3F36" w:rsidRPr="00F418CF">
        <w:rPr>
          <w:rFonts w:hint="cs"/>
          <w:rtl/>
        </w:rPr>
        <w:t xml:space="preserve"> قول</w:t>
      </w:r>
      <w:r w:rsidR="001C0ABE" w:rsidRPr="00F418CF">
        <w:rPr>
          <w:rFonts w:ascii="Traditional Arabic" w:hint="eastAsia"/>
          <w:rtl/>
          <w:lang w:eastAsia="en-US"/>
        </w:rPr>
        <w:t xml:space="preserve"> الأوزاعي</w:t>
      </w:r>
      <w:r w:rsidR="001C0ABE" w:rsidRPr="00F418CF">
        <w:rPr>
          <w:rFonts w:ascii="AGA Arabesque" w:hAnsi="AGA Arabesque" w:hint="cs"/>
          <w:smallCaps/>
          <w:vertAlign w:val="superscript"/>
          <w:rtl/>
        </w:rPr>
        <w:t>(</w:t>
      </w:r>
      <w:r w:rsidR="001C0ABE" w:rsidRPr="00F418CF">
        <w:rPr>
          <w:rFonts w:ascii="AGA Arabesque" w:hAnsi="AGA Arabesque"/>
          <w:smallCaps/>
          <w:vertAlign w:val="superscript"/>
          <w:rtl/>
        </w:rPr>
        <w:footnoteReference w:id="12"/>
      </w:r>
      <w:r w:rsidR="001C0ABE" w:rsidRPr="00F418CF">
        <w:rPr>
          <w:rFonts w:ascii="AGA Arabesque" w:hAnsi="AGA Arabesque" w:hint="cs"/>
          <w:smallCaps/>
          <w:vertAlign w:val="superscript"/>
          <w:rtl/>
        </w:rPr>
        <w:t>)</w:t>
      </w:r>
      <w:r w:rsidR="001C0ABE" w:rsidRPr="00F418CF">
        <w:rPr>
          <w:rFonts w:ascii="AGA Arabesque" w:hAnsi="AGA Arabesque" w:hint="cs"/>
          <w:smallCaps/>
          <w:rtl/>
        </w:rPr>
        <w:t>,</w:t>
      </w:r>
      <w:r w:rsidR="00AF4CA2">
        <w:rPr>
          <w:rFonts w:ascii="AGA Arabesque" w:hAnsi="AGA Arabesque" w:hint="cs"/>
          <w:smallCaps/>
          <w:rtl/>
        </w:rPr>
        <w:t xml:space="preserve"> </w:t>
      </w:r>
      <w:r w:rsidR="001C0ABE" w:rsidRPr="00F418CF">
        <w:rPr>
          <w:rFonts w:hint="cs"/>
          <w:rtl/>
        </w:rPr>
        <w:t>و</w:t>
      </w:r>
      <w:r w:rsidR="007E3F36" w:rsidRPr="00F418CF">
        <w:rPr>
          <w:rFonts w:hint="cs"/>
          <w:rtl/>
        </w:rPr>
        <w:t>المالكية</w:t>
      </w:r>
      <w:r w:rsidR="000943B1" w:rsidRPr="00F418CF">
        <w:rPr>
          <w:rFonts w:ascii="AGA Arabesque" w:hAnsi="AGA Arabesque" w:hint="cs"/>
          <w:smallCaps/>
          <w:vertAlign w:val="superscript"/>
          <w:rtl/>
        </w:rPr>
        <w:t>(</w:t>
      </w:r>
      <w:r w:rsidR="000943B1" w:rsidRPr="00F418CF">
        <w:rPr>
          <w:rFonts w:ascii="AGA Arabesque" w:hAnsi="AGA Arabesque"/>
          <w:smallCaps/>
          <w:vertAlign w:val="superscript"/>
          <w:rtl/>
        </w:rPr>
        <w:footnoteReference w:id="13"/>
      </w:r>
      <w:r w:rsidR="000943B1" w:rsidRPr="00F418CF">
        <w:rPr>
          <w:rFonts w:ascii="AGA Arabesque" w:hAnsi="AGA Arabesque" w:hint="cs"/>
          <w:smallCaps/>
          <w:vertAlign w:val="superscript"/>
          <w:rtl/>
        </w:rPr>
        <w:t>)</w:t>
      </w:r>
      <w:r w:rsidR="007E3F36" w:rsidRPr="00F418CF">
        <w:rPr>
          <w:rFonts w:hint="cs"/>
          <w:rtl/>
        </w:rPr>
        <w:t xml:space="preserve">, </w:t>
      </w:r>
      <w:r w:rsidR="000943B1" w:rsidRPr="00F418CF">
        <w:rPr>
          <w:rFonts w:hint="cs"/>
          <w:rtl/>
        </w:rPr>
        <w:t>وأحمد في رواية</w:t>
      </w:r>
      <w:r w:rsidR="000943B1" w:rsidRPr="00F418CF">
        <w:rPr>
          <w:rFonts w:ascii="AGA Arabesque" w:hAnsi="AGA Arabesque" w:hint="cs"/>
          <w:smallCaps/>
          <w:vertAlign w:val="superscript"/>
          <w:rtl/>
        </w:rPr>
        <w:t>(</w:t>
      </w:r>
      <w:r w:rsidR="000943B1" w:rsidRPr="00F418CF">
        <w:rPr>
          <w:rFonts w:ascii="AGA Arabesque" w:hAnsi="AGA Arabesque"/>
          <w:smallCaps/>
          <w:vertAlign w:val="superscript"/>
          <w:rtl/>
        </w:rPr>
        <w:footnoteReference w:id="14"/>
      </w:r>
      <w:r w:rsidR="000943B1" w:rsidRPr="00F418CF">
        <w:rPr>
          <w:rFonts w:ascii="AGA Arabesque" w:hAnsi="AGA Arabesque" w:hint="cs"/>
          <w:smallCaps/>
          <w:vertAlign w:val="superscript"/>
          <w:rtl/>
        </w:rPr>
        <w:t>)</w:t>
      </w:r>
      <w:r w:rsidR="007E3F36" w:rsidRPr="00F418CF">
        <w:rPr>
          <w:rFonts w:ascii="AGA Arabesque" w:hAnsi="AGA Arabesque" w:hint="cs"/>
          <w:smallCaps/>
          <w:rtl/>
        </w:rPr>
        <w:t>,</w:t>
      </w:r>
      <w:r w:rsidR="000943B1" w:rsidRPr="00F418CF">
        <w:rPr>
          <w:rFonts w:ascii="AGA Arabesque" w:hAnsi="AGA Arabesque" w:hint="cs"/>
          <w:smallCaps/>
          <w:vertAlign w:val="superscript"/>
          <w:rtl/>
        </w:rPr>
        <w:t xml:space="preserve"> </w:t>
      </w:r>
      <w:r w:rsidR="000943B1" w:rsidRPr="00F418CF">
        <w:rPr>
          <w:rFonts w:ascii="AGA Arabesque" w:hAnsi="AGA Arabesque" w:hint="cs"/>
          <w:smallCaps/>
          <w:rtl/>
        </w:rPr>
        <w:t>وإسحاق بن راهويه</w:t>
      </w:r>
      <w:r w:rsidR="000943B1" w:rsidRPr="00F418CF">
        <w:rPr>
          <w:rFonts w:ascii="AGA Arabesque" w:hAnsi="AGA Arabesque" w:hint="cs"/>
          <w:smallCaps/>
          <w:vertAlign w:val="superscript"/>
          <w:rtl/>
        </w:rPr>
        <w:t>(</w:t>
      </w:r>
      <w:r w:rsidR="000943B1" w:rsidRPr="00F418CF">
        <w:rPr>
          <w:rFonts w:ascii="AGA Arabesque" w:hAnsi="AGA Arabesque"/>
          <w:smallCaps/>
          <w:vertAlign w:val="superscript"/>
          <w:rtl/>
        </w:rPr>
        <w:footnoteReference w:id="15"/>
      </w:r>
      <w:r w:rsidR="000943B1" w:rsidRPr="00F418CF">
        <w:rPr>
          <w:rFonts w:ascii="AGA Arabesque" w:hAnsi="AGA Arabesque" w:hint="cs"/>
          <w:smallCaps/>
          <w:vertAlign w:val="superscript"/>
          <w:rtl/>
        </w:rPr>
        <w:t>)</w:t>
      </w:r>
      <w:r w:rsidR="00B77049">
        <w:rPr>
          <w:rFonts w:hint="cs"/>
          <w:rtl/>
        </w:rPr>
        <w:t>,</w:t>
      </w:r>
      <w:r w:rsidR="008C19C4">
        <w:rPr>
          <w:rFonts w:hint="cs"/>
          <w:rtl/>
        </w:rPr>
        <w:t xml:space="preserve"> </w:t>
      </w:r>
      <w:r w:rsidR="000943B1" w:rsidRPr="00F418CF">
        <w:rPr>
          <w:rFonts w:hint="cs"/>
          <w:rtl/>
        </w:rPr>
        <w:t>وابن تيمية</w:t>
      </w:r>
      <w:r w:rsidR="000943B1" w:rsidRPr="00F418CF">
        <w:rPr>
          <w:rFonts w:ascii="AGA Arabesque" w:hAnsi="AGA Arabesque" w:hint="cs"/>
          <w:smallCaps/>
          <w:vertAlign w:val="superscript"/>
          <w:rtl/>
        </w:rPr>
        <w:t>(</w:t>
      </w:r>
      <w:r w:rsidR="000943B1" w:rsidRPr="00F418CF">
        <w:rPr>
          <w:rFonts w:ascii="AGA Arabesque" w:hAnsi="AGA Arabesque"/>
          <w:smallCaps/>
          <w:vertAlign w:val="superscript"/>
          <w:rtl/>
        </w:rPr>
        <w:footnoteReference w:id="16"/>
      </w:r>
      <w:r w:rsidR="000943B1" w:rsidRPr="00F418CF">
        <w:rPr>
          <w:rFonts w:ascii="AGA Arabesque" w:hAnsi="AGA Arabesque" w:hint="cs"/>
          <w:smallCaps/>
          <w:vertAlign w:val="superscript"/>
          <w:rtl/>
        </w:rPr>
        <w:t>)</w:t>
      </w:r>
      <w:r w:rsidR="000943B1" w:rsidRPr="00F418CF">
        <w:rPr>
          <w:rFonts w:hint="cs"/>
          <w:rtl/>
        </w:rPr>
        <w:t>.</w:t>
      </w:r>
    </w:p>
    <w:p w:rsidR="00834EEF" w:rsidRDefault="008C19C4" w:rsidP="000F55C2">
      <w:pPr>
        <w:ind w:firstLine="0"/>
        <w:jc w:val="lowKashida"/>
        <w:rPr>
          <w:b/>
          <w:bCs/>
          <w:rtl/>
        </w:rPr>
      </w:pPr>
      <w:r>
        <w:rPr>
          <w:rFonts w:hint="cs"/>
          <w:b/>
          <w:bCs/>
          <w:rtl/>
        </w:rPr>
        <w:lastRenderedPageBreak/>
        <w:t>سبب الخلاف في المسألة</w:t>
      </w:r>
      <w:r w:rsidR="0022171C">
        <w:rPr>
          <w:rFonts w:hint="cs"/>
          <w:b/>
          <w:bCs/>
          <w:rtl/>
        </w:rPr>
        <w:t>:</w:t>
      </w:r>
      <w:r w:rsidR="00152D8F">
        <w:rPr>
          <w:rFonts w:hint="cs"/>
          <w:b/>
          <w:bCs/>
          <w:rtl/>
        </w:rPr>
        <w:t xml:space="preserve"> </w:t>
      </w:r>
      <w:r w:rsidR="0022171C" w:rsidRPr="00152D8F">
        <w:rPr>
          <w:rFonts w:hint="cs"/>
          <w:rtl/>
        </w:rPr>
        <w:t>الذي يبدو لي أن سبب الاختلاف في المسألة ينبني على اختلاف العلماء في  طهارة شعر الخنزير ونجاسته</w:t>
      </w:r>
      <w:r w:rsidR="00834EEF" w:rsidRPr="00152D8F">
        <w:rPr>
          <w:rFonts w:hint="cs"/>
          <w:rtl/>
        </w:rPr>
        <w:t>.</w:t>
      </w:r>
    </w:p>
    <w:p w:rsidR="00393C31" w:rsidRDefault="00834EEF" w:rsidP="000F55C2">
      <w:pPr>
        <w:ind w:firstLine="0"/>
        <w:jc w:val="lowKashida"/>
        <w:rPr>
          <w:b/>
          <w:bCs/>
          <w:rtl/>
        </w:rPr>
      </w:pPr>
      <w:r>
        <w:rPr>
          <w:rFonts w:hint="cs"/>
          <w:b/>
          <w:bCs/>
          <w:rtl/>
        </w:rPr>
        <w:t>أدلة القول الأول:</w:t>
      </w:r>
    </w:p>
    <w:p w:rsidR="00F571A3" w:rsidRDefault="00393C31" w:rsidP="002D4AC5">
      <w:pPr>
        <w:ind w:firstLine="0"/>
        <w:rPr>
          <w:b/>
          <w:bCs/>
          <w:rtl/>
        </w:rPr>
      </w:pPr>
      <w:r>
        <w:rPr>
          <w:rFonts w:hint="cs"/>
          <w:b/>
          <w:bCs/>
          <w:rtl/>
        </w:rPr>
        <w:t>الدليل الأول:</w:t>
      </w:r>
      <w:r w:rsidR="00F571A3">
        <w:rPr>
          <w:rFonts w:hint="cs"/>
          <w:b/>
          <w:bCs/>
          <w:rtl/>
        </w:rPr>
        <w:t xml:space="preserve"> </w:t>
      </w:r>
      <w:r w:rsidR="00F571A3" w:rsidRPr="00152D8F">
        <w:rPr>
          <w:rFonts w:hint="cs"/>
          <w:rtl/>
        </w:rPr>
        <w:t>قوله تعال</w:t>
      </w:r>
      <w:r w:rsidR="00F571A3">
        <w:rPr>
          <w:rFonts w:hint="cs"/>
          <w:b/>
          <w:bCs/>
          <w:rtl/>
        </w:rPr>
        <w:t>:</w:t>
      </w:r>
      <w:r w:rsidR="00834EEF">
        <w:rPr>
          <w:rFonts w:hint="cs"/>
          <w:b/>
          <w:bCs/>
          <w:rtl/>
        </w:rPr>
        <w:t xml:space="preserve"> </w:t>
      </w:r>
      <w:r w:rsidR="00F571A3" w:rsidRPr="00F571A3">
        <w:rPr>
          <w:rFonts w:ascii="QCF_BSML" w:hAnsi="QCF_BSML" w:cs="QCF_BSML"/>
          <w:sz w:val="32"/>
          <w:szCs w:val="32"/>
          <w:rtl/>
          <w:lang w:eastAsia="en-US"/>
        </w:rPr>
        <w:t xml:space="preserve">ﭽ </w:t>
      </w:r>
      <w:r w:rsidR="00F571A3" w:rsidRPr="00F571A3">
        <w:rPr>
          <w:rFonts w:ascii="QCF_P147" w:hAnsi="QCF_P147" w:cs="QCF_P147"/>
          <w:sz w:val="32"/>
          <w:szCs w:val="32"/>
          <w:rtl/>
          <w:lang w:eastAsia="en-US"/>
        </w:rPr>
        <w:t>ﮙ  ﮚ  ﮛ   ﮜ  ﮝ  ﮞ  ﮟ  ﮠ  ﮡ  ﮢ  ﮣ  ﮤ    ﮥ  ﮦ   ﮧ  ﮨ  ﮩ  ﮪ  ﮫ   ﮬ  ﮭ  ﮮ  ﮯ  ﮰ     ﮱ  ﯓ  ﯔ  ﯕ  ﯖ</w:t>
      </w:r>
      <w:r w:rsidR="00F571A3" w:rsidRPr="00F571A3">
        <w:rPr>
          <w:rFonts w:ascii="QCF_P147" w:hAnsi="QCF_P147" w:cs="QCF_P147"/>
          <w:color w:val="0000A5"/>
          <w:sz w:val="32"/>
          <w:szCs w:val="32"/>
          <w:rtl/>
          <w:lang w:eastAsia="en-US"/>
        </w:rPr>
        <w:t>ﯗ</w:t>
      </w:r>
      <w:r w:rsidR="00F571A3" w:rsidRPr="00F571A3">
        <w:rPr>
          <w:rFonts w:ascii="QCF_P147" w:hAnsi="QCF_P147" w:cs="QCF_P147"/>
          <w:sz w:val="32"/>
          <w:szCs w:val="32"/>
          <w:rtl/>
          <w:lang w:eastAsia="en-US"/>
        </w:rPr>
        <w:t xml:space="preserve">  ﯘ  ﯙ   ﯚ  ﯛ  ﯜ  ﯝ  ﯞ   ﯟ  ﯠ  ﯡ  </w:t>
      </w:r>
      <w:r w:rsidR="00F571A3" w:rsidRPr="00F571A3">
        <w:rPr>
          <w:rFonts w:ascii="QCF_BSML" w:hAnsi="QCF_BSML" w:cs="QCF_BSML"/>
          <w:sz w:val="32"/>
          <w:szCs w:val="32"/>
          <w:rtl/>
          <w:lang w:eastAsia="en-US"/>
        </w:rPr>
        <w:t>ﭼ</w:t>
      </w:r>
      <w:r w:rsidR="00C84AAA" w:rsidRPr="009C57F3">
        <w:rPr>
          <w:rFonts w:ascii="AGA Arabesque" w:hAnsi="AGA Arabesque" w:hint="cs"/>
          <w:smallCaps/>
          <w:vertAlign w:val="superscript"/>
          <w:rtl/>
        </w:rPr>
        <w:t>(</w:t>
      </w:r>
      <w:r w:rsidR="00C84AAA" w:rsidRPr="009C57F3">
        <w:rPr>
          <w:rFonts w:ascii="AGA Arabesque" w:hAnsi="AGA Arabesque"/>
          <w:smallCaps/>
          <w:vertAlign w:val="superscript"/>
          <w:rtl/>
        </w:rPr>
        <w:footnoteReference w:id="17"/>
      </w:r>
      <w:r w:rsidR="00C84AAA" w:rsidRPr="009C57F3">
        <w:rPr>
          <w:rFonts w:ascii="AGA Arabesque" w:hAnsi="AGA Arabesque" w:hint="cs"/>
          <w:smallCaps/>
          <w:vertAlign w:val="superscript"/>
          <w:rtl/>
        </w:rPr>
        <w:t>)</w:t>
      </w:r>
      <w:r w:rsidR="00C84AAA">
        <w:rPr>
          <w:rFonts w:hint="cs"/>
          <w:b/>
          <w:bCs/>
          <w:rtl/>
        </w:rPr>
        <w:t>.</w:t>
      </w:r>
    </w:p>
    <w:p w:rsidR="009C57F3" w:rsidRPr="00152D8F" w:rsidRDefault="00F571A3" w:rsidP="000F55C2">
      <w:pPr>
        <w:ind w:firstLine="0"/>
        <w:jc w:val="lowKashida"/>
        <w:rPr>
          <w:rtl/>
        </w:rPr>
      </w:pPr>
      <w:r w:rsidRPr="00152D8F">
        <w:rPr>
          <w:rFonts w:hint="cs"/>
          <w:b/>
          <w:bCs/>
          <w:rtl/>
        </w:rPr>
        <w:t>وجه الدلالة</w:t>
      </w:r>
      <w:r w:rsidRPr="00152D8F">
        <w:rPr>
          <w:rFonts w:hint="cs"/>
          <w:rtl/>
        </w:rPr>
        <w:t>:</w:t>
      </w:r>
      <w:r w:rsidR="008A0B93" w:rsidRPr="00152D8F">
        <w:rPr>
          <w:rFonts w:hint="cs"/>
          <w:rtl/>
        </w:rPr>
        <w:t xml:space="preserve"> أن الله تعالى سمى الخنزير</w:t>
      </w:r>
      <w:r w:rsidR="002B5D5A" w:rsidRPr="00152D8F">
        <w:rPr>
          <w:rFonts w:hint="cs"/>
          <w:rtl/>
        </w:rPr>
        <w:t xml:space="preserve"> في الآية </w:t>
      </w:r>
      <w:r w:rsidR="008A0B93" w:rsidRPr="00152D8F">
        <w:rPr>
          <w:rFonts w:hint="cs"/>
          <w:rtl/>
        </w:rPr>
        <w:t xml:space="preserve"> رجسا</w:t>
      </w:r>
      <w:r w:rsidR="00621374">
        <w:rPr>
          <w:rFonts w:hint="cs"/>
          <w:rtl/>
        </w:rPr>
        <w:t>,</w:t>
      </w:r>
      <w:r w:rsidR="008A0B93" w:rsidRPr="00152D8F">
        <w:rPr>
          <w:rFonts w:hint="cs"/>
          <w:rtl/>
        </w:rPr>
        <w:t xml:space="preserve"> والرجس نجس</w:t>
      </w:r>
      <w:r w:rsidR="002B5D5A" w:rsidRPr="00152D8F">
        <w:rPr>
          <w:rFonts w:hint="cs"/>
          <w:rtl/>
        </w:rPr>
        <w:t xml:space="preserve"> والمراد </w:t>
      </w:r>
      <w:r w:rsidR="002B5D5A" w:rsidRPr="00152D8F">
        <w:rPr>
          <w:rFonts w:ascii="Traditional Arabic" w:hint="eastAsia"/>
          <w:rtl/>
          <w:lang w:eastAsia="en-US"/>
        </w:rPr>
        <w:t>بلحم</w:t>
      </w:r>
      <w:r w:rsidR="002B5D5A" w:rsidRPr="00152D8F">
        <w:rPr>
          <w:rFonts w:ascii="Traditional Arabic"/>
          <w:rtl/>
          <w:lang w:eastAsia="en-US"/>
        </w:rPr>
        <w:t xml:space="preserve"> </w:t>
      </w:r>
      <w:r w:rsidR="002B5D5A" w:rsidRPr="00152D8F">
        <w:rPr>
          <w:rFonts w:ascii="Traditional Arabic" w:hint="eastAsia"/>
          <w:rtl/>
          <w:lang w:eastAsia="en-US"/>
        </w:rPr>
        <w:t>الخنزير</w:t>
      </w:r>
      <w:r w:rsidR="002B5D5A" w:rsidRPr="00152D8F">
        <w:rPr>
          <w:rFonts w:ascii="Traditional Arabic"/>
          <w:rtl/>
          <w:lang w:eastAsia="en-US"/>
        </w:rPr>
        <w:t xml:space="preserve"> </w:t>
      </w:r>
      <w:r w:rsidR="002B5D5A" w:rsidRPr="00152D8F">
        <w:rPr>
          <w:rFonts w:ascii="Traditional Arabic" w:hint="eastAsia"/>
          <w:rtl/>
          <w:lang w:eastAsia="en-US"/>
        </w:rPr>
        <w:t>هو</w:t>
      </w:r>
      <w:r w:rsidR="00621374">
        <w:rPr>
          <w:rFonts w:ascii="Traditional Arabic"/>
          <w:rtl/>
          <w:lang w:eastAsia="en-US"/>
        </w:rPr>
        <w:t>:</w:t>
      </w:r>
      <w:r w:rsidR="002B5D5A" w:rsidRPr="00152D8F">
        <w:rPr>
          <w:rFonts w:ascii="Traditional Arabic" w:hint="eastAsia"/>
          <w:rtl/>
          <w:lang w:eastAsia="en-US"/>
        </w:rPr>
        <w:t>جملة</w:t>
      </w:r>
      <w:r w:rsidR="002B5D5A" w:rsidRPr="00152D8F">
        <w:rPr>
          <w:rFonts w:ascii="Traditional Arabic"/>
          <w:rtl/>
          <w:lang w:eastAsia="en-US"/>
        </w:rPr>
        <w:t xml:space="preserve"> </w:t>
      </w:r>
      <w:r w:rsidR="002B5D5A" w:rsidRPr="00152D8F">
        <w:rPr>
          <w:rFonts w:ascii="Traditional Arabic" w:hint="eastAsia"/>
          <w:rtl/>
          <w:lang w:eastAsia="en-US"/>
        </w:rPr>
        <w:t>الخنزير</w:t>
      </w:r>
      <w:r w:rsidR="00E558D9">
        <w:rPr>
          <w:rFonts w:ascii="Traditional Arabic" w:hint="cs"/>
          <w:rtl/>
          <w:lang w:eastAsia="en-US"/>
        </w:rPr>
        <w:t xml:space="preserve"> بجميع أجزائه؛ </w:t>
      </w:r>
      <w:r w:rsidR="002B5D5A" w:rsidRPr="00152D8F">
        <w:rPr>
          <w:rFonts w:ascii="Traditional Arabic" w:hint="eastAsia"/>
          <w:rtl/>
          <w:lang w:eastAsia="en-US"/>
        </w:rPr>
        <w:t>لأن</w:t>
      </w:r>
      <w:r w:rsidR="002B5D5A" w:rsidRPr="00152D8F">
        <w:rPr>
          <w:rFonts w:ascii="Traditional Arabic"/>
          <w:rtl/>
          <w:lang w:eastAsia="en-US"/>
        </w:rPr>
        <w:t xml:space="preserve"> </w:t>
      </w:r>
      <w:r w:rsidR="002B5D5A" w:rsidRPr="00152D8F">
        <w:rPr>
          <w:rFonts w:ascii="Traditional Arabic" w:hint="eastAsia"/>
          <w:rtl/>
          <w:lang w:eastAsia="en-US"/>
        </w:rPr>
        <w:t>لحمه</w:t>
      </w:r>
      <w:r w:rsidR="002B5D5A" w:rsidRPr="00152D8F">
        <w:rPr>
          <w:rFonts w:ascii="Traditional Arabic"/>
          <w:rtl/>
          <w:lang w:eastAsia="en-US"/>
        </w:rPr>
        <w:t xml:space="preserve"> </w:t>
      </w:r>
      <w:r w:rsidR="002B5D5A" w:rsidRPr="00152D8F">
        <w:rPr>
          <w:rFonts w:ascii="Traditional Arabic" w:hint="eastAsia"/>
          <w:rtl/>
          <w:lang w:eastAsia="en-US"/>
        </w:rPr>
        <w:t>قد</w:t>
      </w:r>
      <w:r w:rsidR="002B5D5A" w:rsidRPr="00152D8F">
        <w:rPr>
          <w:rFonts w:ascii="Traditional Arabic"/>
          <w:rtl/>
          <w:lang w:eastAsia="en-US"/>
        </w:rPr>
        <w:t xml:space="preserve"> </w:t>
      </w:r>
      <w:r w:rsidR="002B5D5A" w:rsidRPr="00152D8F">
        <w:rPr>
          <w:rFonts w:ascii="Traditional Arabic" w:hint="eastAsia"/>
          <w:rtl/>
          <w:lang w:eastAsia="en-US"/>
        </w:rPr>
        <w:t>دخل</w:t>
      </w:r>
      <w:r w:rsidR="002B5D5A" w:rsidRPr="00152D8F">
        <w:rPr>
          <w:rFonts w:ascii="Traditional Arabic"/>
          <w:rtl/>
          <w:lang w:eastAsia="en-US"/>
        </w:rPr>
        <w:t xml:space="preserve"> </w:t>
      </w:r>
      <w:r w:rsidR="002B5D5A" w:rsidRPr="00152D8F">
        <w:rPr>
          <w:rFonts w:ascii="Traditional Arabic" w:hint="eastAsia"/>
          <w:rtl/>
          <w:lang w:eastAsia="en-US"/>
        </w:rPr>
        <w:t>في</w:t>
      </w:r>
      <w:r w:rsidR="002B5D5A" w:rsidRPr="00152D8F">
        <w:rPr>
          <w:rFonts w:ascii="Traditional Arabic"/>
          <w:rtl/>
          <w:lang w:eastAsia="en-US"/>
        </w:rPr>
        <w:t xml:space="preserve"> </w:t>
      </w:r>
      <w:r w:rsidR="002B5D5A" w:rsidRPr="00152D8F">
        <w:rPr>
          <w:rFonts w:ascii="Traditional Arabic" w:hint="eastAsia"/>
          <w:rtl/>
          <w:lang w:eastAsia="en-US"/>
        </w:rPr>
        <w:t>عموم</w:t>
      </w:r>
      <w:r w:rsidR="002B5D5A" w:rsidRPr="00152D8F">
        <w:rPr>
          <w:rFonts w:ascii="Traditional Arabic"/>
          <w:rtl/>
          <w:lang w:eastAsia="en-US"/>
        </w:rPr>
        <w:t xml:space="preserve"> </w:t>
      </w:r>
      <w:r w:rsidR="002B5D5A" w:rsidRPr="00152D8F">
        <w:rPr>
          <w:rFonts w:ascii="Traditional Arabic" w:hint="eastAsia"/>
          <w:rtl/>
          <w:lang w:eastAsia="en-US"/>
        </w:rPr>
        <w:t>الميتة</w:t>
      </w:r>
      <w:r w:rsidR="008A0B93" w:rsidRPr="00152D8F">
        <w:rPr>
          <w:rFonts w:hint="cs"/>
          <w:rtl/>
        </w:rPr>
        <w:t xml:space="preserve"> فيكون الخنز</w:t>
      </w:r>
      <w:r w:rsidR="002B5D5A" w:rsidRPr="00152D8F">
        <w:rPr>
          <w:rFonts w:hint="cs"/>
          <w:rtl/>
        </w:rPr>
        <w:t xml:space="preserve">ير نجس بجميع أجزائه والشعر منه </w:t>
      </w:r>
      <w:r w:rsidR="008A0B93" w:rsidRPr="00152D8F">
        <w:rPr>
          <w:rFonts w:hint="cs"/>
          <w:rtl/>
        </w:rPr>
        <w:t>فلا يجوز استعماله</w:t>
      </w:r>
      <w:r w:rsidR="00C84AAA" w:rsidRPr="00152D8F">
        <w:rPr>
          <w:rFonts w:ascii="AGA Arabesque" w:hAnsi="AGA Arabesque" w:hint="cs"/>
          <w:smallCaps/>
          <w:vertAlign w:val="superscript"/>
          <w:rtl/>
        </w:rPr>
        <w:t>(</w:t>
      </w:r>
      <w:r w:rsidR="00C84AAA" w:rsidRPr="00152D8F">
        <w:rPr>
          <w:rFonts w:ascii="AGA Arabesque" w:hAnsi="AGA Arabesque"/>
          <w:smallCaps/>
          <w:vertAlign w:val="superscript"/>
          <w:rtl/>
        </w:rPr>
        <w:footnoteReference w:id="18"/>
      </w:r>
      <w:r w:rsidR="00C84AAA" w:rsidRPr="00152D8F">
        <w:rPr>
          <w:rFonts w:ascii="AGA Arabesque" w:hAnsi="AGA Arabesque" w:hint="cs"/>
          <w:smallCaps/>
          <w:vertAlign w:val="superscript"/>
          <w:rtl/>
        </w:rPr>
        <w:t>)</w:t>
      </w:r>
      <w:r w:rsidR="00C84AAA" w:rsidRPr="00152D8F">
        <w:rPr>
          <w:rFonts w:hint="cs"/>
          <w:rtl/>
        </w:rPr>
        <w:t>.</w:t>
      </w:r>
      <w:r w:rsidR="00D3483B" w:rsidRPr="00152D8F">
        <w:rPr>
          <w:rFonts w:hint="cs"/>
          <w:rtl/>
        </w:rPr>
        <w:t xml:space="preserve"> </w:t>
      </w:r>
    </w:p>
    <w:p w:rsidR="002B5D5A" w:rsidRPr="00152D8F" w:rsidRDefault="002B5D5A" w:rsidP="000F55C2">
      <w:pPr>
        <w:widowControl/>
        <w:autoSpaceDE w:val="0"/>
        <w:autoSpaceDN w:val="0"/>
        <w:adjustRightInd w:val="0"/>
        <w:ind w:firstLine="0"/>
        <w:jc w:val="lowKashida"/>
        <w:rPr>
          <w:rFonts w:ascii="Traditional Arabic"/>
          <w:rtl/>
          <w:lang w:eastAsia="en-US"/>
        </w:rPr>
      </w:pPr>
      <w:r w:rsidRPr="00152D8F">
        <w:rPr>
          <w:rFonts w:hint="cs"/>
          <w:b/>
          <w:bCs/>
          <w:rtl/>
        </w:rPr>
        <w:t>الدليل الثاني</w:t>
      </w:r>
      <w:r w:rsidRPr="00152D8F">
        <w:rPr>
          <w:rFonts w:hint="cs"/>
          <w:rtl/>
        </w:rPr>
        <w:t xml:space="preserve">: لأن الخنزير أسوأ حالا من الكلب </w:t>
      </w:r>
      <w:r w:rsidRPr="00152D8F">
        <w:rPr>
          <w:rFonts w:ascii="Traditional Arabic" w:hint="eastAsia"/>
          <w:rtl/>
          <w:lang w:eastAsia="en-US"/>
        </w:rPr>
        <w:t>لتحريم</w:t>
      </w:r>
      <w:r w:rsidRPr="00152D8F">
        <w:rPr>
          <w:rFonts w:ascii="Traditional Arabic"/>
          <w:rtl/>
          <w:lang w:eastAsia="en-US"/>
        </w:rPr>
        <w:t xml:space="preserve"> </w:t>
      </w:r>
      <w:r w:rsidRPr="00152D8F">
        <w:rPr>
          <w:rFonts w:ascii="Traditional Arabic" w:hint="eastAsia"/>
          <w:rtl/>
          <w:lang w:eastAsia="en-US"/>
        </w:rPr>
        <w:t>الانتفاع</w:t>
      </w:r>
      <w:r w:rsidRPr="00152D8F">
        <w:rPr>
          <w:rFonts w:ascii="Traditional Arabic"/>
          <w:rtl/>
          <w:lang w:eastAsia="en-US"/>
        </w:rPr>
        <w:t xml:space="preserve"> </w:t>
      </w:r>
      <w:r w:rsidRPr="00152D8F">
        <w:rPr>
          <w:rFonts w:ascii="Traditional Arabic" w:hint="eastAsia"/>
          <w:rtl/>
          <w:lang w:eastAsia="en-US"/>
        </w:rPr>
        <w:t>به</w:t>
      </w:r>
      <w:r w:rsidRPr="00152D8F">
        <w:rPr>
          <w:rFonts w:ascii="Traditional Arabic"/>
          <w:rtl/>
          <w:lang w:eastAsia="en-US"/>
        </w:rPr>
        <w:t xml:space="preserve"> </w:t>
      </w:r>
      <w:r w:rsidRPr="00152D8F">
        <w:rPr>
          <w:rFonts w:ascii="Traditional Arabic" w:hint="eastAsia"/>
          <w:rtl/>
          <w:lang w:eastAsia="en-US"/>
        </w:rPr>
        <w:t>في</w:t>
      </w:r>
      <w:r w:rsidRPr="00152D8F">
        <w:rPr>
          <w:rFonts w:ascii="Traditional Arabic"/>
          <w:rtl/>
          <w:lang w:eastAsia="en-US"/>
        </w:rPr>
        <w:t xml:space="preserve"> </w:t>
      </w:r>
      <w:r w:rsidRPr="00152D8F">
        <w:rPr>
          <w:rFonts w:ascii="Traditional Arabic" w:hint="eastAsia"/>
          <w:rtl/>
          <w:lang w:eastAsia="en-US"/>
        </w:rPr>
        <w:t>الأحوال</w:t>
      </w:r>
      <w:r w:rsidRPr="00152D8F">
        <w:rPr>
          <w:rFonts w:ascii="Traditional Arabic"/>
          <w:rtl/>
          <w:lang w:eastAsia="en-US"/>
        </w:rPr>
        <w:t xml:space="preserve"> </w:t>
      </w:r>
      <w:r w:rsidRPr="00152D8F">
        <w:rPr>
          <w:rFonts w:ascii="Traditional Arabic" w:hint="eastAsia"/>
          <w:rtl/>
          <w:lang w:eastAsia="en-US"/>
        </w:rPr>
        <w:t>وجواز</w:t>
      </w:r>
      <w:r w:rsidRPr="00152D8F">
        <w:rPr>
          <w:rFonts w:ascii="Traditional Arabic"/>
          <w:rtl/>
          <w:lang w:eastAsia="en-US"/>
        </w:rPr>
        <w:t xml:space="preserve"> </w:t>
      </w:r>
      <w:r w:rsidRPr="00152D8F">
        <w:rPr>
          <w:rFonts w:ascii="Traditional Arabic" w:hint="eastAsia"/>
          <w:rtl/>
          <w:lang w:eastAsia="en-US"/>
        </w:rPr>
        <w:t>الانتفاع</w:t>
      </w:r>
      <w:r w:rsidRPr="00152D8F">
        <w:rPr>
          <w:rFonts w:ascii="Traditional Arabic"/>
          <w:rtl/>
          <w:lang w:eastAsia="en-US"/>
        </w:rPr>
        <w:t xml:space="preserve"> </w:t>
      </w:r>
      <w:r w:rsidRPr="00152D8F">
        <w:rPr>
          <w:rFonts w:ascii="Traditional Arabic" w:hint="eastAsia"/>
          <w:rtl/>
          <w:lang w:eastAsia="en-US"/>
        </w:rPr>
        <w:t>بالكلب</w:t>
      </w:r>
      <w:r w:rsidRPr="00152D8F">
        <w:rPr>
          <w:rFonts w:ascii="Traditional Arabic"/>
          <w:rtl/>
          <w:lang w:eastAsia="en-US"/>
        </w:rPr>
        <w:t xml:space="preserve"> </w:t>
      </w:r>
      <w:r w:rsidRPr="00152D8F">
        <w:rPr>
          <w:rFonts w:ascii="Traditional Arabic" w:hint="eastAsia"/>
          <w:rtl/>
          <w:lang w:eastAsia="en-US"/>
        </w:rPr>
        <w:t>في</w:t>
      </w:r>
      <w:r w:rsidRPr="00152D8F">
        <w:rPr>
          <w:rFonts w:ascii="Traditional Arabic"/>
          <w:rtl/>
          <w:lang w:eastAsia="en-US"/>
        </w:rPr>
        <w:t xml:space="preserve"> </w:t>
      </w:r>
      <w:r w:rsidRPr="00152D8F">
        <w:rPr>
          <w:rFonts w:ascii="Traditional Arabic" w:hint="eastAsia"/>
          <w:rtl/>
          <w:lang w:eastAsia="en-US"/>
        </w:rPr>
        <w:t>حال،</w:t>
      </w:r>
      <w:r w:rsidRPr="00152D8F">
        <w:rPr>
          <w:rFonts w:ascii="Traditional Arabic"/>
          <w:rtl/>
          <w:lang w:eastAsia="en-US"/>
        </w:rPr>
        <w:t xml:space="preserve"> </w:t>
      </w:r>
      <w:r w:rsidRPr="00152D8F">
        <w:rPr>
          <w:rFonts w:ascii="Traditional Arabic" w:hint="eastAsia"/>
          <w:rtl/>
          <w:lang w:eastAsia="en-US"/>
        </w:rPr>
        <w:t>ثم</w:t>
      </w:r>
      <w:r w:rsidRPr="00152D8F">
        <w:rPr>
          <w:rFonts w:ascii="Traditional Arabic"/>
          <w:rtl/>
          <w:lang w:eastAsia="en-US"/>
        </w:rPr>
        <w:t xml:space="preserve"> </w:t>
      </w:r>
      <w:r w:rsidRPr="00152D8F">
        <w:rPr>
          <w:rFonts w:ascii="Traditional Arabic" w:hint="eastAsia"/>
          <w:rtl/>
          <w:lang w:eastAsia="en-US"/>
        </w:rPr>
        <w:t>الكلب</w:t>
      </w:r>
      <w:r w:rsidRPr="00152D8F">
        <w:rPr>
          <w:rFonts w:ascii="Traditional Arabic" w:hint="cs"/>
          <w:rtl/>
          <w:lang w:eastAsia="en-US"/>
        </w:rPr>
        <w:t xml:space="preserve"> نجس,</w:t>
      </w:r>
      <w:r w:rsidRPr="00152D8F">
        <w:rPr>
          <w:rFonts w:ascii="Traditional Arabic"/>
          <w:rtl/>
          <w:lang w:eastAsia="en-US"/>
        </w:rPr>
        <w:t xml:space="preserve"> </w:t>
      </w:r>
      <w:r w:rsidRPr="00152D8F">
        <w:rPr>
          <w:rFonts w:ascii="Traditional Arabic" w:hint="eastAsia"/>
          <w:rtl/>
          <w:lang w:eastAsia="en-US"/>
        </w:rPr>
        <w:t>فكانت</w:t>
      </w:r>
      <w:r w:rsidRPr="00152D8F">
        <w:rPr>
          <w:rFonts w:ascii="Traditional Arabic"/>
          <w:rtl/>
          <w:lang w:eastAsia="en-US"/>
        </w:rPr>
        <w:t xml:space="preserve"> </w:t>
      </w:r>
      <w:r w:rsidRPr="00152D8F">
        <w:rPr>
          <w:rFonts w:ascii="Traditional Arabic" w:hint="eastAsia"/>
          <w:rtl/>
          <w:lang w:eastAsia="en-US"/>
        </w:rPr>
        <w:t>نجاسة</w:t>
      </w:r>
      <w:r w:rsidRPr="00152D8F">
        <w:rPr>
          <w:rFonts w:ascii="Traditional Arabic"/>
          <w:rtl/>
          <w:lang w:eastAsia="en-US"/>
        </w:rPr>
        <w:t xml:space="preserve"> </w:t>
      </w:r>
      <w:r w:rsidRPr="00152D8F">
        <w:rPr>
          <w:rFonts w:ascii="Traditional Arabic" w:hint="eastAsia"/>
          <w:rtl/>
          <w:lang w:eastAsia="en-US"/>
        </w:rPr>
        <w:t>الخنزير</w:t>
      </w:r>
      <w:r w:rsidRPr="00152D8F">
        <w:rPr>
          <w:rFonts w:ascii="Traditional Arabic"/>
          <w:rtl/>
          <w:lang w:eastAsia="en-US"/>
        </w:rPr>
        <w:t xml:space="preserve"> </w:t>
      </w:r>
      <w:r w:rsidRPr="00152D8F">
        <w:rPr>
          <w:rFonts w:ascii="Traditional Arabic" w:hint="eastAsia"/>
          <w:rtl/>
          <w:lang w:eastAsia="en-US"/>
        </w:rPr>
        <w:t>أولى</w:t>
      </w:r>
      <w:r w:rsidR="00C84AAA" w:rsidRPr="00152D8F">
        <w:rPr>
          <w:rFonts w:ascii="AGA Arabesque" w:hAnsi="AGA Arabesque" w:hint="cs"/>
          <w:smallCaps/>
          <w:vertAlign w:val="superscript"/>
          <w:rtl/>
        </w:rPr>
        <w:t>(</w:t>
      </w:r>
      <w:r w:rsidR="00C84AAA" w:rsidRPr="00152D8F">
        <w:rPr>
          <w:rFonts w:ascii="AGA Arabesque" w:hAnsi="AGA Arabesque"/>
          <w:smallCaps/>
          <w:vertAlign w:val="superscript"/>
          <w:rtl/>
        </w:rPr>
        <w:footnoteReference w:id="19"/>
      </w:r>
      <w:r w:rsidR="00C84AAA" w:rsidRPr="00152D8F">
        <w:rPr>
          <w:rFonts w:ascii="AGA Arabesque" w:hAnsi="AGA Arabesque" w:hint="cs"/>
          <w:smallCaps/>
          <w:vertAlign w:val="superscript"/>
          <w:rtl/>
        </w:rPr>
        <w:t>)</w:t>
      </w:r>
      <w:r w:rsidRPr="00152D8F">
        <w:rPr>
          <w:rFonts w:ascii="Traditional Arabic"/>
          <w:rtl/>
          <w:lang w:eastAsia="en-US"/>
        </w:rPr>
        <w:t xml:space="preserve">. </w:t>
      </w:r>
    </w:p>
    <w:p w:rsidR="000F79E4" w:rsidRPr="00152D8F" w:rsidRDefault="00152D8F" w:rsidP="000F55C2">
      <w:pPr>
        <w:ind w:firstLine="0"/>
        <w:jc w:val="lowKashida"/>
        <w:rPr>
          <w:b/>
          <w:bCs/>
          <w:rtl/>
        </w:rPr>
      </w:pPr>
      <w:r w:rsidRPr="00152D8F">
        <w:rPr>
          <w:rFonts w:hint="cs"/>
          <w:b/>
          <w:bCs/>
          <w:rtl/>
        </w:rPr>
        <w:t>أدلة القول الثاني</w:t>
      </w:r>
      <w:r w:rsidR="000F79E4" w:rsidRPr="00152D8F">
        <w:rPr>
          <w:rFonts w:hint="cs"/>
          <w:b/>
          <w:bCs/>
          <w:rtl/>
        </w:rPr>
        <w:t xml:space="preserve">: </w:t>
      </w:r>
    </w:p>
    <w:p w:rsidR="00E337A9" w:rsidRPr="00152D8F" w:rsidRDefault="00152D8F" w:rsidP="000F55C2">
      <w:pPr>
        <w:ind w:firstLine="0"/>
        <w:jc w:val="lowKashida"/>
        <w:rPr>
          <w:rtl/>
        </w:rPr>
      </w:pPr>
      <w:r w:rsidRPr="003B7E2D">
        <w:rPr>
          <w:rFonts w:hint="cs"/>
          <w:b/>
          <w:bCs/>
          <w:rtl/>
        </w:rPr>
        <w:t>الدليل الأول</w:t>
      </w:r>
      <w:r w:rsidR="00E337A9" w:rsidRPr="00152D8F">
        <w:rPr>
          <w:rFonts w:hint="cs"/>
          <w:rtl/>
        </w:rPr>
        <w:t>: أن الأصل في الأعيان الطهارة فلا يجوز تنجيس شعر الخنزير إلا بدليل فإذا كان طاهرا كان جائزا الاستعمال</w:t>
      </w:r>
      <w:r w:rsidR="00C84AAA" w:rsidRPr="00152D8F">
        <w:rPr>
          <w:rFonts w:ascii="AGA Arabesque" w:hAnsi="AGA Arabesque" w:hint="cs"/>
          <w:smallCaps/>
          <w:vertAlign w:val="superscript"/>
          <w:rtl/>
        </w:rPr>
        <w:t>(</w:t>
      </w:r>
      <w:r w:rsidR="00C84AAA" w:rsidRPr="00152D8F">
        <w:rPr>
          <w:rFonts w:ascii="AGA Arabesque" w:hAnsi="AGA Arabesque"/>
          <w:smallCaps/>
          <w:vertAlign w:val="superscript"/>
          <w:rtl/>
        </w:rPr>
        <w:footnoteReference w:id="20"/>
      </w:r>
      <w:r w:rsidR="00C84AAA" w:rsidRPr="00152D8F">
        <w:rPr>
          <w:rFonts w:ascii="AGA Arabesque" w:hAnsi="AGA Arabesque" w:hint="cs"/>
          <w:smallCaps/>
          <w:vertAlign w:val="superscript"/>
          <w:rtl/>
        </w:rPr>
        <w:t>)</w:t>
      </w:r>
      <w:r w:rsidR="00E337A9" w:rsidRPr="00152D8F">
        <w:rPr>
          <w:rFonts w:hint="cs"/>
          <w:rtl/>
        </w:rPr>
        <w:t xml:space="preserve">. </w:t>
      </w:r>
    </w:p>
    <w:p w:rsidR="00E337A9" w:rsidRPr="00152D8F" w:rsidRDefault="003B7E2D" w:rsidP="000F55C2">
      <w:pPr>
        <w:ind w:firstLine="0"/>
        <w:jc w:val="lowKashida"/>
        <w:rPr>
          <w:rtl/>
        </w:rPr>
      </w:pPr>
      <w:r w:rsidRPr="003B7E2D">
        <w:rPr>
          <w:rFonts w:hint="cs"/>
          <w:b/>
          <w:bCs/>
          <w:rtl/>
        </w:rPr>
        <w:t>الدليل الثاني</w:t>
      </w:r>
      <w:r w:rsidR="00E337A9" w:rsidRPr="003B7E2D">
        <w:rPr>
          <w:rFonts w:hint="cs"/>
          <w:b/>
          <w:bCs/>
          <w:rtl/>
        </w:rPr>
        <w:t>:</w:t>
      </w:r>
      <w:r w:rsidR="00E337A9" w:rsidRPr="00152D8F">
        <w:rPr>
          <w:rFonts w:hint="cs"/>
          <w:rtl/>
        </w:rPr>
        <w:t xml:space="preserve"> أن شعر الخنزير لا دم فيه علة النجاسة الدم والشعر لا يظهر فيه شيء من آثار النجاسة أصلا فلم يكن لتنجيسه معنى</w:t>
      </w:r>
      <w:r w:rsidR="00C84AAA" w:rsidRPr="00152D8F">
        <w:rPr>
          <w:rFonts w:ascii="AGA Arabesque" w:hAnsi="AGA Arabesque" w:hint="cs"/>
          <w:smallCaps/>
          <w:vertAlign w:val="superscript"/>
          <w:rtl/>
        </w:rPr>
        <w:t>(</w:t>
      </w:r>
      <w:r w:rsidR="00C84AAA" w:rsidRPr="00152D8F">
        <w:rPr>
          <w:rFonts w:ascii="AGA Arabesque" w:hAnsi="AGA Arabesque"/>
          <w:smallCaps/>
          <w:vertAlign w:val="superscript"/>
          <w:rtl/>
        </w:rPr>
        <w:footnoteReference w:id="21"/>
      </w:r>
      <w:r w:rsidR="00C84AAA" w:rsidRPr="00152D8F">
        <w:rPr>
          <w:rFonts w:ascii="AGA Arabesque" w:hAnsi="AGA Arabesque" w:hint="cs"/>
          <w:smallCaps/>
          <w:vertAlign w:val="superscript"/>
          <w:rtl/>
        </w:rPr>
        <w:t>)</w:t>
      </w:r>
      <w:r w:rsidR="00E337A9" w:rsidRPr="00152D8F">
        <w:rPr>
          <w:rFonts w:hint="cs"/>
          <w:rtl/>
        </w:rPr>
        <w:t xml:space="preserve">. </w:t>
      </w:r>
    </w:p>
    <w:p w:rsidR="00196DA2" w:rsidRPr="00152D8F" w:rsidRDefault="003B7E2D" w:rsidP="000F55C2">
      <w:pPr>
        <w:ind w:firstLine="0"/>
        <w:jc w:val="lowKashida"/>
        <w:rPr>
          <w:rtl/>
        </w:rPr>
      </w:pPr>
      <w:r w:rsidRPr="003B7E2D">
        <w:rPr>
          <w:rFonts w:ascii="Traditional Arabic" w:hint="cs"/>
          <w:b/>
          <w:bCs/>
          <w:rtl/>
          <w:lang w:eastAsia="en-US"/>
        </w:rPr>
        <w:t>الدليل الثالث</w:t>
      </w:r>
      <w:r w:rsidR="00196DA2" w:rsidRPr="003B7E2D">
        <w:rPr>
          <w:rFonts w:ascii="Traditional Arabic" w:hint="cs"/>
          <w:b/>
          <w:bCs/>
          <w:rtl/>
          <w:lang w:eastAsia="en-US"/>
        </w:rPr>
        <w:t>:</w:t>
      </w:r>
      <w:r w:rsidR="00196DA2" w:rsidRPr="00152D8F">
        <w:rPr>
          <w:rFonts w:ascii="Traditional Arabic" w:hint="cs"/>
          <w:rtl/>
          <w:lang w:eastAsia="en-US"/>
        </w:rPr>
        <w:t xml:space="preserve"> </w:t>
      </w:r>
      <w:r w:rsidR="00196DA2" w:rsidRPr="00152D8F">
        <w:rPr>
          <w:rFonts w:ascii="Traditional Arabic" w:hint="eastAsia"/>
          <w:rtl/>
          <w:lang w:eastAsia="en-US"/>
        </w:rPr>
        <w:t>أنا</w:t>
      </w:r>
      <w:r w:rsidR="00196DA2" w:rsidRPr="00152D8F">
        <w:rPr>
          <w:rFonts w:ascii="Traditional Arabic"/>
          <w:rtl/>
          <w:lang w:eastAsia="en-US"/>
        </w:rPr>
        <w:t xml:space="preserve"> </w:t>
      </w:r>
      <w:r w:rsidR="00196DA2" w:rsidRPr="00152D8F">
        <w:rPr>
          <w:rFonts w:ascii="Traditional Arabic" w:hint="eastAsia"/>
          <w:rtl/>
          <w:lang w:eastAsia="en-US"/>
        </w:rPr>
        <w:t>نرى</w:t>
      </w:r>
      <w:r w:rsidR="00196DA2" w:rsidRPr="00152D8F">
        <w:rPr>
          <w:rFonts w:ascii="Traditional Arabic"/>
          <w:rtl/>
          <w:lang w:eastAsia="en-US"/>
        </w:rPr>
        <w:t xml:space="preserve"> </w:t>
      </w:r>
      <w:r w:rsidR="00196DA2" w:rsidRPr="00152D8F">
        <w:rPr>
          <w:rFonts w:ascii="Traditional Arabic" w:hint="eastAsia"/>
          <w:rtl/>
          <w:lang w:eastAsia="en-US"/>
        </w:rPr>
        <w:t>المسلمين</w:t>
      </w:r>
      <w:r w:rsidR="00196DA2" w:rsidRPr="00152D8F">
        <w:rPr>
          <w:rFonts w:ascii="Traditional Arabic"/>
          <w:rtl/>
          <w:lang w:eastAsia="en-US"/>
        </w:rPr>
        <w:t xml:space="preserve"> </w:t>
      </w:r>
      <w:r w:rsidR="00196DA2" w:rsidRPr="00152D8F">
        <w:rPr>
          <w:rFonts w:ascii="Traditional Arabic" w:hint="eastAsia"/>
          <w:rtl/>
          <w:lang w:eastAsia="en-US"/>
        </w:rPr>
        <w:t>يقرون</w:t>
      </w:r>
      <w:r w:rsidR="00196DA2" w:rsidRPr="00152D8F">
        <w:rPr>
          <w:rFonts w:ascii="Traditional Arabic"/>
          <w:rtl/>
          <w:lang w:eastAsia="en-US"/>
        </w:rPr>
        <w:t xml:space="preserve"> </w:t>
      </w:r>
      <w:r w:rsidR="00196DA2" w:rsidRPr="00152D8F">
        <w:rPr>
          <w:rFonts w:ascii="Traditional Arabic" w:hint="eastAsia"/>
          <w:rtl/>
          <w:lang w:eastAsia="en-US"/>
        </w:rPr>
        <w:t>الأساكفة</w:t>
      </w:r>
      <w:r w:rsidR="00196DA2" w:rsidRPr="00152D8F">
        <w:rPr>
          <w:rFonts w:ascii="Traditional Arabic"/>
          <w:rtl/>
          <w:lang w:eastAsia="en-US"/>
        </w:rPr>
        <w:t xml:space="preserve"> </w:t>
      </w:r>
      <w:r w:rsidR="00196DA2" w:rsidRPr="00152D8F">
        <w:rPr>
          <w:rFonts w:ascii="Traditional Arabic" w:hint="eastAsia"/>
          <w:rtl/>
          <w:lang w:eastAsia="en-US"/>
        </w:rPr>
        <w:t>على</w:t>
      </w:r>
      <w:r w:rsidR="00196DA2" w:rsidRPr="00152D8F">
        <w:rPr>
          <w:rFonts w:ascii="Traditional Arabic"/>
          <w:rtl/>
          <w:lang w:eastAsia="en-US"/>
        </w:rPr>
        <w:t xml:space="preserve"> </w:t>
      </w:r>
      <w:r w:rsidR="00196DA2" w:rsidRPr="00152D8F">
        <w:rPr>
          <w:rFonts w:ascii="Traditional Arabic" w:hint="eastAsia"/>
          <w:rtl/>
          <w:lang w:eastAsia="en-US"/>
        </w:rPr>
        <w:t>استعماله</w:t>
      </w:r>
      <w:r w:rsidR="00196DA2" w:rsidRPr="00152D8F">
        <w:rPr>
          <w:rFonts w:ascii="Traditional Arabic"/>
          <w:rtl/>
          <w:lang w:eastAsia="en-US"/>
        </w:rPr>
        <w:t xml:space="preserve"> </w:t>
      </w:r>
      <w:r w:rsidR="00196DA2" w:rsidRPr="00152D8F">
        <w:rPr>
          <w:rFonts w:ascii="Traditional Arabic" w:hint="eastAsia"/>
          <w:rtl/>
          <w:lang w:eastAsia="en-US"/>
        </w:rPr>
        <w:t>من</w:t>
      </w:r>
      <w:r w:rsidR="00196DA2" w:rsidRPr="00152D8F">
        <w:rPr>
          <w:rFonts w:ascii="Traditional Arabic"/>
          <w:rtl/>
          <w:lang w:eastAsia="en-US"/>
        </w:rPr>
        <w:t xml:space="preserve"> </w:t>
      </w:r>
      <w:r w:rsidR="00196DA2" w:rsidRPr="00152D8F">
        <w:rPr>
          <w:rFonts w:ascii="Traditional Arabic" w:hint="eastAsia"/>
          <w:rtl/>
          <w:lang w:eastAsia="en-US"/>
        </w:rPr>
        <w:t>غير</w:t>
      </w:r>
      <w:r w:rsidR="00196DA2" w:rsidRPr="00152D8F">
        <w:rPr>
          <w:rFonts w:ascii="Traditional Arabic"/>
          <w:rtl/>
          <w:lang w:eastAsia="en-US"/>
        </w:rPr>
        <w:t xml:space="preserve"> </w:t>
      </w:r>
      <w:r w:rsidR="00196DA2" w:rsidRPr="00152D8F">
        <w:rPr>
          <w:rFonts w:ascii="Traditional Arabic" w:hint="eastAsia"/>
          <w:rtl/>
          <w:lang w:eastAsia="en-US"/>
        </w:rPr>
        <w:t>نكير</w:t>
      </w:r>
      <w:r w:rsidR="00196DA2" w:rsidRPr="00152D8F">
        <w:rPr>
          <w:rFonts w:ascii="Traditional Arabic"/>
          <w:rtl/>
          <w:lang w:eastAsia="en-US"/>
        </w:rPr>
        <w:t xml:space="preserve"> </w:t>
      </w:r>
      <w:r w:rsidR="00196DA2" w:rsidRPr="00152D8F">
        <w:rPr>
          <w:rFonts w:ascii="Traditional Arabic" w:hint="eastAsia"/>
          <w:rtl/>
          <w:lang w:eastAsia="en-US"/>
        </w:rPr>
        <w:t>ظهر</w:t>
      </w:r>
      <w:r w:rsidR="00196DA2" w:rsidRPr="00152D8F">
        <w:rPr>
          <w:rFonts w:ascii="Traditional Arabic"/>
          <w:rtl/>
          <w:lang w:eastAsia="en-US"/>
        </w:rPr>
        <w:t xml:space="preserve"> </w:t>
      </w:r>
      <w:r w:rsidR="00196DA2" w:rsidRPr="00152D8F">
        <w:rPr>
          <w:rFonts w:ascii="Traditional Arabic" w:hint="eastAsia"/>
          <w:rtl/>
          <w:lang w:eastAsia="en-US"/>
        </w:rPr>
        <w:t>منهم،</w:t>
      </w:r>
      <w:r w:rsidR="00196DA2" w:rsidRPr="00152D8F">
        <w:rPr>
          <w:rFonts w:ascii="Traditional Arabic"/>
          <w:rtl/>
          <w:lang w:eastAsia="en-US"/>
        </w:rPr>
        <w:t xml:space="preserve"> </w:t>
      </w:r>
      <w:r w:rsidR="00196DA2" w:rsidRPr="00152D8F">
        <w:rPr>
          <w:rFonts w:ascii="Traditional Arabic" w:hint="eastAsia"/>
          <w:rtl/>
          <w:lang w:eastAsia="en-US"/>
        </w:rPr>
        <w:t>ولأن</w:t>
      </w:r>
      <w:r w:rsidR="00196DA2" w:rsidRPr="00152D8F">
        <w:rPr>
          <w:rFonts w:ascii="Traditional Arabic"/>
          <w:rtl/>
          <w:lang w:eastAsia="en-US"/>
        </w:rPr>
        <w:t xml:space="preserve"> </w:t>
      </w:r>
      <w:r w:rsidR="00196DA2" w:rsidRPr="00152D8F">
        <w:rPr>
          <w:rFonts w:ascii="Traditional Arabic" w:hint="eastAsia"/>
          <w:rtl/>
          <w:lang w:eastAsia="en-US"/>
        </w:rPr>
        <w:t>الحاجة</w:t>
      </w:r>
      <w:r w:rsidR="00196DA2" w:rsidRPr="00152D8F">
        <w:rPr>
          <w:rFonts w:ascii="Traditional Arabic"/>
          <w:rtl/>
          <w:lang w:eastAsia="en-US"/>
        </w:rPr>
        <w:t xml:space="preserve"> </w:t>
      </w:r>
      <w:r w:rsidR="00196DA2" w:rsidRPr="00152D8F">
        <w:rPr>
          <w:rFonts w:ascii="Traditional Arabic" w:hint="eastAsia"/>
          <w:rtl/>
          <w:lang w:eastAsia="en-US"/>
        </w:rPr>
        <w:t>ماسة</w:t>
      </w:r>
      <w:r w:rsidR="00196DA2" w:rsidRPr="00152D8F">
        <w:rPr>
          <w:rFonts w:ascii="Traditional Arabic"/>
          <w:rtl/>
          <w:lang w:eastAsia="en-US"/>
        </w:rPr>
        <w:t xml:space="preserve"> </w:t>
      </w:r>
      <w:r w:rsidR="00196DA2" w:rsidRPr="00152D8F">
        <w:rPr>
          <w:rFonts w:ascii="Traditional Arabic" w:hint="eastAsia"/>
          <w:rtl/>
          <w:lang w:eastAsia="en-US"/>
        </w:rPr>
        <w:t>إليه،</w:t>
      </w:r>
      <w:r w:rsidR="00196DA2" w:rsidRPr="00152D8F">
        <w:rPr>
          <w:rFonts w:hint="cs"/>
          <w:rtl/>
        </w:rPr>
        <w:t xml:space="preserve"> فتقاس الفرشاة عليه في الجواز</w:t>
      </w:r>
      <w:r w:rsidR="00196DA2" w:rsidRPr="00152D8F">
        <w:rPr>
          <w:rFonts w:ascii="AGA Arabesque" w:hAnsi="AGA Arabesque" w:hint="cs"/>
          <w:smallCaps/>
          <w:vertAlign w:val="superscript"/>
          <w:rtl/>
        </w:rPr>
        <w:t xml:space="preserve"> </w:t>
      </w:r>
      <w:r w:rsidR="00196DA2" w:rsidRPr="00152D8F">
        <w:rPr>
          <w:rFonts w:ascii="AGA Arabesque" w:hAnsi="AGA Arabesque" w:hint="cs"/>
          <w:smallCaps/>
          <w:rtl/>
        </w:rPr>
        <w:t>بجامع الانتفاع</w:t>
      </w:r>
      <w:r w:rsidR="00196DA2" w:rsidRPr="00152D8F">
        <w:rPr>
          <w:rFonts w:ascii="AGA Arabesque" w:hAnsi="AGA Arabesque" w:hint="cs"/>
          <w:smallCaps/>
          <w:vertAlign w:val="superscript"/>
          <w:rtl/>
        </w:rPr>
        <w:t>(</w:t>
      </w:r>
      <w:r w:rsidR="00196DA2" w:rsidRPr="00152D8F">
        <w:rPr>
          <w:rFonts w:ascii="AGA Arabesque" w:hAnsi="AGA Arabesque"/>
          <w:smallCaps/>
          <w:vertAlign w:val="superscript"/>
          <w:rtl/>
        </w:rPr>
        <w:footnoteReference w:id="22"/>
      </w:r>
      <w:r w:rsidR="00196DA2" w:rsidRPr="00152D8F">
        <w:rPr>
          <w:rFonts w:ascii="AGA Arabesque" w:hAnsi="AGA Arabesque" w:hint="cs"/>
          <w:smallCaps/>
          <w:vertAlign w:val="superscript"/>
          <w:rtl/>
        </w:rPr>
        <w:t>)</w:t>
      </w:r>
      <w:r w:rsidR="00196DA2" w:rsidRPr="00152D8F">
        <w:rPr>
          <w:rFonts w:hint="cs"/>
          <w:rtl/>
        </w:rPr>
        <w:t>.</w:t>
      </w:r>
    </w:p>
    <w:p w:rsidR="00B20304" w:rsidRPr="00152D8F" w:rsidRDefault="00B20304" w:rsidP="000F55C2">
      <w:pPr>
        <w:ind w:firstLine="0"/>
        <w:jc w:val="lowKashida"/>
        <w:rPr>
          <w:rtl/>
        </w:rPr>
      </w:pPr>
      <w:r w:rsidRPr="003B7E2D">
        <w:rPr>
          <w:rFonts w:hint="cs"/>
          <w:b/>
          <w:bCs/>
          <w:rtl/>
        </w:rPr>
        <w:t>والراجح في المسألة</w:t>
      </w:r>
      <w:r w:rsidRPr="00152D8F">
        <w:rPr>
          <w:rFonts w:hint="cs"/>
          <w:rtl/>
        </w:rPr>
        <w:t xml:space="preserve"> والله تعالى أعلم بالصواب هو إذا كانت الفرشاة مصنوعة من شعر </w:t>
      </w:r>
      <w:r w:rsidRPr="00152D8F">
        <w:rPr>
          <w:rFonts w:hint="cs"/>
          <w:rtl/>
        </w:rPr>
        <w:lastRenderedPageBreak/>
        <w:t>الخنزير فلا يجوز استعماله في تفريش الأسنان لأن الخنزير محرم بجميع أج</w:t>
      </w:r>
      <w:r w:rsidR="00B90D13">
        <w:rPr>
          <w:rFonts w:hint="cs"/>
          <w:rtl/>
        </w:rPr>
        <w:t>زائه فلا يجوز الانتفاع بشعره لا</w:t>
      </w:r>
      <w:r w:rsidRPr="00152D8F">
        <w:rPr>
          <w:rFonts w:hint="cs"/>
          <w:rtl/>
        </w:rPr>
        <w:t>سيما أن السواك من العود والفرشاة المباحة متوفرة</w:t>
      </w:r>
      <w:r w:rsidR="00B90D13">
        <w:rPr>
          <w:rFonts w:hint="cs"/>
          <w:rtl/>
        </w:rPr>
        <w:t xml:space="preserve"> </w:t>
      </w:r>
      <w:r w:rsidR="009C5196">
        <w:rPr>
          <w:rFonts w:hint="cs"/>
          <w:rtl/>
        </w:rPr>
        <w:t xml:space="preserve">-ولله الحمد- </w:t>
      </w:r>
      <w:r w:rsidRPr="00152D8F">
        <w:rPr>
          <w:rFonts w:hint="cs"/>
          <w:rtl/>
        </w:rPr>
        <w:t xml:space="preserve">في الأسواق بأنواعها المختلفة. </w:t>
      </w:r>
      <w:r w:rsidR="00EA74C7">
        <w:rPr>
          <w:rFonts w:hint="cs"/>
          <w:rtl/>
        </w:rPr>
        <w:t>والله أعلم.</w:t>
      </w:r>
    </w:p>
    <w:p w:rsidR="004D7B7A" w:rsidRDefault="004D7B7A" w:rsidP="000F55C2">
      <w:pPr>
        <w:jc w:val="lowKashida"/>
        <w:rPr>
          <w:b/>
          <w:bCs/>
          <w:sz w:val="40"/>
          <w:szCs w:val="40"/>
          <w:rtl/>
        </w:rPr>
      </w:pPr>
    </w:p>
    <w:sectPr w:rsidR="004D7B7A" w:rsidSect="000E29AA">
      <w:headerReference w:type="default" r:id="rId8"/>
      <w:footerReference w:type="default" r:id="rId9"/>
      <w:footnotePr>
        <w:numRestart w:val="eachPage"/>
      </w:footnotePr>
      <w:pgSz w:w="11906" w:h="16838"/>
      <w:pgMar w:top="1247" w:right="1985" w:bottom="1418" w:left="1418" w:header="709" w:footer="709" w:gutter="0"/>
      <w:pgNumType w:start="24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7B9" w:rsidRDefault="00AB57B9" w:rsidP="00E70533">
      <w:r>
        <w:separator/>
      </w:r>
    </w:p>
  </w:endnote>
  <w:endnote w:type="continuationSeparator" w:id="1">
    <w:p w:rsidR="00AB57B9" w:rsidRDefault="00AB57B9" w:rsidP="00E705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887" w:rsidRDefault="000E29AA" w:rsidP="000E29AA">
    <w:pPr>
      <w:pStyle w:val="afc"/>
      <w:jc w:val="center"/>
      <w:rPr>
        <w:rFonts w:hint="cs"/>
      </w:rPr>
    </w:pPr>
    <w:r>
      <w:rPr>
        <w:rFonts w:hint="cs"/>
        <w:noProof/>
        <w:lang w:eastAsia="en-US"/>
      </w:rPr>
      <w:pict>
        <v:roundrect id="_x0000_s26626" style="position:absolute;left:0;text-align:left;margin-left:193.15pt;margin-top:6.3pt;width:38.9pt;height:20.05pt;z-index:251658240;mso-position-horizontal-relative:margin" arcsize="10923f">
          <v:textbox style="mso-next-textbox:#_x0000_s26626">
            <w:txbxContent>
              <w:p w:rsidR="000E29AA" w:rsidRPr="00A6537B" w:rsidRDefault="000E29AA" w:rsidP="000E29AA">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2E4447">
                  <w:rPr>
                    <w:rFonts w:cstheme="minorBidi"/>
                    <w:spacing w:val="-20"/>
                    <w:sz w:val="32"/>
                    <w:szCs w:val="32"/>
                    <w:rtl/>
                  </w:rPr>
                  <w:fldChar w:fldCharType="separate"/>
                </w:r>
                <w:r w:rsidR="000053A0" w:rsidRPr="000053A0">
                  <w:rPr>
                    <w:rFonts w:cstheme="minorBidi"/>
                    <w:noProof/>
                    <w:spacing w:val="-20"/>
                    <w:sz w:val="32"/>
                    <w:szCs w:val="32"/>
                    <w:rtl/>
                    <w:lang w:val="ar-SA"/>
                  </w:rPr>
                  <w:t>244</w:t>
                </w:r>
                <w:r w:rsidRPr="00A6537B">
                  <w:rPr>
                    <w:rFonts w:cs="Arial"/>
                    <w:spacing w:val="-20"/>
                    <w:sz w:val="32"/>
                    <w:szCs w:val="32"/>
                    <w:rtl/>
                  </w:rPr>
                  <w:fldChar w:fldCharType="end"/>
                </w:r>
              </w:p>
            </w:txbxContent>
          </v:textbox>
          <w10:wrap anchorx="margin"/>
        </v:roundrect>
      </w:pict>
    </w:r>
  </w:p>
  <w:p w:rsidR="00387887" w:rsidRDefault="00387887">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7B9" w:rsidRDefault="00AB57B9" w:rsidP="00387887">
      <w:pPr>
        <w:ind w:firstLine="0"/>
      </w:pPr>
      <w:r>
        <w:separator/>
      </w:r>
    </w:p>
  </w:footnote>
  <w:footnote w:type="continuationSeparator" w:id="1">
    <w:p w:rsidR="00AB57B9" w:rsidRDefault="00AB57B9" w:rsidP="00387887">
      <w:pPr>
        <w:ind w:firstLine="0"/>
      </w:pPr>
      <w:r>
        <w:separator/>
      </w:r>
    </w:p>
  </w:footnote>
  <w:footnote w:id="2">
    <w:p w:rsidR="009C57F3" w:rsidRPr="00C051BA" w:rsidRDefault="009C57F3" w:rsidP="000F55C2">
      <w:pPr>
        <w:autoSpaceDE w:val="0"/>
        <w:autoSpaceDN w:val="0"/>
        <w:adjustRightInd w:val="0"/>
        <w:ind w:left="423" w:hanging="425"/>
        <w:jc w:val="lowKashida"/>
        <w:rPr>
          <w:rFonts w:asciiTheme="minorHAnsi" w:eastAsia="Calibri" w:hAnsiTheme="minorHAns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CB250E">
        <w:rPr>
          <w:rFonts w:ascii="Traditional Arabic" w:eastAsia="Calibri" w:hint="cs"/>
          <w:color w:val="auto"/>
          <w:sz w:val="32"/>
          <w:szCs w:val="32"/>
          <w:rtl/>
        </w:rPr>
        <w:t>فرشاة الأسنان</w:t>
      </w:r>
      <w:r w:rsidR="00D30F24" w:rsidRPr="00C051BA">
        <w:rPr>
          <w:rFonts w:ascii="Traditional Arabic" w:eastAsia="Calibri" w:hint="cs"/>
          <w:color w:val="auto"/>
          <w:sz w:val="32"/>
          <w:szCs w:val="32"/>
          <w:rtl/>
        </w:rPr>
        <w:t xml:space="preserve">: يقول الأستاذ عز الدين العطار - دمشق </w:t>
      </w:r>
      <w:r w:rsidR="00D30F24" w:rsidRPr="00C051BA">
        <w:rPr>
          <w:rFonts w:ascii="Traditional Arabic" w:eastAsia="Calibri"/>
          <w:color w:val="auto"/>
          <w:sz w:val="32"/>
          <w:szCs w:val="32"/>
          <w:rtl/>
        </w:rPr>
        <w:t>–</w:t>
      </w:r>
      <w:r w:rsidR="00D30F24" w:rsidRPr="00C051BA">
        <w:rPr>
          <w:rFonts w:ascii="Traditional Arabic" w:eastAsia="Calibri" w:hint="cs"/>
          <w:color w:val="auto"/>
          <w:sz w:val="32"/>
          <w:szCs w:val="32"/>
          <w:rtl/>
        </w:rPr>
        <w:t xml:space="preserve"> في مقال له في مجلة العلم والإيمان عدد 33-34 1978م: الفرشاة كما يدعوها الخواص أو الفرشاية كما يدعوها العوام دخيلة على العربية من منشأ لاتيني أو هو على التحديد فرنسي</w:t>
      </w:r>
      <w:r w:rsidR="00D30F24" w:rsidRPr="00C051BA">
        <w:rPr>
          <w:rFonts w:ascii="Arabic Typesetting" w:eastAsia="Calibri" w:hAnsi="Arabic Typesetting"/>
          <w:color w:val="auto"/>
          <w:sz w:val="32"/>
          <w:szCs w:val="32"/>
        </w:rPr>
        <w:t>B</w:t>
      </w:r>
      <w:r w:rsidR="000F6766" w:rsidRPr="00C051BA">
        <w:rPr>
          <w:rFonts w:ascii="Arabic Typesetting" w:eastAsia="Calibri" w:hAnsi="Arabic Typesetting"/>
          <w:color w:val="auto"/>
          <w:sz w:val="32"/>
          <w:szCs w:val="32"/>
        </w:rPr>
        <w:t>rosse</w:t>
      </w:r>
      <w:r w:rsidR="00D30F24" w:rsidRPr="00C051BA">
        <w:rPr>
          <w:rFonts w:asciiTheme="minorHAnsi" w:eastAsia="Calibri" w:hAnsiTheme="minorHAnsi" w:hint="cs"/>
          <w:color w:val="auto"/>
          <w:sz w:val="32"/>
          <w:szCs w:val="32"/>
          <w:rtl/>
        </w:rPr>
        <w:t xml:space="preserve"> فإذا اختصت بالأسنان كانت</w:t>
      </w:r>
      <w:r w:rsidR="00D30F24" w:rsidRPr="00C051BA">
        <w:rPr>
          <w:rFonts w:ascii="Arabic Typesetting" w:eastAsia="Calibri" w:hAnsi="Arabic Typesetting"/>
          <w:color w:val="auto"/>
          <w:sz w:val="32"/>
          <w:szCs w:val="32"/>
        </w:rPr>
        <w:t>Dents brosse</w:t>
      </w:r>
      <w:r w:rsidR="00D30F24" w:rsidRPr="00C051BA">
        <w:rPr>
          <w:rFonts w:ascii="Arabic Typesetting" w:eastAsia="Calibri" w:hAnsi="Arabic Typesetting"/>
          <w:color w:val="auto"/>
          <w:sz w:val="32"/>
          <w:szCs w:val="32"/>
          <w:rtl/>
        </w:rPr>
        <w:t xml:space="preserve"> </w:t>
      </w:r>
      <w:r w:rsidR="00D30F24" w:rsidRPr="00C051BA">
        <w:rPr>
          <w:rFonts w:asciiTheme="minorHAnsi" w:eastAsia="Calibri" w:hAnsiTheme="minorHAnsi" w:hint="cs"/>
          <w:color w:val="auto"/>
          <w:sz w:val="32"/>
          <w:szCs w:val="32"/>
          <w:rtl/>
        </w:rPr>
        <w:t xml:space="preserve">ويغلب في مصطلح التعريب التبادل بين الباء والفاء والسين الشين ولذا أطلق عليها أيضا فرشة الأسنان, وقد جاء في قاموس العوام لحليم دموس : فرشاة الأسنان صحيحها العربي "المجرد" إلا أن المجرد في كتب اللغة ألة لتنظيف الأسنان لا أداة, فهو آلة تستعمل في معالجة بعض علل الأسنان. ينظر: السواك والعناية بالأسنان لدكتور: عبد الله بن عبد الرزاق </w:t>
      </w:r>
      <w:r w:rsidR="00E35264" w:rsidRPr="00C051BA">
        <w:rPr>
          <w:rFonts w:asciiTheme="minorHAnsi" w:eastAsia="Calibri" w:hAnsiTheme="minorHAnsi" w:hint="cs"/>
          <w:color w:val="auto"/>
          <w:sz w:val="32"/>
          <w:szCs w:val="32"/>
          <w:rtl/>
        </w:rPr>
        <w:t>السعيدص32.</w:t>
      </w:r>
    </w:p>
  </w:footnote>
  <w:footnote w:id="3">
    <w:p w:rsidR="00902512" w:rsidRPr="00C051BA" w:rsidRDefault="00902512"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ينظر: مرعاة</w:t>
      </w:r>
      <w:r w:rsidR="00CD2BC1" w:rsidRPr="00C051BA">
        <w:rPr>
          <w:rFonts w:ascii="Traditional Arabic" w:eastAsia="Calibri" w:hint="cs"/>
          <w:color w:val="auto"/>
          <w:sz w:val="32"/>
          <w:szCs w:val="32"/>
          <w:rtl/>
        </w:rPr>
        <w:t xml:space="preserve"> </w:t>
      </w:r>
      <w:r w:rsidRPr="00C051BA">
        <w:rPr>
          <w:rFonts w:ascii="Traditional Arabic" w:eastAsia="Calibri" w:hint="cs"/>
          <w:color w:val="auto"/>
          <w:sz w:val="32"/>
          <w:szCs w:val="32"/>
          <w:rtl/>
        </w:rPr>
        <w:t xml:space="preserve">المفاتيح2/77. </w:t>
      </w:r>
    </w:p>
  </w:footnote>
  <w:footnote w:id="4">
    <w:p w:rsidR="009C57F3" w:rsidRPr="00C051BA" w:rsidRDefault="009C57F3"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951649" w:rsidRPr="00C051BA">
        <w:rPr>
          <w:rFonts w:ascii="Traditional Arabic" w:eastAsia="Calibri" w:hint="cs"/>
          <w:color w:val="auto"/>
          <w:sz w:val="32"/>
          <w:szCs w:val="32"/>
          <w:rtl/>
        </w:rPr>
        <w:t>ينظر:</w:t>
      </w:r>
      <w:r w:rsidR="008055ED" w:rsidRPr="00C051BA">
        <w:rPr>
          <w:rFonts w:ascii="Traditional Arabic" w:eastAsia="Calibri" w:hint="cs"/>
          <w:color w:val="auto"/>
          <w:sz w:val="32"/>
          <w:szCs w:val="32"/>
          <w:rtl/>
        </w:rPr>
        <w:t xml:space="preserve"> الحاوي الكبي</w:t>
      </w:r>
      <w:r w:rsidR="00CB250E">
        <w:rPr>
          <w:rFonts w:ascii="Traditional Arabic" w:eastAsia="Calibri" w:hint="cs"/>
          <w:color w:val="auto"/>
          <w:sz w:val="32"/>
          <w:szCs w:val="32"/>
          <w:rtl/>
        </w:rPr>
        <w:t>ر1/68, والتمهيد3/313, والوسيط1/</w:t>
      </w:r>
      <w:r w:rsidR="008055ED" w:rsidRPr="00C051BA">
        <w:rPr>
          <w:rFonts w:ascii="Traditional Arabic" w:eastAsia="Calibri" w:hint="cs"/>
          <w:color w:val="auto"/>
          <w:sz w:val="32"/>
          <w:szCs w:val="32"/>
          <w:rtl/>
        </w:rPr>
        <w:t>277, والمجموع1/336, و</w:t>
      </w:r>
      <w:r w:rsidR="00951649" w:rsidRPr="00C051BA">
        <w:rPr>
          <w:rFonts w:ascii="Traditional Arabic" w:eastAsia="Calibri" w:hint="cs"/>
          <w:color w:val="auto"/>
          <w:sz w:val="32"/>
          <w:szCs w:val="32"/>
          <w:rtl/>
        </w:rPr>
        <w:t>الفتاوى الهندية1/8, والمحي</w:t>
      </w:r>
      <w:r w:rsidR="00393C31" w:rsidRPr="00C051BA">
        <w:rPr>
          <w:rFonts w:ascii="Traditional Arabic" w:eastAsia="Calibri" w:hint="cs"/>
          <w:color w:val="auto"/>
          <w:sz w:val="32"/>
          <w:szCs w:val="32"/>
          <w:rtl/>
        </w:rPr>
        <w:t>ط</w:t>
      </w:r>
      <w:r w:rsidR="00544868" w:rsidRPr="00C051BA">
        <w:rPr>
          <w:rFonts w:ascii="Traditional Arabic" w:eastAsia="Calibri" w:hint="cs"/>
          <w:color w:val="auto"/>
          <w:sz w:val="32"/>
          <w:szCs w:val="32"/>
          <w:rtl/>
        </w:rPr>
        <w:t xml:space="preserve"> البرهاني1</w:t>
      </w:r>
      <w:r w:rsidR="00951649" w:rsidRPr="00C051BA">
        <w:rPr>
          <w:rFonts w:ascii="Traditional Arabic" w:eastAsia="Calibri" w:hint="cs"/>
          <w:color w:val="auto"/>
          <w:sz w:val="32"/>
          <w:szCs w:val="32"/>
          <w:rtl/>
        </w:rPr>
        <w:t>/45,</w:t>
      </w:r>
      <w:r w:rsidR="00B74A08" w:rsidRPr="00C051BA">
        <w:rPr>
          <w:rFonts w:ascii="Traditional Arabic" w:eastAsia="Calibri" w:hint="cs"/>
          <w:color w:val="auto"/>
          <w:sz w:val="32"/>
          <w:szCs w:val="32"/>
          <w:rtl/>
        </w:rPr>
        <w:t xml:space="preserve"> </w:t>
      </w:r>
      <w:r w:rsidR="00393C31" w:rsidRPr="00C051BA">
        <w:rPr>
          <w:rFonts w:ascii="Traditional Arabic" w:eastAsia="Calibri" w:hint="cs"/>
          <w:color w:val="auto"/>
          <w:sz w:val="32"/>
          <w:szCs w:val="32"/>
          <w:rtl/>
        </w:rPr>
        <w:t xml:space="preserve">والتاج والإكليل1/380, مواهب </w:t>
      </w:r>
      <w:r w:rsidR="00B105D6" w:rsidRPr="00C051BA">
        <w:rPr>
          <w:rFonts w:ascii="Traditional Arabic" w:eastAsia="Calibri" w:hint="cs"/>
          <w:color w:val="auto"/>
          <w:sz w:val="32"/>
          <w:szCs w:val="32"/>
          <w:rtl/>
        </w:rPr>
        <w:t>الجليل1/38</w:t>
      </w:r>
      <w:r w:rsidR="000D7EEC" w:rsidRPr="00C051BA">
        <w:rPr>
          <w:rFonts w:ascii="Traditional Arabic" w:eastAsia="Calibri" w:hint="cs"/>
          <w:color w:val="auto"/>
          <w:sz w:val="32"/>
          <w:szCs w:val="32"/>
          <w:rtl/>
        </w:rPr>
        <w:t>2</w:t>
      </w:r>
      <w:r w:rsidR="00B105D6" w:rsidRPr="00C051BA">
        <w:rPr>
          <w:rFonts w:ascii="Traditional Arabic" w:eastAsia="Calibri" w:hint="cs"/>
          <w:color w:val="auto"/>
          <w:sz w:val="32"/>
          <w:szCs w:val="32"/>
          <w:rtl/>
        </w:rPr>
        <w:t>,</w:t>
      </w:r>
      <w:r w:rsidR="006335F4" w:rsidRPr="00C051BA">
        <w:rPr>
          <w:rFonts w:ascii="Traditional Arabic" w:eastAsia="Calibri" w:hint="cs"/>
          <w:color w:val="auto"/>
          <w:sz w:val="32"/>
          <w:szCs w:val="32"/>
          <w:rtl/>
        </w:rPr>
        <w:t xml:space="preserve"> والخرشي على مختصر خليل1/139,</w:t>
      </w:r>
      <w:r w:rsidR="008055ED" w:rsidRPr="00C051BA">
        <w:rPr>
          <w:rFonts w:ascii="Traditional Arabic" w:eastAsia="Calibri" w:hint="cs"/>
          <w:color w:val="auto"/>
          <w:sz w:val="32"/>
          <w:szCs w:val="32"/>
          <w:rtl/>
        </w:rPr>
        <w:t xml:space="preserve"> </w:t>
      </w:r>
      <w:r w:rsidR="00086324" w:rsidRPr="00C051BA">
        <w:rPr>
          <w:rFonts w:ascii="Traditional Arabic" w:eastAsia="Calibri" w:hint="cs"/>
          <w:color w:val="auto"/>
          <w:sz w:val="32"/>
          <w:szCs w:val="32"/>
          <w:rtl/>
        </w:rPr>
        <w:t>والإنصاف مع المقنع1/246.</w:t>
      </w:r>
    </w:p>
  </w:footnote>
  <w:footnote w:id="5">
    <w:p w:rsidR="009C57F3" w:rsidRPr="00C051BA" w:rsidRDefault="009C57F3"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FA4E9C" w:rsidRPr="00C051BA">
        <w:rPr>
          <w:rFonts w:ascii="Traditional Arabic" w:eastAsia="Calibri" w:hint="cs"/>
          <w:color w:val="auto"/>
          <w:sz w:val="32"/>
          <w:szCs w:val="32"/>
          <w:rtl/>
        </w:rPr>
        <w:t>ينظر:</w:t>
      </w:r>
      <w:r w:rsidR="008055ED" w:rsidRPr="00C051BA">
        <w:rPr>
          <w:rFonts w:ascii="Traditional Arabic" w:eastAsia="Calibri" w:hint="cs"/>
          <w:color w:val="auto"/>
          <w:sz w:val="32"/>
          <w:szCs w:val="32"/>
          <w:rtl/>
        </w:rPr>
        <w:t xml:space="preserve"> الحاوي الكبير1/68, والمجموع للنووي1/335, وطرح التثريب2/67, و</w:t>
      </w:r>
      <w:r w:rsidR="00FA4E9C" w:rsidRPr="00C051BA">
        <w:rPr>
          <w:rFonts w:ascii="Traditional Arabic" w:eastAsia="Calibri" w:hint="cs"/>
          <w:color w:val="auto"/>
          <w:sz w:val="32"/>
          <w:szCs w:val="32"/>
          <w:rtl/>
        </w:rPr>
        <w:t xml:space="preserve">الشرح الكبير مع المقنع1/246, </w:t>
      </w:r>
      <w:r w:rsidR="00393C31" w:rsidRPr="00C051BA">
        <w:rPr>
          <w:rFonts w:ascii="Traditional Arabic" w:eastAsia="Calibri" w:hint="cs"/>
          <w:color w:val="auto"/>
          <w:sz w:val="32"/>
          <w:szCs w:val="32"/>
          <w:rtl/>
        </w:rPr>
        <w:t>و</w:t>
      </w:r>
      <w:r w:rsidR="009F02AA" w:rsidRPr="00C051BA">
        <w:rPr>
          <w:rFonts w:ascii="Traditional Arabic" w:eastAsia="Calibri" w:hint="cs"/>
          <w:color w:val="auto"/>
          <w:sz w:val="32"/>
          <w:szCs w:val="32"/>
          <w:rtl/>
        </w:rPr>
        <w:t>مواهب الجليل1/382,</w:t>
      </w:r>
      <w:r w:rsidR="00FF3604" w:rsidRPr="00C051BA">
        <w:rPr>
          <w:rFonts w:ascii="Traditional Arabic" w:eastAsia="Calibri" w:hint="cs"/>
          <w:color w:val="auto"/>
          <w:sz w:val="32"/>
          <w:szCs w:val="32"/>
          <w:rtl/>
        </w:rPr>
        <w:t xml:space="preserve"> </w:t>
      </w:r>
      <w:r w:rsidR="00393C31" w:rsidRPr="00C051BA">
        <w:rPr>
          <w:rFonts w:ascii="Traditional Arabic" w:eastAsia="Calibri" w:hint="cs"/>
          <w:color w:val="auto"/>
          <w:sz w:val="32"/>
          <w:szCs w:val="32"/>
          <w:rtl/>
        </w:rPr>
        <w:t>و</w:t>
      </w:r>
      <w:r w:rsidR="008055ED" w:rsidRPr="00C051BA">
        <w:rPr>
          <w:rFonts w:ascii="Traditional Arabic" w:eastAsia="Calibri" w:hint="cs"/>
          <w:color w:val="auto"/>
          <w:sz w:val="32"/>
          <w:szCs w:val="32"/>
          <w:rtl/>
        </w:rPr>
        <w:t>حاشية ابن عابدين1/235.</w:t>
      </w:r>
    </w:p>
  </w:footnote>
  <w:footnote w:id="6">
    <w:p w:rsidR="009C57F3" w:rsidRPr="00C051BA" w:rsidRDefault="009C57F3"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F1544A" w:rsidRPr="00C051BA">
        <w:rPr>
          <w:rFonts w:ascii="Traditional Arabic" w:eastAsia="Calibri" w:hint="cs"/>
          <w:color w:val="auto"/>
          <w:sz w:val="32"/>
          <w:szCs w:val="32"/>
          <w:rtl/>
        </w:rPr>
        <w:t>ينظر: السواك والعناية بالأسنان ص17.</w:t>
      </w:r>
    </w:p>
  </w:footnote>
  <w:footnote w:id="7">
    <w:p w:rsidR="009C57F3" w:rsidRPr="00C051BA" w:rsidRDefault="009C57F3"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221746" w:rsidRPr="00C051BA">
        <w:rPr>
          <w:rFonts w:ascii="Traditional Arabic" w:eastAsia="Calibri" w:hint="cs"/>
          <w:color w:val="auto"/>
          <w:sz w:val="32"/>
          <w:szCs w:val="32"/>
          <w:rtl/>
        </w:rPr>
        <w:t>قد يقول قائل: هل تصنع فرشاة الأسنان بشعر الخنزير؟</w:t>
      </w:r>
    </w:p>
    <w:p w:rsidR="00221746" w:rsidRPr="00C051BA" w:rsidRDefault="00221746" w:rsidP="00201FCE">
      <w:pPr>
        <w:autoSpaceDE w:val="0"/>
        <w:autoSpaceDN w:val="0"/>
        <w:adjustRightInd w:val="0"/>
        <w:ind w:left="423" w:firstLine="0"/>
        <w:jc w:val="lowKashida"/>
        <w:rPr>
          <w:rFonts w:ascii="Traditional Arabic" w:eastAsia="Calibri"/>
          <w:color w:val="auto"/>
          <w:sz w:val="32"/>
          <w:szCs w:val="32"/>
          <w:rtl/>
        </w:rPr>
      </w:pPr>
      <w:r w:rsidRPr="00C051BA">
        <w:rPr>
          <w:rFonts w:ascii="Traditional Arabic" w:eastAsia="Calibri" w:hint="cs"/>
          <w:b/>
          <w:bCs/>
          <w:color w:val="auto"/>
          <w:sz w:val="32"/>
          <w:szCs w:val="32"/>
          <w:rtl/>
        </w:rPr>
        <w:t>فالجواب</w:t>
      </w:r>
      <w:r w:rsidRPr="00C051BA">
        <w:rPr>
          <w:rFonts w:ascii="Traditional Arabic" w:eastAsia="Calibri" w:hint="cs"/>
          <w:color w:val="auto"/>
          <w:sz w:val="32"/>
          <w:szCs w:val="32"/>
          <w:rtl/>
        </w:rPr>
        <w:t xml:space="preserve">: </w:t>
      </w:r>
      <w:r w:rsidR="004B467F" w:rsidRPr="00C051BA">
        <w:rPr>
          <w:rFonts w:ascii="Traditional Arabic" w:eastAsia="Calibri" w:hint="cs"/>
          <w:color w:val="auto"/>
          <w:sz w:val="32"/>
          <w:szCs w:val="32"/>
          <w:rtl/>
        </w:rPr>
        <w:t xml:space="preserve">إني </w:t>
      </w:r>
      <w:r w:rsidRPr="00C051BA">
        <w:rPr>
          <w:rFonts w:ascii="Traditional Arabic" w:eastAsia="Calibri" w:hint="cs"/>
          <w:color w:val="auto"/>
          <w:sz w:val="32"/>
          <w:szCs w:val="32"/>
          <w:rtl/>
        </w:rPr>
        <w:t xml:space="preserve">لم أقف على كتاب صرح صاحبه بذلك </w:t>
      </w:r>
      <w:r w:rsidR="004B467F" w:rsidRPr="00C051BA">
        <w:rPr>
          <w:rFonts w:ascii="Traditional Arabic" w:eastAsia="Calibri" w:hint="cs"/>
          <w:color w:val="auto"/>
          <w:sz w:val="32"/>
          <w:szCs w:val="32"/>
          <w:rtl/>
        </w:rPr>
        <w:t>,</w:t>
      </w:r>
      <w:r w:rsidRPr="00C051BA">
        <w:rPr>
          <w:rFonts w:ascii="Traditional Arabic" w:eastAsia="Calibri" w:hint="cs"/>
          <w:color w:val="auto"/>
          <w:sz w:val="32"/>
          <w:szCs w:val="32"/>
          <w:rtl/>
        </w:rPr>
        <w:t>ولكن ليس ذلك ببعيد لأن بعض المؤلفين ذكروا أن شعر الخنزير يستخدم في صناعة الفرش كفرش الحلاقة وغيرها, كما يقول الدكتور: أحمد جواد  في صدد شعر الخنزير:ويعطي كل خنزير ما يعادل 1,5- 2 لبيرة[ أي حوالي 680-900 غرام] من الشعر بعد عملية السمط وكشط الشعر</w:t>
      </w:r>
      <w:r w:rsidR="004B467F" w:rsidRPr="00C051BA">
        <w:rPr>
          <w:rFonts w:ascii="Traditional Arabic" w:eastAsia="Calibri" w:hint="cs"/>
          <w:color w:val="auto"/>
          <w:sz w:val="32"/>
          <w:szCs w:val="32"/>
          <w:rtl/>
        </w:rPr>
        <w:t xml:space="preserve"> </w:t>
      </w:r>
      <w:r w:rsidRPr="00C051BA">
        <w:rPr>
          <w:rFonts w:ascii="Traditional Arabic" w:eastAsia="Calibri" w:hint="cs"/>
          <w:color w:val="auto"/>
          <w:sz w:val="32"/>
          <w:szCs w:val="32"/>
          <w:rtl/>
        </w:rPr>
        <w:t>ويستخدم</w:t>
      </w:r>
      <w:r w:rsidR="004B467F" w:rsidRPr="00C051BA">
        <w:rPr>
          <w:rFonts w:ascii="Traditional Arabic" w:eastAsia="Calibri" w:hint="cs"/>
          <w:color w:val="auto"/>
          <w:sz w:val="32"/>
          <w:szCs w:val="32"/>
          <w:rtl/>
        </w:rPr>
        <w:t xml:space="preserve"> الشعر القاسي</w:t>
      </w:r>
      <w:r w:rsidR="004B467F" w:rsidRPr="00C051BA">
        <w:rPr>
          <w:rFonts w:asciiTheme="minorHAnsi" w:eastAsia="Calibri" w:hAnsiTheme="minorHAnsi"/>
          <w:color w:val="auto"/>
          <w:sz w:val="32"/>
          <w:szCs w:val="32"/>
        </w:rPr>
        <w:t>Bristles</w:t>
      </w:r>
      <w:r w:rsidR="00B63980">
        <w:rPr>
          <w:rFonts w:asciiTheme="minorHAnsi" w:eastAsia="Calibri" w:hAnsiTheme="minorHAnsi" w:hint="cs"/>
          <w:color w:val="auto"/>
          <w:sz w:val="32"/>
          <w:szCs w:val="32"/>
          <w:rtl/>
        </w:rPr>
        <w:t xml:space="preserve"> </w:t>
      </w:r>
      <w:r w:rsidR="004B467F" w:rsidRPr="00C051BA">
        <w:rPr>
          <w:rFonts w:asciiTheme="minorHAnsi" w:eastAsia="Calibri" w:hAnsiTheme="minorHAnsi" w:hint="cs"/>
          <w:color w:val="auto"/>
          <w:sz w:val="32"/>
          <w:szCs w:val="32"/>
          <w:rtl/>
        </w:rPr>
        <w:t>من ظهره وذيله في صناعة الفرش أما فرش الحلاقة التي كانت تصنع في وقت سابق من شعر الخيل في سيبريا والصين أصبحت تصنع بصورة رئيسية من شعر الخنزير" ينظر: الخنزير بين ميزان الشرع ومنظار العلم ص57.</w:t>
      </w:r>
      <w:r w:rsidRPr="00C051BA">
        <w:rPr>
          <w:rFonts w:ascii="Traditional Arabic" w:eastAsia="Calibri" w:hint="cs"/>
          <w:color w:val="auto"/>
          <w:sz w:val="32"/>
          <w:szCs w:val="32"/>
          <w:rtl/>
        </w:rPr>
        <w:t xml:space="preserve"> </w:t>
      </w:r>
    </w:p>
  </w:footnote>
  <w:footnote w:id="8">
    <w:p w:rsidR="0025060A" w:rsidRPr="00C051BA" w:rsidRDefault="0025060A"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00393C31" w:rsidRPr="00C051BA">
        <w:rPr>
          <w:rFonts w:ascii="Traditional Arabic" w:eastAsia="Calibri" w:hint="cs"/>
          <w:color w:val="auto"/>
          <w:sz w:val="32"/>
          <w:szCs w:val="32"/>
          <w:rtl/>
        </w:rPr>
        <w:t xml:space="preserve"> </w:t>
      </w:r>
      <w:r w:rsidR="006A53EF" w:rsidRPr="00C051BA">
        <w:rPr>
          <w:rFonts w:hint="cs"/>
          <w:color w:val="auto"/>
          <w:sz w:val="32"/>
          <w:szCs w:val="32"/>
          <w:rtl/>
        </w:rPr>
        <w:t xml:space="preserve">لأنه هؤلاء يقولون </w:t>
      </w:r>
      <w:r w:rsidR="00F939EE" w:rsidRPr="00C051BA">
        <w:rPr>
          <w:rFonts w:hint="cs"/>
          <w:color w:val="auto"/>
          <w:sz w:val="32"/>
          <w:szCs w:val="32"/>
          <w:rtl/>
        </w:rPr>
        <w:t xml:space="preserve">بعد الانتفاع بشعر الخنزير مطلقا, </w:t>
      </w:r>
      <w:r w:rsidR="00F939EE" w:rsidRPr="00C051BA">
        <w:rPr>
          <w:rFonts w:ascii="Traditional Arabic" w:eastAsia="Calibri" w:hint="cs"/>
          <w:color w:val="auto"/>
          <w:sz w:val="32"/>
          <w:szCs w:val="32"/>
          <w:rtl/>
        </w:rPr>
        <w:t>ينظر أقوالهم في:</w:t>
      </w:r>
      <w:r w:rsidR="006A53EF" w:rsidRPr="00C051BA">
        <w:rPr>
          <w:rFonts w:ascii="Traditional Arabic" w:eastAsia="Calibri" w:hint="cs"/>
          <w:color w:val="auto"/>
          <w:sz w:val="32"/>
          <w:szCs w:val="32"/>
          <w:rtl/>
        </w:rPr>
        <w:t>[</w:t>
      </w:r>
      <w:r w:rsidR="00464558" w:rsidRPr="00C051BA">
        <w:rPr>
          <w:rFonts w:ascii="Traditional Arabic" w:eastAsia="Calibri" w:hint="cs"/>
          <w:color w:val="auto"/>
          <w:sz w:val="32"/>
          <w:szCs w:val="32"/>
          <w:rtl/>
        </w:rPr>
        <w:t>الأوسط لابن المنذر2/280, و</w:t>
      </w:r>
      <w:r w:rsidR="006A53EF" w:rsidRPr="00C051BA">
        <w:rPr>
          <w:rFonts w:ascii="Traditional Arabic" w:eastAsia="Calibri" w:hint="cs"/>
          <w:color w:val="auto"/>
          <w:sz w:val="32"/>
          <w:szCs w:val="32"/>
          <w:rtl/>
        </w:rPr>
        <w:t>شرح السنة8/29</w:t>
      </w:r>
      <w:r w:rsidR="001A6DEF" w:rsidRPr="00C051BA">
        <w:rPr>
          <w:rFonts w:ascii="Traditional Arabic" w:eastAsia="Calibri" w:hint="cs"/>
          <w:color w:val="auto"/>
          <w:sz w:val="32"/>
          <w:szCs w:val="32"/>
          <w:rtl/>
        </w:rPr>
        <w:t>, ومعالم السنن3/133</w:t>
      </w:r>
      <w:r w:rsidR="006A53EF" w:rsidRPr="00C051BA">
        <w:rPr>
          <w:rFonts w:ascii="Traditional Arabic" w:eastAsia="Calibri" w:hint="cs"/>
          <w:color w:val="auto"/>
          <w:sz w:val="32"/>
          <w:szCs w:val="32"/>
          <w:rtl/>
        </w:rPr>
        <w:t>]</w:t>
      </w:r>
      <w:r w:rsidR="00F939EE" w:rsidRPr="00C051BA">
        <w:rPr>
          <w:rFonts w:ascii="Traditional Arabic" w:eastAsia="Calibri" w:hint="cs"/>
          <w:color w:val="auto"/>
          <w:sz w:val="32"/>
          <w:szCs w:val="32"/>
          <w:rtl/>
        </w:rPr>
        <w:t>.</w:t>
      </w:r>
    </w:p>
  </w:footnote>
  <w:footnote w:id="9">
    <w:p w:rsidR="00CD4172" w:rsidRPr="00C051BA" w:rsidRDefault="00CD4172"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00D13997" w:rsidRPr="00C051BA">
        <w:rPr>
          <w:rFonts w:ascii="Traditional Arabic" w:eastAsia="Calibri" w:hint="cs"/>
          <w:color w:val="auto"/>
          <w:sz w:val="32"/>
          <w:szCs w:val="32"/>
          <w:rtl/>
        </w:rPr>
        <w:t xml:space="preserve"> </w:t>
      </w:r>
      <w:r w:rsidRPr="00C051BA">
        <w:rPr>
          <w:rFonts w:ascii="Traditional Arabic" w:eastAsia="Calibri" w:hint="cs"/>
          <w:color w:val="auto"/>
          <w:sz w:val="32"/>
          <w:szCs w:val="32"/>
          <w:rtl/>
        </w:rPr>
        <w:t>لأن المذهب عندهم نجاسة شعر الخنزير ولا يجوز بيعه, وإنما</w:t>
      </w:r>
      <w:r w:rsidR="00FF07EB" w:rsidRPr="00C051BA">
        <w:rPr>
          <w:rFonts w:ascii="Traditional Arabic" w:eastAsia="Calibri" w:hint="cs"/>
          <w:color w:val="auto"/>
          <w:sz w:val="32"/>
          <w:szCs w:val="32"/>
          <w:rtl/>
        </w:rPr>
        <w:t xml:space="preserve"> </w:t>
      </w:r>
      <w:r w:rsidRPr="00C051BA">
        <w:rPr>
          <w:rFonts w:ascii="Traditional Arabic" w:eastAsia="Calibri" w:hint="cs"/>
          <w:color w:val="auto"/>
          <w:sz w:val="32"/>
          <w:szCs w:val="32"/>
          <w:rtl/>
        </w:rPr>
        <w:t>جوز الخرز به للضرورة فقط. ينظر: المحيط البرهاني1/476, و</w:t>
      </w:r>
      <w:r w:rsidR="005A6BFC" w:rsidRPr="00C051BA">
        <w:rPr>
          <w:rFonts w:ascii="Traditional Arabic" w:eastAsia="Calibri" w:hint="cs"/>
          <w:color w:val="auto"/>
          <w:sz w:val="32"/>
          <w:szCs w:val="32"/>
          <w:rtl/>
        </w:rPr>
        <w:t>العناية6/425.وتبيين الحقائق4/50.</w:t>
      </w:r>
    </w:p>
  </w:footnote>
  <w:footnote w:id="10">
    <w:p w:rsidR="00C778D7" w:rsidRPr="00C051BA" w:rsidRDefault="00C778D7"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F846F9" w:rsidRPr="00C051BA">
        <w:rPr>
          <w:rFonts w:ascii="Traditional Arabic" w:eastAsia="Calibri" w:hint="cs"/>
          <w:color w:val="auto"/>
          <w:sz w:val="32"/>
          <w:szCs w:val="32"/>
          <w:rtl/>
        </w:rPr>
        <w:t>إذا المذهب عندهم نجاسة شعر الخنزير.</w:t>
      </w:r>
      <w:r w:rsidR="00434EB4" w:rsidRPr="00C051BA">
        <w:rPr>
          <w:rFonts w:ascii="Traditional Arabic" w:eastAsia="Calibri" w:hint="cs"/>
          <w:color w:val="auto"/>
          <w:sz w:val="32"/>
          <w:szCs w:val="32"/>
          <w:rtl/>
        </w:rPr>
        <w:t>ينظر:</w:t>
      </w:r>
      <w:r w:rsidR="00621374">
        <w:rPr>
          <w:rFonts w:ascii="Traditional Arabic" w:eastAsia="Calibri" w:hint="cs"/>
          <w:color w:val="auto"/>
          <w:sz w:val="32"/>
          <w:szCs w:val="32"/>
          <w:rtl/>
        </w:rPr>
        <w:t>[</w:t>
      </w:r>
      <w:r w:rsidR="00434EB4" w:rsidRPr="00C051BA">
        <w:rPr>
          <w:rFonts w:ascii="Traditional Arabic" w:eastAsia="Calibri" w:hint="cs"/>
          <w:color w:val="auto"/>
          <w:sz w:val="32"/>
          <w:szCs w:val="32"/>
          <w:rtl/>
        </w:rPr>
        <w:t>الحاوي الكبير1/51, والمجموع1/289</w:t>
      </w:r>
      <w:r w:rsidR="00621374">
        <w:rPr>
          <w:rFonts w:ascii="Traditional Arabic" w:eastAsia="Calibri" w:hint="cs"/>
          <w:color w:val="auto"/>
          <w:sz w:val="32"/>
          <w:szCs w:val="32"/>
          <w:rtl/>
        </w:rPr>
        <w:t>]</w:t>
      </w:r>
      <w:r w:rsidR="00434EB4" w:rsidRPr="00C051BA">
        <w:rPr>
          <w:rFonts w:ascii="Traditional Arabic" w:eastAsia="Calibri" w:hint="cs"/>
          <w:color w:val="auto"/>
          <w:sz w:val="32"/>
          <w:szCs w:val="32"/>
          <w:rtl/>
        </w:rPr>
        <w:t>.</w:t>
      </w:r>
    </w:p>
  </w:footnote>
  <w:footnote w:id="11">
    <w:p w:rsidR="00C778D7" w:rsidRPr="00C051BA" w:rsidRDefault="00C778D7"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F846F9" w:rsidRPr="00C051BA">
        <w:rPr>
          <w:rFonts w:ascii="Traditional Arabic" w:eastAsia="Calibri" w:hint="cs"/>
          <w:color w:val="auto"/>
          <w:sz w:val="32"/>
          <w:szCs w:val="32"/>
          <w:rtl/>
        </w:rPr>
        <w:t xml:space="preserve">لأن المذهب عندهم نجاة شعر الخنزير. </w:t>
      </w:r>
      <w:r w:rsidR="00621374">
        <w:rPr>
          <w:rFonts w:ascii="Traditional Arabic" w:eastAsia="Calibri" w:hint="cs"/>
          <w:color w:val="auto"/>
          <w:sz w:val="32"/>
          <w:szCs w:val="32"/>
          <w:rtl/>
        </w:rPr>
        <w:t>ينظر:</w:t>
      </w:r>
      <w:r w:rsidR="00346859">
        <w:rPr>
          <w:rFonts w:ascii="Traditional Arabic" w:eastAsia="Calibri" w:hint="cs"/>
          <w:color w:val="auto"/>
          <w:sz w:val="32"/>
          <w:szCs w:val="32"/>
          <w:rtl/>
        </w:rPr>
        <w:t>[</w:t>
      </w:r>
      <w:r w:rsidR="00621374">
        <w:rPr>
          <w:rFonts w:ascii="Traditional Arabic" w:eastAsia="Calibri" w:hint="cs"/>
          <w:color w:val="auto"/>
          <w:sz w:val="32"/>
          <w:szCs w:val="32"/>
          <w:rtl/>
        </w:rPr>
        <w:t xml:space="preserve">المغني1/108, </w:t>
      </w:r>
      <w:r w:rsidR="00C0236F" w:rsidRPr="00C051BA">
        <w:rPr>
          <w:rFonts w:ascii="Traditional Arabic" w:eastAsia="Calibri" w:hint="cs"/>
          <w:color w:val="auto"/>
          <w:sz w:val="32"/>
          <w:szCs w:val="32"/>
          <w:rtl/>
        </w:rPr>
        <w:t>والشرح الكبير مع المقنع1/184, والإنصاف مع المقنع1/183</w:t>
      </w:r>
      <w:r w:rsidR="00346859">
        <w:rPr>
          <w:rFonts w:ascii="Traditional Arabic" w:eastAsia="Calibri" w:hint="cs"/>
          <w:color w:val="auto"/>
          <w:sz w:val="32"/>
          <w:szCs w:val="32"/>
          <w:rtl/>
        </w:rPr>
        <w:t>]</w:t>
      </w:r>
      <w:r w:rsidR="00C0236F" w:rsidRPr="00C051BA">
        <w:rPr>
          <w:rFonts w:ascii="Traditional Arabic" w:eastAsia="Calibri" w:hint="cs"/>
          <w:color w:val="auto"/>
          <w:sz w:val="32"/>
          <w:szCs w:val="32"/>
          <w:rtl/>
        </w:rPr>
        <w:t>.</w:t>
      </w:r>
    </w:p>
  </w:footnote>
  <w:footnote w:id="12">
    <w:p w:rsidR="001C0ABE" w:rsidRPr="00C051BA" w:rsidRDefault="001C0ABE"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F846F9" w:rsidRPr="00C051BA">
        <w:rPr>
          <w:rFonts w:ascii="Traditional Arabic" w:eastAsia="Calibri" w:hint="cs"/>
          <w:color w:val="auto"/>
          <w:sz w:val="32"/>
          <w:szCs w:val="32"/>
          <w:rtl/>
        </w:rPr>
        <w:t>إذ هو رخص الإنتفاع بشعره.</w:t>
      </w:r>
      <w:r w:rsidR="00621374">
        <w:rPr>
          <w:rFonts w:ascii="Traditional Arabic" w:eastAsia="Calibri" w:hint="cs"/>
          <w:color w:val="auto"/>
          <w:sz w:val="32"/>
          <w:szCs w:val="32"/>
          <w:rtl/>
        </w:rPr>
        <w:t>ينظر:</w:t>
      </w:r>
      <w:r w:rsidR="00CF0091" w:rsidRPr="00C051BA">
        <w:rPr>
          <w:rFonts w:ascii="Traditional Arabic" w:hint="cs"/>
          <w:color w:val="auto"/>
          <w:sz w:val="32"/>
          <w:szCs w:val="32"/>
          <w:rtl/>
          <w:lang w:eastAsia="en-US"/>
        </w:rPr>
        <w:t>الأوسط لابن المنذر2/280, شرح السنة للبغوي8/29</w:t>
      </w:r>
      <w:r w:rsidR="00F846F9" w:rsidRPr="00C051BA">
        <w:rPr>
          <w:rFonts w:ascii="Traditional Arabic" w:eastAsia="Calibri" w:hint="cs"/>
          <w:color w:val="auto"/>
          <w:sz w:val="32"/>
          <w:szCs w:val="32"/>
          <w:rtl/>
        </w:rPr>
        <w:t>, ومعالم السنن3/133.</w:t>
      </w:r>
    </w:p>
  </w:footnote>
  <w:footnote w:id="13">
    <w:p w:rsidR="000943B1" w:rsidRPr="00C051BA" w:rsidRDefault="000943B1"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0B5263" w:rsidRPr="00C051BA">
        <w:rPr>
          <w:rFonts w:ascii="Traditional Arabic" w:eastAsia="Calibri" w:hint="cs"/>
          <w:color w:val="auto"/>
          <w:sz w:val="32"/>
          <w:szCs w:val="32"/>
          <w:rtl/>
        </w:rPr>
        <w:t>إذ شعر الخنزير عندهم طاهر في المذهب,</w:t>
      </w:r>
      <w:r w:rsidR="007E3F36" w:rsidRPr="00C051BA">
        <w:rPr>
          <w:rFonts w:ascii="Traditional Arabic" w:eastAsia="Calibri" w:hint="cs"/>
          <w:color w:val="auto"/>
          <w:sz w:val="32"/>
          <w:szCs w:val="32"/>
          <w:rtl/>
        </w:rPr>
        <w:t xml:space="preserve"> </w:t>
      </w:r>
      <w:r w:rsidR="00E30438" w:rsidRPr="00C051BA">
        <w:rPr>
          <w:rFonts w:ascii="Traditional Arabic" w:eastAsia="Calibri" w:hint="cs"/>
          <w:color w:val="auto"/>
          <w:sz w:val="32"/>
          <w:szCs w:val="32"/>
          <w:rtl/>
        </w:rPr>
        <w:t xml:space="preserve">ينظر: </w:t>
      </w:r>
      <w:r w:rsidR="005B58B3" w:rsidRPr="00C051BA">
        <w:rPr>
          <w:rFonts w:ascii="Traditional Arabic" w:eastAsia="Calibri" w:hint="cs"/>
          <w:color w:val="auto"/>
          <w:sz w:val="32"/>
          <w:szCs w:val="32"/>
          <w:rtl/>
        </w:rPr>
        <w:t>التفريع 1/214,</w:t>
      </w:r>
      <w:r w:rsidR="007E3F36" w:rsidRPr="00C051BA">
        <w:rPr>
          <w:rFonts w:ascii="Traditional Arabic" w:eastAsia="Calibri" w:hint="cs"/>
          <w:color w:val="auto"/>
          <w:sz w:val="32"/>
          <w:szCs w:val="32"/>
          <w:rtl/>
        </w:rPr>
        <w:t xml:space="preserve"> و</w:t>
      </w:r>
      <w:r w:rsidR="00FF07EB" w:rsidRPr="00C051BA">
        <w:rPr>
          <w:rFonts w:ascii="Traditional Arabic" w:eastAsia="Calibri" w:hint="cs"/>
          <w:color w:val="auto"/>
          <w:sz w:val="32"/>
          <w:szCs w:val="32"/>
          <w:rtl/>
        </w:rPr>
        <w:t>البيان والتحصيل8/47,</w:t>
      </w:r>
      <w:r w:rsidR="00EB4B50" w:rsidRPr="00C051BA">
        <w:rPr>
          <w:rFonts w:ascii="Traditional Arabic" w:eastAsia="Calibri" w:hint="cs"/>
          <w:color w:val="auto"/>
          <w:sz w:val="32"/>
          <w:szCs w:val="32"/>
          <w:rtl/>
        </w:rPr>
        <w:t xml:space="preserve"> والتا</w:t>
      </w:r>
      <w:r w:rsidR="005A6BFC" w:rsidRPr="00C051BA">
        <w:rPr>
          <w:rFonts w:ascii="Traditional Arabic" w:eastAsia="Calibri" w:hint="cs"/>
          <w:color w:val="auto"/>
          <w:sz w:val="32"/>
          <w:szCs w:val="32"/>
          <w:rtl/>
        </w:rPr>
        <w:t>ج والإكليل مع مواهب الجليل1/126.</w:t>
      </w:r>
    </w:p>
  </w:footnote>
  <w:footnote w:id="14">
    <w:p w:rsidR="000943B1" w:rsidRPr="00C051BA" w:rsidRDefault="000943B1"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w:t>
      </w:r>
      <w:r w:rsidR="00393C31" w:rsidRPr="00C051BA">
        <w:rPr>
          <w:rFonts w:ascii="Traditional Arabic" w:eastAsia="Calibri" w:hint="cs"/>
          <w:color w:val="auto"/>
          <w:sz w:val="32"/>
          <w:szCs w:val="32"/>
          <w:rtl/>
        </w:rPr>
        <w:t>ينظر</w:t>
      </w:r>
      <w:r w:rsidR="008C395A" w:rsidRPr="00C051BA">
        <w:rPr>
          <w:rFonts w:ascii="Traditional Arabic" w:eastAsia="Calibri" w:hint="cs"/>
          <w:color w:val="auto"/>
          <w:sz w:val="32"/>
          <w:szCs w:val="32"/>
          <w:rtl/>
        </w:rPr>
        <w:t>: مجموع فتاوى ابن تيمية21/38, و</w:t>
      </w:r>
      <w:r w:rsidR="005A6BFC" w:rsidRPr="00C051BA">
        <w:rPr>
          <w:rFonts w:ascii="Traditional Arabic" w:eastAsia="Calibri" w:hint="cs"/>
          <w:color w:val="auto"/>
          <w:sz w:val="32"/>
          <w:szCs w:val="32"/>
          <w:rtl/>
        </w:rPr>
        <w:t>الإنصاف مع المقنع1/177.</w:t>
      </w:r>
    </w:p>
  </w:footnote>
  <w:footnote w:id="15">
    <w:p w:rsidR="000943B1" w:rsidRPr="00C051BA" w:rsidRDefault="000943B1"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00393C31" w:rsidRPr="00C051BA">
        <w:rPr>
          <w:rFonts w:ascii="Traditional Arabic" w:eastAsia="Calibri" w:hint="cs"/>
          <w:color w:val="auto"/>
          <w:sz w:val="32"/>
          <w:szCs w:val="32"/>
          <w:rtl/>
        </w:rPr>
        <w:t xml:space="preserve"> </w:t>
      </w:r>
      <w:r w:rsidR="00686D9C" w:rsidRPr="00C051BA">
        <w:rPr>
          <w:rFonts w:ascii="Traditional Arabic" w:eastAsia="Calibri" w:hint="cs"/>
          <w:color w:val="auto"/>
          <w:sz w:val="32"/>
          <w:szCs w:val="32"/>
          <w:rtl/>
        </w:rPr>
        <w:t xml:space="preserve">لأنه أباح الانتفاع بشعر الخنزير. </w:t>
      </w:r>
      <w:r w:rsidR="00621374">
        <w:rPr>
          <w:rFonts w:ascii="Traditional Arabic" w:eastAsia="Calibri" w:hint="cs"/>
          <w:color w:val="auto"/>
          <w:sz w:val="32"/>
          <w:szCs w:val="32"/>
          <w:rtl/>
        </w:rPr>
        <w:t>ينظر:</w:t>
      </w:r>
      <w:r w:rsidRPr="00C051BA">
        <w:rPr>
          <w:rFonts w:ascii="Traditional Arabic" w:eastAsia="Calibri" w:hint="cs"/>
          <w:color w:val="auto"/>
          <w:sz w:val="32"/>
          <w:szCs w:val="32"/>
          <w:rtl/>
        </w:rPr>
        <w:t>الأوسط لابن المنذر2/280, وشرح السنة8/29,</w:t>
      </w:r>
      <w:r w:rsidR="005A6BFC" w:rsidRPr="00C051BA">
        <w:rPr>
          <w:rFonts w:ascii="Traditional Arabic" w:eastAsia="Calibri" w:hint="cs"/>
          <w:color w:val="auto"/>
          <w:sz w:val="32"/>
          <w:szCs w:val="32"/>
          <w:rtl/>
        </w:rPr>
        <w:t xml:space="preserve"> </w:t>
      </w:r>
      <w:r w:rsidR="002925D9" w:rsidRPr="00C051BA">
        <w:rPr>
          <w:rFonts w:ascii="Traditional Arabic" w:eastAsia="Calibri" w:hint="cs"/>
          <w:color w:val="auto"/>
          <w:sz w:val="32"/>
          <w:szCs w:val="32"/>
          <w:rtl/>
        </w:rPr>
        <w:t>ومعالم السنن3/133.</w:t>
      </w:r>
    </w:p>
  </w:footnote>
  <w:footnote w:id="16">
    <w:p w:rsidR="000943B1" w:rsidRPr="00C051BA" w:rsidRDefault="000943B1"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007A10BD" w:rsidRPr="00C051BA">
        <w:rPr>
          <w:rFonts w:hint="cs"/>
          <w:color w:val="auto"/>
          <w:sz w:val="32"/>
          <w:szCs w:val="32"/>
          <w:rtl/>
        </w:rPr>
        <w:t xml:space="preserve"> إذ قال بطهارة شعره.</w:t>
      </w:r>
      <w:r w:rsidRPr="00C051BA">
        <w:rPr>
          <w:rFonts w:ascii="Traditional Arabic" w:eastAsia="Calibri" w:hint="cs"/>
          <w:color w:val="auto"/>
          <w:sz w:val="32"/>
          <w:szCs w:val="32"/>
          <w:rtl/>
        </w:rPr>
        <w:t xml:space="preserve"> </w:t>
      </w:r>
      <w:r w:rsidR="00393C31" w:rsidRPr="00C051BA">
        <w:rPr>
          <w:rFonts w:ascii="Traditional Arabic" w:eastAsia="Calibri" w:hint="cs"/>
          <w:color w:val="auto"/>
          <w:sz w:val="32"/>
          <w:szCs w:val="32"/>
          <w:rtl/>
        </w:rPr>
        <w:t>ينظر</w:t>
      </w:r>
      <w:r w:rsidR="00621374">
        <w:rPr>
          <w:rFonts w:ascii="Traditional Arabic" w:eastAsia="Calibri" w:hint="cs"/>
          <w:color w:val="auto"/>
          <w:sz w:val="32"/>
          <w:szCs w:val="32"/>
          <w:rtl/>
        </w:rPr>
        <w:t>: مجموع فتاوى ابن تيمية</w:t>
      </w:r>
      <w:r w:rsidR="008C395A" w:rsidRPr="00C051BA">
        <w:rPr>
          <w:rFonts w:ascii="Traditional Arabic" w:eastAsia="Calibri" w:hint="cs"/>
          <w:color w:val="auto"/>
          <w:sz w:val="32"/>
          <w:szCs w:val="32"/>
          <w:rtl/>
        </w:rPr>
        <w:t>21/38.</w:t>
      </w:r>
    </w:p>
  </w:footnote>
  <w:footnote w:id="17">
    <w:p w:rsidR="00C84AAA" w:rsidRPr="00C051BA" w:rsidRDefault="00C84AAA"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سورة الأنعام</w:t>
      </w:r>
      <w:r w:rsidRPr="00C051BA">
        <w:rPr>
          <w:rFonts w:ascii="Arial" w:hAnsi="Arial"/>
          <w:color w:val="auto"/>
          <w:sz w:val="32"/>
          <w:szCs w:val="32"/>
          <w:rtl/>
          <w:lang w:eastAsia="en-US"/>
        </w:rPr>
        <w:t>:</w:t>
      </w:r>
      <w:r w:rsidRPr="00C051BA">
        <w:rPr>
          <w:rFonts w:ascii="Arial" w:hAnsi="Arial" w:hint="cs"/>
          <w:color w:val="auto"/>
          <w:sz w:val="32"/>
          <w:szCs w:val="32"/>
          <w:rtl/>
          <w:lang w:eastAsia="en-US"/>
        </w:rPr>
        <w:t>[</w:t>
      </w:r>
      <w:r w:rsidRPr="00C051BA">
        <w:rPr>
          <w:rFonts w:ascii="Arial" w:hAnsi="Arial"/>
          <w:color w:val="auto"/>
          <w:sz w:val="32"/>
          <w:szCs w:val="32"/>
          <w:rtl/>
          <w:lang w:eastAsia="en-US"/>
        </w:rPr>
        <w:t>١٤٥</w:t>
      </w:r>
      <w:r w:rsidRPr="00C051BA">
        <w:rPr>
          <w:rFonts w:ascii="Arial" w:hAnsi="Arial" w:hint="cs"/>
          <w:color w:val="auto"/>
          <w:sz w:val="32"/>
          <w:szCs w:val="32"/>
          <w:rtl/>
          <w:lang w:eastAsia="en-US"/>
        </w:rPr>
        <w:t>].</w:t>
      </w:r>
      <w:r w:rsidRPr="00C051BA">
        <w:rPr>
          <w:rFonts w:ascii="Arial" w:hAnsi="Arial"/>
          <w:color w:val="auto"/>
          <w:sz w:val="32"/>
          <w:szCs w:val="32"/>
          <w:lang w:eastAsia="en-US"/>
        </w:rPr>
        <w:t xml:space="preserve"> </w:t>
      </w:r>
      <w:r w:rsidRPr="00C051BA">
        <w:rPr>
          <w:rFonts w:hint="cs"/>
          <w:color w:val="auto"/>
          <w:sz w:val="32"/>
          <w:szCs w:val="32"/>
          <w:rtl/>
        </w:rPr>
        <w:t xml:space="preserve"> </w:t>
      </w:r>
    </w:p>
  </w:footnote>
  <w:footnote w:id="18">
    <w:p w:rsidR="00C84AAA" w:rsidRPr="00C051BA" w:rsidRDefault="00C84AAA"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ينظر:</w:t>
      </w:r>
      <w:r w:rsidR="005A6BFC" w:rsidRPr="00C051BA">
        <w:rPr>
          <w:rFonts w:hint="cs"/>
          <w:color w:val="auto"/>
          <w:sz w:val="32"/>
          <w:szCs w:val="32"/>
          <w:rtl/>
        </w:rPr>
        <w:t xml:space="preserve"> أحكام القرآن للجصاص</w:t>
      </w:r>
      <w:r w:rsidR="00E558D9" w:rsidRPr="00C051BA">
        <w:rPr>
          <w:rFonts w:hint="cs"/>
          <w:color w:val="auto"/>
          <w:sz w:val="32"/>
          <w:szCs w:val="32"/>
          <w:rtl/>
        </w:rPr>
        <w:t>1/153, والحاوي الكبير1/174.</w:t>
      </w:r>
    </w:p>
  </w:footnote>
  <w:footnote w:id="19">
    <w:p w:rsidR="00C84AAA" w:rsidRPr="00C051BA" w:rsidRDefault="00C84AAA"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ينظر: </w:t>
      </w:r>
      <w:r w:rsidRPr="00C051BA">
        <w:rPr>
          <w:rFonts w:ascii="Traditional Arabic" w:hint="cs"/>
          <w:color w:val="auto"/>
          <w:sz w:val="32"/>
          <w:szCs w:val="32"/>
          <w:rtl/>
          <w:lang w:eastAsia="en-US"/>
        </w:rPr>
        <w:t>الحاوي الكبير1/274.</w:t>
      </w:r>
    </w:p>
  </w:footnote>
  <w:footnote w:id="20">
    <w:p w:rsidR="00C84AAA" w:rsidRPr="00C051BA" w:rsidRDefault="00C84AAA"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001E6D13" w:rsidRPr="00C051BA">
        <w:rPr>
          <w:rFonts w:hint="cs"/>
          <w:color w:val="auto"/>
          <w:sz w:val="32"/>
          <w:szCs w:val="32"/>
          <w:rtl/>
        </w:rPr>
        <w:t xml:space="preserve"> </w:t>
      </w:r>
      <w:r w:rsidRPr="00C051BA">
        <w:rPr>
          <w:rFonts w:hint="cs"/>
          <w:color w:val="auto"/>
          <w:sz w:val="32"/>
          <w:szCs w:val="32"/>
          <w:rtl/>
        </w:rPr>
        <w:t>ينظر</w:t>
      </w:r>
      <w:r w:rsidR="00393C31" w:rsidRPr="00C051BA">
        <w:rPr>
          <w:rFonts w:hint="cs"/>
          <w:color w:val="auto"/>
          <w:sz w:val="32"/>
          <w:szCs w:val="32"/>
          <w:rtl/>
        </w:rPr>
        <w:t>:</w:t>
      </w:r>
      <w:r w:rsidRPr="00C051BA">
        <w:rPr>
          <w:rFonts w:hint="cs"/>
          <w:color w:val="auto"/>
          <w:sz w:val="32"/>
          <w:szCs w:val="32"/>
          <w:rtl/>
        </w:rPr>
        <w:t xml:space="preserve"> مجموع فتاوى21/617.</w:t>
      </w:r>
      <w:r w:rsidR="00621374" w:rsidRPr="00621374">
        <w:rPr>
          <w:rFonts w:hint="cs"/>
          <w:color w:val="auto"/>
          <w:sz w:val="32"/>
          <w:szCs w:val="32"/>
          <w:rtl/>
        </w:rPr>
        <w:t xml:space="preserve"> </w:t>
      </w:r>
      <w:r w:rsidR="00621374" w:rsidRPr="00C051BA">
        <w:rPr>
          <w:rFonts w:hint="cs"/>
          <w:color w:val="auto"/>
          <w:sz w:val="32"/>
          <w:szCs w:val="32"/>
          <w:rtl/>
        </w:rPr>
        <w:t>بتصرف</w:t>
      </w:r>
      <w:r w:rsidR="00621374">
        <w:rPr>
          <w:rFonts w:ascii="Traditional Arabic" w:eastAsia="Calibri" w:hint="cs"/>
          <w:color w:val="auto"/>
          <w:sz w:val="32"/>
          <w:szCs w:val="32"/>
          <w:rtl/>
        </w:rPr>
        <w:t>.</w:t>
      </w:r>
    </w:p>
  </w:footnote>
  <w:footnote w:id="21">
    <w:p w:rsidR="00C84AAA" w:rsidRPr="00C051BA" w:rsidRDefault="00C84AAA"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ينظر</w:t>
      </w:r>
      <w:r w:rsidR="00393C31" w:rsidRPr="00C051BA">
        <w:rPr>
          <w:rFonts w:ascii="Traditional Arabic" w:eastAsia="Calibri" w:hint="cs"/>
          <w:color w:val="auto"/>
          <w:sz w:val="32"/>
          <w:szCs w:val="32"/>
          <w:rtl/>
        </w:rPr>
        <w:t>:</w:t>
      </w:r>
      <w:r w:rsidRPr="00C051BA">
        <w:rPr>
          <w:rFonts w:hint="cs"/>
          <w:color w:val="auto"/>
          <w:sz w:val="32"/>
          <w:szCs w:val="32"/>
          <w:rtl/>
        </w:rPr>
        <w:t xml:space="preserve"> مجموع فتاوى ابن تيمية21/618.</w:t>
      </w:r>
    </w:p>
  </w:footnote>
  <w:footnote w:id="22">
    <w:p w:rsidR="00196DA2" w:rsidRPr="00C051BA" w:rsidRDefault="00196DA2" w:rsidP="000F55C2">
      <w:pPr>
        <w:autoSpaceDE w:val="0"/>
        <w:autoSpaceDN w:val="0"/>
        <w:adjustRightInd w:val="0"/>
        <w:ind w:left="423" w:hanging="425"/>
        <w:jc w:val="lowKashida"/>
        <w:rPr>
          <w:rFonts w:ascii="Traditional Arabic" w:eastAsia="Calibri"/>
          <w:color w:val="auto"/>
          <w:sz w:val="32"/>
          <w:szCs w:val="32"/>
          <w:rtl/>
        </w:rPr>
      </w:pPr>
      <w:r w:rsidRPr="00C051BA">
        <w:rPr>
          <w:rFonts w:hint="cs"/>
          <w:color w:val="auto"/>
          <w:sz w:val="32"/>
          <w:szCs w:val="32"/>
          <w:rtl/>
        </w:rPr>
        <w:t>(</w:t>
      </w:r>
      <w:r w:rsidRPr="00C051BA">
        <w:rPr>
          <w:color w:val="auto"/>
          <w:sz w:val="32"/>
          <w:szCs w:val="32"/>
          <w:rtl/>
        </w:rPr>
        <w:footnoteRef/>
      </w:r>
      <w:r w:rsidRPr="00C051BA">
        <w:rPr>
          <w:rFonts w:hint="cs"/>
          <w:color w:val="auto"/>
          <w:sz w:val="32"/>
          <w:szCs w:val="32"/>
          <w:rtl/>
        </w:rPr>
        <w:t>)</w:t>
      </w:r>
      <w:r w:rsidRPr="00C051BA">
        <w:rPr>
          <w:rFonts w:ascii="Traditional Arabic" w:eastAsia="Calibri" w:hint="cs"/>
          <w:color w:val="auto"/>
          <w:sz w:val="32"/>
          <w:szCs w:val="32"/>
          <w:rtl/>
        </w:rPr>
        <w:t xml:space="preserve"> ينظر: تفسير الرازي مفاتيح الغيب5/22.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D16B3955337C401C91C0385F56C59EB0"/>
      </w:placeholder>
      <w:dataBinding w:prefixMappings="xmlns:ns0='http://schemas.openxmlformats.org/package/2006/metadata/core-properties' xmlns:ns1='http://purl.org/dc/elements/1.1/'" w:xpath="/ns0:coreProperties[1]/ns1:title[1]" w:storeItemID="{6C3C8BC8-F283-45AE-878A-BAB7291924A1}"/>
      <w:text/>
    </w:sdtPr>
    <w:sdtContent>
      <w:p w:rsidR="00253FDE" w:rsidRPr="000F55C2" w:rsidRDefault="000F55C2" w:rsidP="000F55C2">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0F55C2">
          <w:rPr>
            <w:rFonts w:asciiTheme="majorHAnsi" w:eastAsiaTheme="majorEastAsia" w:hAnsiTheme="majorHAnsi" w:cs="mohammad bold art 1" w:hint="cs"/>
            <w:sz w:val="24"/>
            <w:szCs w:val="24"/>
            <w:rtl/>
          </w:rPr>
          <w:t>المطلب الأول: استعمال الأبراش[الفرشاة]</w:t>
        </w:r>
        <w:r>
          <w:rPr>
            <w:rFonts w:asciiTheme="majorHAnsi" w:eastAsiaTheme="majorEastAsia" w:hAnsiTheme="majorHAnsi" w:cs="mohammad bold art 1" w:hint="cs"/>
            <w:sz w:val="24"/>
            <w:szCs w:val="24"/>
            <w:rtl/>
          </w:rPr>
          <w:t xml:space="preserve"> </w:t>
        </w:r>
        <w:r w:rsidRPr="000F55C2">
          <w:rPr>
            <w:rFonts w:asciiTheme="majorHAnsi" w:eastAsiaTheme="majorEastAsia" w:hAnsiTheme="majorHAnsi" w:cs="mohammad bold art 1" w:hint="cs"/>
            <w:sz w:val="24"/>
            <w:szCs w:val="24"/>
            <w:rtl/>
          </w:rPr>
          <w:t>في تفريش الأسنان</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7650">
      <o:colormenu v:ext="edit" fillcolor="none"/>
    </o:shapedefaults>
    <o:shapelayout v:ext="edit">
      <o:idmap v:ext="edit" data="26"/>
    </o:shapelayout>
  </w:hdrShapeDefaults>
  <w:footnotePr>
    <w:numRestart w:val="eachPage"/>
    <w:footnote w:id="0"/>
    <w:footnote w:id="1"/>
  </w:footnotePr>
  <w:endnotePr>
    <w:endnote w:id="0"/>
    <w:endnote w:id="1"/>
  </w:endnotePr>
  <w:compat/>
  <w:rsids>
    <w:rsidRoot w:val="00F26BBE"/>
    <w:rsid w:val="00001159"/>
    <w:rsid w:val="000053A0"/>
    <w:rsid w:val="000213BC"/>
    <w:rsid w:val="00043E85"/>
    <w:rsid w:val="00051AF1"/>
    <w:rsid w:val="00075B92"/>
    <w:rsid w:val="000762B5"/>
    <w:rsid w:val="00086324"/>
    <w:rsid w:val="000943B1"/>
    <w:rsid w:val="0009640F"/>
    <w:rsid w:val="000B5263"/>
    <w:rsid w:val="000C264C"/>
    <w:rsid w:val="000D7EEC"/>
    <w:rsid w:val="000E29AA"/>
    <w:rsid w:val="000E4B36"/>
    <w:rsid w:val="000F55C2"/>
    <w:rsid w:val="000F66E4"/>
    <w:rsid w:val="000F6766"/>
    <w:rsid w:val="000F79E4"/>
    <w:rsid w:val="0011457C"/>
    <w:rsid w:val="00131539"/>
    <w:rsid w:val="00152D8F"/>
    <w:rsid w:val="001565A6"/>
    <w:rsid w:val="001948E0"/>
    <w:rsid w:val="00196DA2"/>
    <w:rsid w:val="001A6DEF"/>
    <w:rsid w:val="001B3220"/>
    <w:rsid w:val="001C0ABE"/>
    <w:rsid w:val="001D1994"/>
    <w:rsid w:val="001E6D13"/>
    <w:rsid w:val="00201FCE"/>
    <w:rsid w:val="00211079"/>
    <w:rsid w:val="0022171C"/>
    <w:rsid w:val="00221746"/>
    <w:rsid w:val="00226932"/>
    <w:rsid w:val="00230F60"/>
    <w:rsid w:val="00247F6A"/>
    <w:rsid w:val="0025060A"/>
    <w:rsid w:val="00253FDE"/>
    <w:rsid w:val="0025748D"/>
    <w:rsid w:val="00263732"/>
    <w:rsid w:val="0027453C"/>
    <w:rsid w:val="002925D9"/>
    <w:rsid w:val="002A089A"/>
    <w:rsid w:val="002B379E"/>
    <w:rsid w:val="002B5D5A"/>
    <w:rsid w:val="002C46BD"/>
    <w:rsid w:val="002D4AC5"/>
    <w:rsid w:val="00305526"/>
    <w:rsid w:val="00307A8A"/>
    <w:rsid w:val="003230E6"/>
    <w:rsid w:val="00336EC0"/>
    <w:rsid w:val="00346859"/>
    <w:rsid w:val="00357D6C"/>
    <w:rsid w:val="00387887"/>
    <w:rsid w:val="00393C31"/>
    <w:rsid w:val="003B7E2D"/>
    <w:rsid w:val="003D4B06"/>
    <w:rsid w:val="003D7B61"/>
    <w:rsid w:val="004026D7"/>
    <w:rsid w:val="00434EB4"/>
    <w:rsid w:val="004445F8"/>
    <w:rsid w:val="00464558"/>
    <w:rsid w:val="004B467F"/>
    <w:rsid w:val="004D7B7A"/>
    <w:rsid w:val="004E4538"/>
    <w:rsid w:val="004F4EF0"/>
    <w:rsid w:val="00520B72"/>
    <w:rsid w:val="00533A0E"/>
    <w:rsid w:val="00542AD4"/>
    <w:rsid w:val="00544868"/>
    <w:rsid w:val="005A314E"/>
    <w:rsid w:val="005A6BFC"/>
    <w:rsid w:val="005B58B3"/>
    <w:rsid w:val="005C7D9D"/>
    <w:rsid w:val="005E3604"/>
    <w:rsid w:val="005E75DA"/>
    <w:rsid w:val="005E7F35"/>
    <w:rsid w:val="005F6BC0"/>
    <w:rsid w:val="006052CE"/>
    <w:rsid w:val="00612AFD"/>
    <w:rsid w:val="00612CFC"/>
    <w:rsid w:val="00621374"/>
    <w:rsid w:val="006335F4"/>
    <w:rsid w:val="00642952"/>
    <w:rsid w:val="00666AD7"/>
    <w:rsid w:val="0068596A"/>
    <w:rsid w:val="00685BC9"/>
    <w:rsid w:val="00686D9C"/>
    <w:rsid w:val="00691EB2"/>
    <w:rsid w:val="006A53EF"/>
    <w:rsid w:val="006E6B72"/>
    <w:rsid w:val="006E6BA2"/>
    <w:rsid w:val="006E7D58"/>
    <w:rsid w:val="006F2A21"/>
    <w:rsid w:val="006F4CA7"/>
    <w:rsid w:val="00722C1C"/>
    <w:rsid w:val="00732EEE"/>
    <w:rsid w:val="0074398E"/>
    <w:rsid w:val="00764532"/>
    <w:rsid w:val="00777673"/>
    <w:rsid w:val="00780D8E"/>
    <w:rsid w:val="007979AB"/>
    <w:rsid w:val="007A10BD"/>
    <w:rsid w:val="007B2466"/>
    <w:rsid w:val="007B5D2B"/>
    <w:rsid w:val="007C4C90"/>
    <w:rsid w:val="007D7CA1"/>
    <w:rsid w:val="007E3F36"/>
    <w:rsid w:val="00804A97"/>
    <w:rsid w:val="008055ED"/>
    <w:rsid w:val="00812F68"/>
    <w:rsid w:val="00834EEF"/>
    <w:rsid w:val="008452E1"/>
    <w:rsid w:val="00875E98"/>
    <w:rsid w:val="00882413"/>
    <w:rsid w:val="008851C3"/>
    <w:rsid w:val="00894195"/>
    <w:rsid w:val="008A0B93"/>
    <w:rsid w:val="008A6A0F"/>
    <w:rsid w:val="008B0305"/>
    <w:rsid w:val="008B6AA4"/>
    <w:rsid w:val="008B7B60"/>
    <w:rsid w:val="008C19C4"/>
    <w:rsid w:val="008C395A"/>
    <w:rsid w:val="008C67BF"/>
    <w:rsid w:val="00902512"/>
    <w:rsid w:val="00951649"/>
    <w:rsid w:val="00956A6E"/>
    <w:rsid w:val="00991E40"/>
    <w:rsid w:val="009A7ACE"/>
    <w:rsid w:val="009B682D"/>
    <w:rsid w:val="009B7238"/>
    <w:rsid w:val="009C5196"/>
    <w:rsid w:val="009C57F3"/>
    <w:rsid w:val="009F02AA"/>
    <w:rsid w:val="00A20F7B"/>
    <w:rsid w:val="00A4003A"/>
    <w:rsid w:val="00A44C74"/>
    <w:rsid w:val="00A57893"/>
    <w:rsid w:val="00AB57B9"/>
    <w:rsid w:val="00AD7C76"/>
    <w:rsid w:val="00AF4CA2"/>
    <w:rsid w:val="00B105D6"/>
    <w:rsid w:val="00B20304"/>
    <w:rsid w:val="00B253B3"/>
    <w:rsid w:val="00B36D5D"/>
    <w:rsid w:val="00B432B8"/>
    <w:rsid w:val="00B60DA3"/>
    <w:rsid w:val="00B63980"/>
    <w:rsid w:val="00B74A08"/>
    <w:rsid w:val="00B77049"/>
    <w:rsid w:val="00B90D13"/>
    <w:rsid w:val="00B9106D"/>
    <w:rsid w:val="00B947AA"/>
    <w:rsid w:val="00BA1672"/>
    <w:rsid w:val="00BA330A"/>
    <w:rsid w:val="00BC3A71"/>
    <w:rsid w:val="00BD3875"/>
    <w:rsid w:val="00C0236F"/>
    <w:rsid w:val="00C051BA"/>
    <w:rsid w:val="00C126BD"/>
    <w:rsid w:val="00C45E33"/>
    <w:rsid w:val="00C5563F"/>
    <w:rsid w:val="00C75301"/>
    <w:rsid w:val="00C778D7"/>
    <w:rsid w:val="00C83CE5"/>
    <w:rsid w:val="00C84AAA"/>
    <w:rsid w:val="00C87FA4"/>
    <w:rsid w:val="00CB250E"/>
    <w:rsid w:val="00CD2BC1"/>
    <w:rsid w:val="00CD4172"/>
    <w:rsid w:val="00CD45E6"/>
    <w:rsid w:val="00CF0091"/>
    <w:rsid w:val="00D13997"/>
    <w:rsid w:val="00D30F24"/>
    <w:rsid w:val="00D3483B"/>
    <w:rsid w:val="00D404E6"/>
    <w:rsid w:val="00D41AEE"/>
    <w:rsid w:val="00D513EA"/>
    <w:rsid w:val="00D75BF1"/>
    <w:rsid w:val="00D772DB"/>
    <w:rsid w:val="00D9207A"/>
    <w:rsid w:val="00DB402D"/>
    <w:rsid w:val="00DC2F53"/>
    <w:rsid w:val="00DC6DA0"/>
    <w:rsid w:val="00DE0E4D"/>
    <w:rsid w:val="00DE182B"/>
    <w:rsid w:val="00DE5241"/>
    <w:rsid w:val="00DF5D14"/>
    <w:rsid w:val="00E1060A"/>
    <w:rsid w:val="00E11D81"/>
    <w:rsid w:val="00E143F7"/>
    <w:rsid w:val="00E30438"/>
    <w:rsid w:val="00E333A7"/>
    <w:rsid w:val="00E337A9"/>
    <w:rsid w:val="00E35264"/>
    <w:rsid w:val="00E40ACF"/>
    <w:rsid w:val="00E5333F"/>
    <w:rsid w:val="00E558D9"/>
    <w:rsid w:val="00E617EF"/>
    <w:rsid w:val="00E66E79"/>
    <w:rsid w:val="00E70533"/>
    <w:rsid w:val="00E706D4"/>
    <w:rsid w:val="00EA74C7"/>
    <w:rsid w:val="00EB20D6"/>
    <w:rsid w:val="00EB4B50"/>
    <w:rsid w:val="00ED6969"/>
    <w:rsid w:val="00ED7F63"/>
    <w:rsid w:val="00EE0FE9"/>
    <w:rsid w:val="00EF008B"/>
    <w:rsid w:val="00EF093F"/>
    <w:rsid w:val="00F1544A"/>
    <w:rsid w:val="00F17011"/>
    <w:rsid w:val="00F26BBE"/>
    <w:rsid w:val="00F418CF"/>
    <w:rsid w:val="00F571A3"/>
    <w:rsid w:val="00F70AF8"/>
    <w:rsid w:val="00F846F9"/>
    <w:rsid w:val="00F939EE"/>
    <w:rsid w:val="00F96A7B"/>
    <w:rsid w:val="00F97628"/>
    <w:rsid w:val="00FA119D"/>
    <w:rsid w:val="00FA4E9C"/>
    <w:rsid w:val="00FB1443"/>
    <w:rsid w:val="00FB4110"/>
    <w:rsid w:val="00FC30AF"/>
    <w:rsid w:val="00FF07EB"/>
    <w:rsid w:val="00FF36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footer"/>
    <w:basedOn w:val="a"/>
    <w:link w:val="Char0"/>
    <w:uiPriority w:val="99"/>
    <w:rsid w:val="00387887"/>
    <w:pPr>
      <w:tabs>
        <w:tab w:val="center" w:pos="4153"/>
        <w:tab w:val="right" w:pos="8306"/>
      </w:tabs>
    </w:pPr>
  </w:style>
  <w:style w:type="character" w:customStyle="1" w:styleId="Char0">
    <w:name w:val="تذييل صفحة Char"/>
    <w:basedOn w:val="a0"/>
    <w:link w:val="afc"/>
    <w:uiPriority w:val="99"/>
    <w:rsid w:val="00387887"/>
    <w:rPr>
      <w:rFonts w:cs="Traditional Arabic"/>
      <w:color w:val="000000"/>
      <w:sz w:val="36"/>
      <w:szCs w:val="36"/>
      <w:lang w:eastAsia="ar-SA"/>
    </w:rPr>
  </w:style>
  <w:style w:type="character" w:customStyle="1" w:styleId="Char">
    <w:name w:val="رأس صفحة Char"/>
    <w:basedOn w:val="a0"/>
    <w:link w:val="a8"/>
    <w:uiPriority w:val="99"/>
    <w:rsid w:val="00253FDE"/>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16B3955337C401C91C0385F56C59EB0"/>
        <w:category>
          <w:name w:val="عام"/>
          <w:gallery w:val="placeholder"/>
        </w:category>
        <w:types>
          <w:type w:val="bbPlcHdr"/>
        </w:types>
        <w:behaviors>
          <w:behavior w:val="content"/>
        </w:behaviors>
        <w:guid w:val="{2CD04E5C-B4D0-4926-BCB6-9AD230A2C238}"/>
      </w:docPartPr>
      <w:docPartBody>
        <w:p w:rsidR="00E975F3" w:rsidRDefault="00812042" w:rsidP="00812042">
          <w:pPr>
            <w:pStyle w:val="D16B3955337C401C91C0385F56C59EB0"/>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D64C8"/>
    <w:rsid w:val="00476C51"/>
    <w:rsid w:val="00812042"/>
    <w:rsid w:val="00872391"/>
    <w:rsid w:val="00AB3BBB"/>
    <w:rsid w:val="00AD64C8"/>
    <w:rsid w:val="00CD61E5"/>
    <w:rsid w:val="00CF6E36"/>
    <w:rsid w:val="00E975F3"/>
    <w:rsid w:val="00F770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1E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66052741DF242CCAD8765E0FC7197EB">
    <w:name w:val="166052741DF242CCAD8765E0FC7197EB"/>
    <w:rsid w:val="00AD64C8"/>
    <w:pPr>
      <w:bidi/>
    </w:pPr>
  </w:style>
  <w:style w:type="paragraph" w:customStyle="1" w:styleId="D16B3955337C401C91C0385F56C59EB0">
    <w:name w:val="D16B3955337C401C91C0385F56C59EB0"/>
    <w:rsid w:val="0081204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D5B9D-BE7A-4984-9629-35A9922B8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373</Words>
  <Characters>2131</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الأول: استعمال الأبراش[الفرشاة] في تفريش الأسنان</dc:title>
  <dc:subject/>
  <dc:creator>Almutamaiz</dc:creator>
  <cp:keywords/>
  <dc:description/>
  <cp:lastModifiedBy>Almutamaiz</cp:lastModifiedBy>
  <cp:revision>9</cp:revision>
  <dcterms:created xsi:type="dcterms:W3CDTF">2012-08-05T11:35:00Z</dcterms:created>
  <dcterms:modified xsi:type="dcterms:W3CDTF">2012-08-22T07:19:00Z</dcterms:modified>
</cp:coreProperties>
</file>