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1F2D22" w:rsidRDefault="001F2D22" w:rsidP="00302C97">
      <w:pPr>
        <w:spacing w:after="0" w:line="288" w:lineRule="auto"/>
        <w:jc w:val="center"/>
        <w:rPr>
          <w:rFonts w:cs="AL-Mateen"/>
          <w:sz w:val="36"/>
          <w:szCs w:val="36"/>
          <w:vertAlign w:val="superscript"/>
          <w:rtl/>
        </w:rPr>
      </w:pPr>
      <w:r>
        <w:rPr>
          <w:rFonts w:cs="AL-Mateen" w:hint="cs"/>
          <w:sz w:val="36"/>
          <w:szCs w:val="36"/>
          <w:rtl/>
        </w:rPr>
        <w:t>المطلب الثالث عشر</w:t>
      </w:r>
      <w:r w:rsidR="004A0364" w:rsidRPr="001F2D22">
        <w:rPr>
          <w:rFonts w:cs="AL-Mateen" w:hint="cs"/>
          <w:sz w:val="36"/>
          <w:szCs w:val="36"/>
          <w:rtl/>
        </w:rPr>
        <w:t>:</w:t>
      </w:r>
      <w:r w:rsidR="00302C97">
        <w:rPr>
          <w:rFonts w:cs="AL-Mateen" w:hint="cs"/>
          <w:sz w:val="36"/>
          <w:szCs w:val="36"/>
          <w:rtl/>
        </w:rPr>
        <w:t xml:space="preserve"> </w:t>
      </w:r>
      <w:r w:rsidR="00302C97" w:rsidRPr="00302C97">
        <w:rPr>
          <w:rFonts w:cs="AL-Mateen" w:hint="cs"/>
          <w:sz w:val="36"/>
          <w:szCs w:val="36"/>
          <w:rtl/>
        </w:rPr>
        <w:t>حكم رفع الرأس من الركوع والاعتدال</w:t>
      </w:r>
      <w:r w:rsidR="00302C97" w:rsidRPr="001F2D22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302C97" w:rsidRPr="001F2D22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2"/>
      </w:r>
      <w:r w:rsidR="00302C97" w:rsidRPr="001F2D22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302C97" w:rsidRPr="00302C97">
        <w:rPr>
          <w:rFonts w:cs="AL-Mateen" w:hint="cs"/>
          <w:sz w:val="36"/>
          <w:szCs w:val="36"/>
          <w:rtl/>
        </w:rPr>
        <w:t xml:space="preserve"> فيه</w:t>
      </w:r>
      <w:r w:rsidR="00302C97" w:rsidRPr="001F2D22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302C97" w:rsidRPr="001F2D22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3"/>
      </w:r>
      <w:r w:rsidR="00302C97" w:rsidRPr="001F2D22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302C97">
        <w:rPr>
          <w:rFonts w:cs="AL-Mateen" w:hint="cs"/>
          <w:sz w:val="36"/>
          <w:szCs w:val="36"/>
          <w:rtl/>
        </w:rPr>
        <w:t>.</w:t>
      </w:r>
    </w:p>
    <w:p w:rsidR="004A0364" w:rsidRPr="001F2D22" w:rsidRDefault="004A0364" w:rsidP="00C82CAE">
      <w:pPr>
        <w:spacing w:after="0" w:line="235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>اختار</w:t>
      </w:r>
      <w:r w:rsidR="005F023D"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المباركفوري رحمه الله تعالى</w:t>
      </w:r>
      <w:r w:rsidR="001613BA"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="005F023D" w:rsidRPr="001F2D22">
        <w:rPr>
          <w:rFonts w:ascii="Lotus Linotype" w:hAnsi="Lotus Linotype" w:cs="Lotus Linotype"/>
          <w:b/>
          <w:bCs/>
          <w:sz w:val="36"/>
          <w:szCs w:val="36"/>
          <w:rtl/>
        </w:rPr>
        <w:t>أن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="001613BA" w:rsidRPr="001F2D22">
        <w:rPr>
          <w:rFonts w:ascii="Lotus Linotype" w:hAnsi="Lotus Linotype" w:cs="Lotus Linotype"/>
          <w:b/>
          <w:bCs/>
          <w:sz w:val="36"/>
          <w:szCs w:val="36"/>
          <w:rtl/>
        </w:rPr>
        <w:t>رفع الرأس م</w:t>
      </w:r>
      <w:r w:rsidR="00A43D5C" w:rsidRPr="001F2D22">
        <w:rPr>
          <w:rFonts w:ascii="Lotus Linotype" w:hAnsi="Lotus Linotype" w:cs="Lotus Linotype"/>
          <w:b/>
          <w:bCs/>
          <w:sz w:val="36"/>
          <w:szCs w:val="36"/>
          <w:rtl/>
        </w:rPr>
        <w:t>ن</w:t>
      </w:r>
      <w:r w:rsidR="001613BA"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الركوع والاعتدال فيه ركن من أركان الصلاة حيث قال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رحمه لله ب</w:t>
      </w:r>
      <w:r w:rsidR="001613BA" w:rsidRPr="001F2D22">
        <w:rPr>
          <w:rFonts w:ascii="Lotus Linotype" w:hAnsi="Lotus Linotype" w:cs="Lotus Linotype"/>
          <w:b/>
          <w:bCs/>
          <w:sz w:val="36"/>
          <w:szCs w:val="36"/>
          <w:rtl/>
        </w:rPr>
        <w:t>عد أن ذكر عدة روايات في المسألة</w:t>
      </w:r>
      <w:r w:rsidR="00E102A7" w:rsidRPr="001F2D22">
        <w:rPr>
          <w:rFonts w:ascii="Lotus Linotype" w:hAnsi="Lotus Linotype" w:cs="Lotus Linotype"/>
          <w:b/>
          <w:bCs/>
          <w:sz w:val="36"/>
          <w:szCs w:val="36"/>
          <w:rtl/>
        </w:rPr>
        <w:t>:</w:t>
      </w:r>
      <w:r w:rsidR="00DE372E" w:rsidRPr="001F2D22">
        <w:rPr>
          <w:rFonts w:ascii="Lotus Linotype" w:hAnsi="Lotus Linotype" w:cs="Lotus Linotype"/>
          <w:b/>
          <w:bCs/>
          <w:sz w:val="36"/>
          <w:szCs w:val="36"/>
          <w:rtl/>
        </w:rPr>
        <w:t>"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>وهذه الروايات تدل على إفتراض رفع الرأس من الركوع</w:t>
      </w:r>
      <w:r w:rsidR="001F2D22">
        <w:rPr>
          <w:rFonts w:ascii="Lotus Linotype" w:hAnsi="Lotus Linotype" w:cs="Lotus Linotype" w:hint="cs"/>
          <w:b/>
          <w:bCs/>
          <w:sz w:val="36"/>
          <w:szCs w:val="36"/>
          <w:rtl/>
        </w:rPr>
        <w:t>,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وعلى افتراض الاستواء أي الاعتدال في الرفع</w:t>
      </w:r>
      <w:r w:rsidR="001F2D22">
        <w:rPr>
          <w:rFonts w:ascii="Lotus Linotype" w:hAnsi="Lotus Linotype" w:cs="Lotus Linotype" w:hint="cs"/>
          <w:b/>
          <w:bCs/>
          <w:sz w:val="36"/>
          <w:szCs w:val="36"/>
          <w:rtl/>
        </w:rPr>
        <w:t>,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وع</w:t>
      </w:r>
      <w:r w:rsidR="001F2D22">
        <w:rPr>
          <w:rFonts w:ascii="Lotus Linotype" w:hAnsi="Lotus Linotype" w:cs="Lotus Linotype"/>
          <w:b/>
          <w:bCs/>
          <w:sz w:val="36"/>
          <w:szCs w:val="36"/>
          <w:rtl/>
        </w:rPr>
        <w:t>لى افتراض الاطمينان في القومة أ</w:t>
      </w:r>
      <w:r w:rsidR="001F2D22">
        <w:rPr>
          <w:rFonts w:ascii="Lotus Linotype" w:hAnsi="Lotus Linotype" w:cs="Lotus Linotype" w:hint="cs"/>
          <w:b/>
          <w:bCs/>
          <w:sz w:val="36"/>
          <w:szCs w:val="36"/>
          <w:rtl/>
        </w:rPr>
        <w:t>ي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عند الاعتدال من الركوع</w:t>
      </w:r>
      <w:r w:rsidR="00E102A7" w:rsidRPr="001F2D22">
        <w:rPr>
          <w:rFonts w:ascii="Lotus Linotype" w:hAnsi="Lotus Linotype" w:cs="Lotus Linotype"/>
          <w:b/>
          <w:bCs/>
          <w:sz w:val="36"/>
          <w:szCs w:val="36"/>
          <w:rtl/>
        </w:rPr>
        <w:t>,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وإليه ذهب الشافعي</w:t>
      </w:r>
      <w:r w:rsidR="001F2D22">
        <w:rPr>
          <w:rFonts w:ascii="Lotus Linotype" w:hAnsi="Lotus Linotype" w:cs="Lotus Linotype" w:hint="cs"/>
          <w:b/>
          <w:bCs/>
          <w:sz w:val="36"/>
          <w:szCs w:val="36"/>
          <w:rtl/>
        </w:rPr>
        <w:t>, و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أبو يوسف</w:t>
      </w:r>
      <w:r w:rsidR="001F2D22">
        <w:rPr>
          <w:rFonts w:ascii="Lotus Linotype" w:hAnsi="Lotus Linotype" w:cs="Lotus Linotype" w:hint="cs"/>
          <w:b/>
          <w:bCs/>
          <w:sz w:val="36"/>
          <w:szCs w:val="36"/>
          <w:rtl/>
        </w:rPr>
        <w:t>,</w:t>
      </w:r>
      <w:r w:rsidRPr="001F2D2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وهو الصواب"</w:t>
      </w:r>
      <w:r w:rsidR="00DE372E" w:rsidRPr="001F2D22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DE372E" w:rsidRPr="001F2D22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4"/>
      </w:r>
      <w:r w:rsidR="00DE372E" w:rsidRPr="001F2D22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DE372E" w:rsidRPr="001F2D22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A07304" w:rsidRDefault="00A07304" w:rsidP="00C82CAE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FB689E">
        <w:rPr>
          <w:rFonts w:cs="Traditional Arabic" w:hint="cs"/>
          <w:sz w:val="36"/>
          <w:szCs w:val="36"/>
          <w:rtl/>
        </w:rPr>
        <w:t>اختلف العلماء رحمهم  الله تعالى في حكم رفع الرأس من</w:t>
      </w:r>
      <w:r w:rsidR="00E102A7" w:rsidRPr="00FB689E">
        <w:rPr>
          <w:rFonts w:cs="Traditional Arabic" w:hint="cs"/>
          <w:sz w:val="36"/>
          <w:szCs w:val="36"/>
          <w:rtl/>
        </w:rPr>
        <w:t xml:space="preserve"> الركوع والاعتدال فيه على قولين</w:t>
      </w:r>
      <w:r w:rsidRPr="00FB689E">
        <w:rPr>
          <w:rFonts w:cs="Traditional Arabic" w:hint="cs"/>
          <w:sz w:val="36"/>
          <w:szCs w:val="36"/>
          <w:rtl/>
        </w:rPr>
        <w:t xml:space="preserve">: </w:t>
      </w:r>
    </w:p>
    <w:p w:rsidR="00D83501" w:rsidRPr="00FB689E" w:rsidRDefault="00D83501" w:rsidP="00C82CAE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A43D5C">
        <w:rPr>
          <w:rFonts w:cs="Traditional Arabic" w:hint="cs"/>
          <w:b/>
          <w:bCs/>
          <w:sz w:val="36"/>
          <w:szCs w:val="36"/>
          <w:rtl/>
        </w:rPr>
        <w:t>القول ال</w:t>
      </w:r>
      <w:r>
        <w:rPr>
          <w:rFonts w:cs="Traditional Arabic" w:hint="cs"/>
          <w:b/>
          <w:bCs/>
          <w:sz w:val="36"/>
          <w:szCs w:val="36"/>
          <w:rtl/>
        </w:rPr>
        <w:t>أول</w:t>
      </w:r>
      <w:r w:rsidRPr="00FB689E">
        <w:rPr>
          <w:rFonts w:cs="Traditional Arabic" w:hint="cs"/>
          <w:sz w:val="36"/>
          <w:szCs w:val="36"/>
          <w:rtl/>
        </w:rPr>
        <w:t xml:space="preserve">: إن رفع الرأس من الركوع والاعتدال فيه </w:t>
      </w:r>
      <w:r>
        <w:rPr>
          <w:rFonts w:cs="Traditional Arabic" w:hint="cs"/>
          <w:sz w:val="36"/>
          <w:szCs w:val="36"/>
          <w:rtl/>
        </w:rPr>
        <w:t>ليس ب</w:t>
      </w:r>
      <w:r w:rsidRPr="00FB689E">
        <w:rPr>
          <w:rFonts w:cs="Traditional Arabic" w:hint="cs"/>
          <w:sz w:val="36"/>
          <w:szCs w:val="36"/>
          <w:rtl/>
        </w:rPr>
        <w:t>ركن من أركان الصلاة بل هو واجب تصح الصلاة بدونه, وهو المذهب عند الحنفية</w:t>
      </w:r>
      <w:r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B689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</w:t>
      </w:r>
      <w:r w:rsidRPr="00FB689E">
        <w:rPr>
          <w:rFonts w:cs="Traditional Arabic" w:hint="cs"/>
          <w:sz w:val="36"/>
          <w:szCs w:val="36"/>
          <w:rtl/>
        </w:rPr>
        <w:t xml:space="preserve"> و</w:t>
      </w:r>
      <w:r>
        <w:rPr>
          <w:rFonts w:cs="Traditional Arabic" w:hint="cs"/>
          <w:sz w:val="36"/>
          <w:szCs w:val="36"/>
          <w:rtl/>
        </w:rPr>
        <w:t xml:space="preserve">سنة في </w:t>
      </w:r>
      <w:r w:rsidRPr="00FB689E">
        <w:rPr>
          <w:rFonts w:cs="Traditional Arabic" w:hint="cs"/>
          <w:sz w:val="36"/>
          <w:szCs w:val="36"/>
          <w:rtl/>
        </w:rPr>
        <w:t>قول عند المالكية في الاعتدال</w:t>
      </w:r>
      <w:r>
        <w:rPr>
          <w:rFonts w:cs="Traditional Arabic" w:hint="cs"/>
          <w:sz w:val="36"/>
          <w:szCs w:val="36"/>
          <w:rtl/>
        </w:rPr>
        <w:t xml:space="preserve"> منه فقط</w:t>
      </w:r>
      <w:r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B689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C82CAE" w:rsidRDefault="005F023D" w:rsidP="00C82CAE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A43D5C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6F1308">
        <w:rPr>
          <w:rFonts w:cs="Traditional Arabic" w:hint="cs"/>
          <w:b/>
          <w:bCs/>
          <w:sz w:val="36"/>
          <w:szCs w:val="36"/>
          <w:rtl/>
        </w:rPr>
        <w:t>ثاني</w:t>
      </w:r>
      <w:r w:rsidRPr="00FB689E">
        <w:rPr>
          <w:rFonts w:cs="Traditional Arabic" w:hint="cs"/>
          <w:sz w:val="36"/>
          <w:szCs w:val="36"/>
          <w:rtl/>
        </w:rPr>
        <w:t xml:space="preserve">: </w:t>
      </w:r>
      <w:r w:rsidR="00A07304" w:rsidRPr="00FB689E">
        <w:rPr>
          <w:rFonts w:cs="Traditional Arabic" w:hint="cs"/>
          <w:sz w:val="36"/>
          <w:szCs w:val="36"/>
          <w:rtl/>
        </w:rPr>
        <w:t>إن رفع الرأس من الركوع والاعت</w:t>
      </w:r>
      <w:r w:rsidR="00C82CAE">
        <w:rPr>
          <w:rFonts w:cs="Traditional Arabic" w:hint="cs"/>
          <w:sz w:val="36"/>
          <w:szCs w:val="36"/>
          <w:rtl/>
        </w:rPr>
        <w:t>ـ</w:t>
      </w:r>
      <w:r w:rsidR="00A07304" w:rsidRPr="00FB689E">
        <w:rPr>
          <w:rFonts w:cs="Traditional Arabic" w:hint="cs"/>
          <w:sz w:val="36"/>
          <w:szCs w:val="36"/>
          <w:rtl/>
        </w:rPr>
        <w:t>دال فيه ركن م</w:t>
      </w:r>
      <w:r w:rsidR="00C82CAE">
        <w:rPr>
          <w:rFonts w:cs="Traditional Arabic" w:hint="cs"/>
          <w:sz w:val="36"/>
          <w:szCs w:val="36"/>
          <w:rtl/>
        </w:rPr>
        <w:t>ـ</w:t>
      </w:r>
      <w:r w:rsidR="00A07304" w:rsidRPr="00FB689E">
        <w:rPr>
          <w:rFonts w:cs="Traditional Arabic" w:hint="cs"/>
          <w:sz w:val="36"/>
          <w:szCs w:val="36"/>
          <w:rtl/>
        </w:rPr>
        <w:t>ن أ</w:t>
      </w:r>
      <w:r w:rsidR="00A43D5C">
        <w:rPr>
          <w:rFonts w:cs="Traditional Arabic" w:hint="cs"/>
          <w:sz w:val="36"/>
          <w:szCs w:val="36"/>
          <w:rtl/>
        </w:rPr>
        <w:t xml:space="preserve">ركان الصلاة لا تصح </w:t>
      </w:r>
    </w:p>
    <w:p w:rsidR="00CA05DD" w:rsidRPr="00FB689E" w:rsidRDefault="00A43D5C" w:rsidP="00A14661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lastRenderedPageBreak/>
        <w:t>الصلاة بدونه</w:t>
      </w:r>
      <w:r w:rsidR="00A07304" w:rsidRPr="00FB689E">
        <w:rPr>
          <w:rFonts w:cs="Traditional Arabic" w:hint="cs"/>
          <w:sz w:val="36"/>
          <w:szCs w:val="36"/>
          <w:rtl/>
        </w:rPr>
        <w:t xml:space="preserve">, </w:t>
      </w:r>
      <w:r w:rsidR="006D0C68">
        <w:rPr>
          <w:rFonts w:cs="Traditional Arabic" w:hint="cs"/>
          <w:sz w:val="36"/>
          <w:szCs w:val="36"/>
          <w:rtl/>
        </w:rPr>
        <w:t xml:space="preserve">وبه قال </w:t>
      </w:r>
      <w:r w:rsidR="00CA05DD" w:rsidRPr="00FB689E">
        <w:rPr>
          <w:rFonts w:cs="Traditional Arabic" w:hint="cs"/>
          <w:sz w:val="36"/>
          <w:szCs w:val="36"/>
          <w:rtl/>
        </w:rPr>
        <w:t>أبو يوسف من الحنفية</w:t>
      </w:r>
      <w:r w:rsidR="00A07609"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07609" w:rsidRPr="00FB689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A07609"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</w:t>
      </w:r>
      <w:r w:rsidR="00CA05DD" w:rsidRPr="00FB689E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و</w:t>
      </w:r>
      <w:r w:rsidR="00D242F6" w:rsidRPr="00FB689E">
        <w:rPr>
          <w:rFonts w:cs="Traditional Arabic" w:hint="cs"/>
          <w:sz w:val="36"/>
          <w:szCs w:val="36"/>
          <w:rtl/>
        </w:rPr>
        <w:t xml:space="preserve">قول عند </w:t>
      </w:r>
      <w:r w:rsidR="00CA05DD" w:rsidRPr="00FB689E">
        <w:rPr>
          <w:rFonts w:cs="Traditional Arabic" w:hint="cs"/>
          <w:sz w:val="36"/>
          <w:szCs w:val="36"/>
          <w:rtl/>
        </w:rPr>
        <w:t>المالكية</w:t>
      </w:r>
      <w:r w:rsidR="00BF2AF6"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F2AF6" w:rsidRPr="00FB689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BF2AF6"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758DC" w:rsidRPr="00FB689E">
        <w:rPr>
          <w:rFonts w:cs="Traditional Arabic" w:hint="cs"/>
          <w:sz w:val="36"/>
          <w:szCs w:val="36"/>
          <w:rtl/>
        </w:rPr>
        <w:t>,</w:t>
      </w:r>
      <w:r w:rsidR="00CA05DD" w:rsidRPr="00FB689E">
        <w:rPr>
          <w:rFonts w:cs="Traditional Arabic" w:hint="cs"/>
          <w:sz w:val="36"/>
          <w:szCs w:val="36"/>
          <w:rtl/>
        </w:rPr>
        <w:t xml:space="preserve"> و</w:t>
      </w:r>
      <w:r>
        <w:rPr>
          <w:rFonts w:cs="Traditional Arabic" w:hint="cs"/>
          <w:sz w:val="36"/>
          <w:szCs w:val="36"/>
          <w:rtl/>
        </w:rPr>
        <w:t xml:space="preserve">المذهب عند </w:t>
      </w:r>
      <w:r w:rsidR="00CA05DD" w:rsidRPr="00FB689E">
        <w:rPr>
          <w:rFonts w:cs="Traditional Arabic" w:hint="cs"/>
          <w:sz w:val="36"/>
          <w:szCs w:val="36"/>
          <w:rtl/>
        </w:rPr>
        <w:t>الشافعية</w:t>
      </w:r>
      <w:r w:rsidR="00A07609"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07609" w:rsidRPr="00FB689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A07609"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758DC" w:rsidRPr="00FB689E">
        <w:rPr>
          <w:rFonts w:cs="Traditional Arabic" w:hint="cs"/>
          <w:sz w:val="36"/>
          <w:szCs w:val="36"/>
          <w:rtl/>
        </w:rPr>
        <w:t>,</w:t>
      </w:r>
      <w:r w:rsidR="00CA05DD" w:rsidRPr="00FB689E">
        <w:rPr>
          <w:rFonts w:cs="Traditional Arabic" w:hint="cs"/>
          <w:sz w:val="36"/>
          <w:szCs w:val="36"/>
          <w:rtl/>
        </w:rPr>
        <w:t xml:space="preserve"> الحن</w:t>
      </w:r>
      <w:r w:rsidR="003758DC" w:rsidRPr="00FB689E">
        <w:rPr>
          <w:rFonts w:cs="Traditional Arabic" w:hint="cs"/>
          <w:sz w:val="36"/>
          <w:szCs w:val="36"/>
          <w:rtl/>
        </w:rPr>
        <w:t>ابلة</w:t>
      </w:r>
      <w:r w:rsidR="00A07609"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07609" w:rsidRPr="00FB689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A07609" w:rsidRPr="00FB689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40554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A07304" w:rsidRDefault="005F023D" w:rsidP="007F60BE">
      <w:pPr>
        <w:autoSpaceDE w:val="0"/>
        <w:autoSpaceDN w:val="0"/>
        <w:adjustRightInd w:val="0"/>
        <w:spacing w:after="0" w:line="230" w:lineRule="auto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A43D5C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CF18A3" w:rsidRPr="00FB689E">
        <w:rPr>
          <w:rFonts w:cs="Traditional Arabic" w:hint="cs"/>
          <w:sz w:val="36"/>
          <w:szCs w:val="36"/>
          <w:rtl/>
        </w:rPr>
        <w:t>:</w:t>
      </w:r>
      <w:r w:rsidR="006D0C68">
        <w:rPr>
          <w:rFonts w:cs="Traditional Arabic" w:hint="cs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الأخذ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ببعض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ينطلق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الاسم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الشيء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ينطلق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الاسم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الأخذ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ببعض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ينطلق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الاسم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يشترط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الاعتدال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الركوع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الأخذ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اشترط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الاعتدال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40554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للرجل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فروض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D0C68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اركع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راكعا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وارفع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رافعا</w:t>
      </w:r>
      <w:r w:rsidR="00344162" w:rsidRPr="00FB689E">
        <w:rPr>
          <w:rStyle w:val="ae"/>
          <w:sz w:val="36"/>
          <w:szCs w:val="36"/>
          <w:rtl/>
        </w:rPr>
        <w:t>(</w:t>
      </w:r>
      <w:r w:rsidR="00344162" w:rsidRPr="00FB689E">
        <w:rPr>
          <w:rStyle w:val="ae"/>
          <w:sz w:val="36"/>
          <w:szCs w:val="36"/>
          <w:rtl/>
        </w:rPr>
        <w:footnoteReference w:id="11"/>
      </w:r>
      <w:r w:rsidR="00344162" w:rsidRPr="00FB689E">
        <w:rPr>
          <w:rStyle w:val="ae"/>
          <w:sz w:val="36"/>
          <w:szCs w:val="36"/>
          <w:rtl/>
        </w:rPr>
        <w:t>)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اعتقاد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فرضا</w:t>
      </w:r>
      <w:r w:rsidR="00CF18A3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تحمل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أفعاله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سائر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أفعال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CF18A3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CF18A3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</w:t>
      </w:r>
      <w:r w:rsidR="00CF18A3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الوجوب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الدليل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07304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07304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1B1661" w:rsidRPr="00FB689E">
        <w:rPr>
          <w:rStyle w:val="ae"/>
          <w:sz w:val="36"/>
          <w:szCs w:val="36"/>
          <w:rtl/>
        </w:rPr>
        <w:t>(</w:t>
      </w:r>
      <w:r w:rsidR="001B1661" w:rsidRPr="00FB689E">
        <w:rPr>
          <w:rStyle w:val="ae"/>
          <w:sz w:val="36"/>
          <w:szCs w:val="36"/>
          <w:rtl/>
        </w:rPr>
        <w:footnoteReference w:id="12"/>
      </w:r>
      <w:r w:rsidR="001B1661" w:rsidRPr="00FB689E">
        <w:rPr>
          <w:rStyle w:val="ae"/>
          <w:sz w:val="36"/>
          <w:szCs w:val="36"/>
          <w:rtl/>
        </w:rPr>
        <w:t>)</w:t>
      </w:r>
      <w:r w:rsidR="00CF18A3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A07304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CC73B6" w:rsidRPr="00024F6E" w:rsidRDefault="00CC73B6" w:rsidP="00A14661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024F6E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أدلة القول</w:t>
      </w: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الأول</w:t>
      </w:r>
      <w:r w:rsidRPr="00024F6E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CC73B6" w:rsidRPr="00FB689E" w:rsidRDefault="00CC73B6" w:rsidP="00A14661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024F6E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الأول:</w:t>
      </w:r>
      <w:r w:rsidR="006D0C68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أن الركنية لا تث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بت إلا بيقين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وإنما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ورد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النص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بالركوع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والسجود،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ومطلق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الاسم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يتناول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الأدنى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فبقيت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الركنية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بذلك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القدر،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والزيادة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ذلك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من رفع الرأس من الركوع والاعتدال فيه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للإكمال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والفصل بين الركوع والسجود,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وترك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ما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هو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لإكمال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الفريضة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مما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ليس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بركن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يفسده</w:t>
      </w:r>
      <w:r w:rsidRPr="00FB689E">
        <w:rPr>
          <w:rStyle w:val="ae"/>
          <w:sz w:val="36"/>
          <w:szCs w:val="36"/>
          <w:rtl/>
        </w:rPr>
        <w:t>(</w:t>
      </w:r>
      <w:r w:rsidRPr="00FB689E">
        <w:rPr>
          <w:rStyle w:val="ae"/>
          <w:sz w:val="36"/>
          <w:szCs w:val="36"/>
          <w:rtl/>
        </w:rPr>
        <w:footnoteReference w:id="13"/>
      </w:r>
      <w:r w:rsidRPr="00FB689E">
        <w:rPr>
          <w:rStyle w:val="ae"/>
          <w:sz w:val="36"/>
          <w:szCs w:val="36"/>
          <w:rtl/>
        </w:rPr>
        <w:t>)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. </w:t>
      </w:r>
    </w:p>
    <w:p w:rsidR="00CC73B6" w:rsidRPr="00FB689E" w:rsidRDefault="00CC73B6" w:rsidP="00A14661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024F6E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الدليل الثاني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: 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أن الاعتدال قيام فلو كان فرضا لكان عقيبه ركوع كالقيام الأول</w:t>
      </w:r>
      <w:r w:rsidRPr="00FB689E">
        <w:rPr>
          <w:rStyle w:val="ae"/>
          <w:sz w:val="36"/>
          <w:szCs w:val="36"/>
          <w:rtl/>
        </w:rPr>
        <w:t>(</w:t>
      </w:r>
      <w:r w:rsidRPr="00FB689E">
        <w:rPr>
          <w:rStyle w:val="ae"/>
          <w:sz w:val="36"/>
          <w:szCs w:val="36"/>
          <w:rtl/>
        </w:rPr>
        <w:footnoteReference w:id="14"/>
      </w:r>
      <w:r w:rsidRPr="00FB689E">
        <w:rPr>
          <w:rStyle w:val="ae"/>
          <w:sz w:val="36"/>
          <w:szCs w:val="36"/>
          <w:rtl/>
        </w:rPr>
        <w:t>)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. </w:t>
      </w:r>
    </w:p>
    <w:p w:rsidR="00CC73B6" w:rsidRPr="00FB689E" w:rsidRDefault="00CC73B6" w:rsidP="00A14661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024F6E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الدليل الثالث: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أن القيام ركن قبل الركوع فوجب 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أن لا يتكرر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فرضه في الركعة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كالقراءة</w:t>
      </w:r>
      <w:r w:rsidRPr="00FB689E">
        <w:rPr>
          <w:rStyle w:val="ae"/>
          <w:sz w:val="36"/>
          <w:szCs w:val="36"/>
          <w:rtl/>
        </w:rPr>
        <w:t>(</w:t>
      </w:r>
      <w:r w:rsidRPr="00FB689E">
        <w:rPr>
          <w:rStyle w:val="ae"/>
          <w:sz w:val="36"/>
          <w:szCs w:val="36"/>
          <w:rtl/>
        </w:rPr>
        <w:footnoteReference w:id="15"/>
      </w:r>
      <w:r w:rsidRPr="00FB689E">
        <w:rPr>
          <w:rStyle w:val="ae"/>
          <w:sz w:val="36"/>
          <w:szCs w:val="36"/>
          <w:rtl/>
        </w:rPr>
        <w:t>)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A43D5C" w:rsidRDefault="004643A4" w:rsidP="007F60BE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A43D5C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lastRenderedPageBreak/>
        <w:t>أدلة القول</w:t>
      </w:r>
      <w:r w:rsidR="001548B8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الثاني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</w:p>
    <w:p w:rsidR="004643A4" w:rsidRPr="00FB689E" w:rsidRDefault="00A43D5C" w:rsidP="007F60BE">
      <w:pPr>
        <w:autoSpaceDE w:val="0"/>
        <w:autoSpaceDN w:val="0"/>
        <w:adjustRightInd w:val="0"/>
        <w:spacing w:after="0" w:line="233" w:lineRule="auto"/>
        <w:jc w:val="both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الدليل الأول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: </w:t>
      </w:r>
      <w:r w:rsidR="00BC5C66">
        <w:rPr>
          <w:rFonts w:ascii="Traditional Arabic" w:eastAsia="Times New Roman" w:hAnsi="Times New Roman" w:cs="Traditional Arabic" w:hint="cs"/>
          <w:sz w:val="36"/>
          <w:szCs w:val="36"/>
          <w:rtl/>
        </w:rPr>
        <w:t>عن أبي هريرة</w:t>
      </w:r>
      <w:r w:rsidR="001F2D2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D06B4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- في قصة المسيء صلاته-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40554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فدخل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340554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فرد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َّ,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 w:rsidR="006D0C68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ارجع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فرجع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40554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6D0C68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ارجع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بعثك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ني،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قمت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اقرأ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تيسر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معك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اركع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ئ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راكعا،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ت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اسجد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جالسا،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وافعل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صلاتك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D46A9" w:rsidRPr="00FB689E">
        <w:rPr>
          <w:rStyle w:val="ae"/>
          <w:sz w:val="36"/>
          <w:szCs w:val="36"/>
          <w:rtl/>
        </w:rPr>
        <w:t>(</w:t>
      </w:r>
      <w:r w:rsidR="00CD46A9" w:rsidRPr="00FB689E">
        <w:rPr>
          <w:rStyle w:val="ae"/>
          <w:sz w:val="36"/>
          <w:szCs w:val="36"/>
          <w:rtl/>
        </w:rPr>
        <w:footnoteReference w:id="16"/>
      </w:r>
      <w:r w:rsidR="00CD46A9" w:rsidRPr="00FB689E">
        <w:rPr>
          <w:rStyle w:val="ae"/>
          <w:sz w:val="36"/>
          <w:szCs w:val="36"/>
          <w:rtl/>
        </w:rPr>
        <w:t>)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CD46A9" w:rsidRPr="00FB689E" w:rsidRDefault="00CD46A9" w:rsidP="007F60BE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وفي رواية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A43D5C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اركع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راكعا</w:t>
      </w:r>
      <w:r w:rsidR="006D0C6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="00A43D5C" w:rsidRPr="000C363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43D5C" w:rsidRPr="000C363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</w:t>
      </w:r>
      <w:r w:rsidR="00A43D5C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43D5C" w:rsidRPr="000C363D">
        <w:rPr>
          <w:rStyle w:val="ae"/>
          <w:sz w:val="36"/>
          <w:szCs w:val="36"/>
          <w:rtl/>
        </w:rPr>
        <w:t>(</w:t>
      </w:r>
      <w:r w:rsidR="00A43D5C" w:rsidRPr="000C363D">
        <w:rPr>
          <w:rStyle w:val="ae"/>
          <w:sz w:val="36"/>
          <w:szCs w:val="36"/>
          <w:rtl/>
        </w:rPr>
        <w:footnoteReference w:id="17"/>
      </w:r>
      <w:r w:rsidR="00A43D5C" w:rsidRPr="000C363D">
        <w:rPr>
          <w:rStyle w:val="ae"/>
          <w:sz w:val="36"/>
          <w:szCs w:val="36"/>
          <w:rtl/>
        </w:rPr>
        <w:t>)</w:t>
      </w:r>
      <w:r w:rsidR="001A0E19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CD46A9" w:rsidRPr="000C363D" w:rsidRDefault="00CD46A9" w:rsidP="007F60BE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</w:pPr>
      <w:r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وجه الدلالة منهما من </w:t>
      </w:r>
      <w:r w:rsidR="000C363D"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 ثلاثة أوجه</w:t>
      </w:r>
      <w:r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 xml:space="preserve">: </w:t>
      </w:r>
    </w:p>
    <w:p w:rsidR="00CD46A9" w:rsidRPr="00FB689E" w:rsidRDefault="000C363D" w:rsidP="007F60BE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الأول</w:t>
      </w:r>
      <w:r w:rsidR="00CD46A9"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:</w:t>
      </w:r>
      <w:r w:rsidR="00CD46A9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قوله </w:t>
      </w:r>
      <w:r w:rsidR="00340554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CD46A9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1F2D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</w:t>
      </w:r>
      <w:r w:rsidR="00CD46A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ت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</w:t>
      </w:r>
      <w:r w:rsidR="00CD46A9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D46A9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 وكذلك قوله:</w:t>
      </w:r>
      <w:r w:rsidR="00CD46A9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حتى تطمئن قائما</w:t>
      </w:r>
      <w:r w:rsidR="00A77F3D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نص صريح في افتراض رفع الرأس م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ن</w:t>
      </w:r>
      <w:r w:rsidR="00A77F3D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الركوع و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في</w:t>
      </w:r>
      <w:r w:rsidR="00A77F3D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افتراض الاستواء هو الاعتدال في الرفع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لأن </w:t>
      </w:r>
      <w:r w:rsidR="008D6A77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مطلق الأمر للفرضية</w:t>
      </w:r>
      <w:r w:rsidR="001B1661" w:rsidRPr="00FB689E">
        <w:rPr>
          <w:rStyle w:val="ae"/>
          <w:sz w:val="36"/>
          <w:szCs w:val="36"/>
          <w:rtl/>
        </w:rPr>
        <w:t>(</w:t>
      </w:r>
      <w:r w:rsidR="001B1661" w:rsidRPr="00FB689E">
        <w:rPr>
          <w:rStyle w:val="ae"/>
          <w:sz w:val="36"/>
          <w:szCs w:val="36"/>
          <w:rtl/>
        </w:rPr>
        <w:footnoteReference w:id="18"/>
      </w:r>
      <w:r w:rsidR="001B1661" w:rsidRPr="00FB689E">
        <w:rPr>
          <w:rStyle w:val="ae"/>
          <w:sz w:val="36"/>
          <w:szCs w:val="36"/>
          <w:rtl/>
        </w:rPr>
        <w:t>)</w:t>
      </w:r>
      <w:r w:rsidR="00A77F3D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.</w:t>
      </w:r>
    </w:p>
    <w:p w:rsidR="001F2D22" w:rsidRDefault="000C363D" w:rsidP="007F60BE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الثاني</w:t>
      </w:r>
      <w:r w:rsidR="00A77F3D"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:</w:t>
      </w:r>
      <w:r w:rsidR="00BC5C66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قوله </w:t>
      </w:r>
      <w:r w:rsidR="00340554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1F2D22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ل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لأ</w:t>
      </w:r>
      <w:r w:rsidR="00A77F3D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عرابي: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77F3D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ارجع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77F3D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7F3D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A77F3D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A77F3D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A77F3D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A77F3D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7F3D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 w:rsidR="00A77F3D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7F3D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A77F3D" w:rsidRPr="00FB689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7F3D" w:rsidRPr="00FB689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</w:t>
      </w:r>
      <w:r w:rsidR="005D06B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صريح في كون </w:t>
      </w:r>
      <w:r w:rsidR="008D6A77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ال</w:t>
      </w:r>
      <w:r w:rsidR="001548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اعتدال بعد الرفع 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من الرأس ركنا بحيث أن فوته يفوت الصلاة وإلا لم يقل : لم تصل فإن من المعلوم </w:t>
      </w:r>
      <w:r w:rsidR="00A77F3D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>أن خلاد بن رافع لم يكن ترك ركنا من الأركان</w:t>
      </w:r>
      <w:r w:rsidR="005D06B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المشهورة وإنما ترك التعديل والاطمئ</w:t>
      </w:r>
      <w:r w:rsidR="00A77F3D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>نان كما يدل عليه رواية ابن أبي شيبة</w:t>
      </w:r>
      <w:r w:rsidR="009C1690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 xml:space="preserve"> فدخل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رجل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فصلى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صلاة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خفيفة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يتم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ركوعا،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ولا</w:t>
      </w:r>
      <w:r w:rsidR="00C10FFD" w:rsidRPr="000C363D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سجودا</w:t>
      </w:r>
      <w:r w:rsidR="001A0E19" w:rsidRPr="000C363D">
        <w:rPr>
          <w:rStyle w:val="ae"/>
          <w:sz w:val="36"/>
          <w:szCs w:val="36"/>
          <w:rtl/>
        </w:rPr>
        <w:t>(</w:t>
      </w:r>
      <w:r w:rsidR="001A0E19" w:rsidRPr="000C363D">
        <w:rPr>
          <w:rStyle w:val="ae"/>
          <w:sz w:val="36"/>
          <w:szCs w:val="36"/>
          <w:rtl/>
        </w:rPr>
        <w:footnoteReference w:id="19"/>
      </w:r>
      <w:r w:rsidR="001A0E19" w:rsidRPr="000C363D">
        <w:rPr>
          <w:rStyle w:val="ae"/>
          <w:sz w:val="36"/>
          <w:szCs w:val="36"/>
          <w:rtl/>
        </w:rPr>
        <w:t>)</w:t>
      </w:r>
      <w:r w:rsidR="00C10FFD" w:rsidRPr="000C363D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،</w:t>
      </w:r>
      <w:r w:rsidR="00A77F3D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21145E" w:rsidRPr="00FB689E" w:rsidRDefault="00A77F3D" w:rsidP="007F60BE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>فعلم أن ترك الاعتدال بعد رفع الرأس من الركوع مبطل لصلاة</w:t>
      </w:r>
      <w:r w:rsidR="001B1661" w:rsidRPr="000C363D">
        <w:rPr>
          <w:rStyle w:val="ae"/>
          <w:sz w:val="36"/>
          <w:szCs w:val="36"/>
          <w:rtl/>
        </w:rPr>
        <w:t xml:space="preserve"> (</w:t>
      </w:r>
      <w:r w:rsidR="001B1661" w:rsidRPr="000C363D">
        <w:rPr>
          <w:rStyle w:val="ae"/>
          <w:sz w:val="36"/>
          <w:szCs w:val="36"/>
          <w:rtl/>
        </w:rPr>
        <w:footnoteReference w:id="20"/>
      </w:r>
      <w:r w:rsidR="001B1661" w:rsidRPr="000C363D">
        <w:rPr>
          <w:rStyle w:val="ae"/>
          <w:sz w:val="36"/>
          <w:szCs w:val="36"/>
          <w:rtl/>
        </w:rPr>
        <w:t>)</w:t>
      </w:r>
      <w:r w:rsidR="00C10FFD" w:rsidRPr="000C363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C26B29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A77F3D" w:rsidRPr="00FB689E" w:rsidRDefault="000C363D" w:rsidP="001F2D22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lastRenderedPageBreak/>
        <w:t>الثالث</w:t>
      </w:r>
      <w:r w:rsidR="0021145E" w:rsidRPr="000C363D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:</w:t>
      </w:r>
      <w:r w:rsidR="0021145E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أنه </w:t>
      </w:r>
      <w:r w:rsidR="00340554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21145E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نفى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كونه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صلاة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بترك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التعديل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فكان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ركنا؛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لأن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انتفاء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غيره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لا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FA7D6F" w:rsidRPr="00FB689E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ينفيها</w:t>
      </w:r>
      <w:r w:rsidR="001B1661" w:rsidRPr="00FB689E">
        <w:rPr>
          <w:rStyle w:val="ae"/>
          <w:sz w:val="36"/>
          <w:szCs w:val="36"/>
          <w:rtl/>
        </w:rPr>
        <w:t>(</w:t>
      </w:r>
      <w:r w:rsidR="001B1661" w:rsidRPr="00FB689E">
        <w:rPr>
          <w:rStyle w:val="ae"/>
          <w:sz w:val="36"/>
          <w:szCs w:val="36"/>
          <w:rtl/>
        </w:rPr>
        <w:footnoteReference w:id="21"/>
      </w:r>
      <w:r w:rsidR="001B1661" w:rsidRPr="00FB689E">
        <w:rPr>
          <w:rStyle w:val="ae"/>
          <w:sz w:val="36"/>
          <w:szCs w:val="36"/>
          <w:rtl/>
        </w:rPr>
        <w:t>)</w:t>
      </w:r>
      <w:r w:rsidR="00FA7D6F" w:rsidRPr="00FB689E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>.</w:t>
      </w:r>
    </w:p>
    <w:p w:rsidR="00A77F3D" w:rsidRPr="00FB689E" w:rsidRDefault="000C363D" w:rsidP="001F2D22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0C363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الثاني</w:t>
      </w:r>
      <w:r w:rsidR="00A77F3D" w:rsidRPr="000C363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 النبي </w:t>
      </w:r>
      <w:r w:rsidR="00340554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واظب على رفع الرأس من الركوع والاعتدال بعده وهو الذي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قال أمرنا بالصلاة كما صلى بقوله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A77F3D" w:rsidRPr="00FB689E">
        <w:rPr>
          <w:rFonts w:ascii="Traditional Arabic" w:eastAsia="Times New Roman" w:hAnsi="Times New Roman" w:cs="Traditional Arabic" w:hint="cs"/>
          <w:sz w:val="36"/>
          <w:szCs w:val="36"/>
          <w:rtl/>
        </w:rPr>
        <w:t>صلوا كما رأيتموني أصلى</w:t>
      </w:r>
      <w:r w:rsidRPr="00FB689E">
        <w:rPr>
          <w:rStyle w:val="ae"/>
          <w:sz w:val="36"/>
          <w:szCs w:val="36"/>
          <w:rtl/>
        </w:rPr>
        <w:t>(</w:t>
      </w:r>
      <w:r w:rsidRPr="00FB689E">
        <w:rPr>
          <w:rStyle w:val="ae"/>
          <w:sz w:val="36"/>
          <w:szCs w:val="36"/>
          <w:rtl/>
        </w:rPr>
        <w:footnoteReference w:id="22"/>
      </w:r>
      <w:r w:rsidRPr="00FB689E">
        <w:rPr>
          <w:rStyle w:val="ae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1B1661" w:rsidRPr="00FB689E">
        <w:rPr>
          <w:rStyle w:val="ae"/>
          <w:sz w:val="36"/>
          <w:szCs w:val="36"/>
          <w:rtl/>
        </w:rPr>
        <w:t xml:space="preserve"> (</w:t>
      </w:r>
      <w:r w:rsidR="001B1661" w:rsidRPr="00FB689E">
        <w:rPr>
          <w:rStyle w:val="ae"/>
          <w:sz w:val="36"/>
          <w:szCs w:val="36"/>
          <w:rtl/>
        </w:rPr>
        <w:footnoteReference w:id="23"/>
      </w:r>
      <w:r w:rsidR="001B1661" w:rsidRPr="00FB689E">
        <w:rPr>
          <w:rStyle w:val="ae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A67A2" w:rsidRPr="00FB689E" w:rsidRDefault="001A67A2" w:rsidP="001F2D22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 w:rsidRPr="00024F6E">
        <w:rPr>
          <w:rFonts w:ascii="Traditional Arabic" w:eastAsia="Times New Roman" w:hAnsi="Times New Roman" w:cs="Traditional Arabic" w:hint="cs"/>
          <w:b/>
          <w:bCs/>
          <w:color w:val="000000"/>
          <w:sz w:val="36"/>
          <w:szCs w:val="36"/>
          <w:rtl/>
        </w:rPr>
        <w:t>والراجح في المسألة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والله تعالى أعلم بالصواب هو القول</w:t>
      </w:r>
      <w:r w:rsidR="005D06B4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الثاني وذلك لما يلي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</w:p>
    <w:p w:rsidR="00B93BA9" w:rsidRDefault="001A67A2" w:rsidP="00206423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</w:rPr>
      </w:pP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لصراحة أدلة هذا القول ووضوح دلالتها على المسألة حيث</w:t>
      </w:r>
      <w:r w:rsidR="00870E8B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نفي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النبي </w:t>
      </w:r>
      <w:r w:rsidR="00340554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2"/>
      </w:r>
      <w:r w:rsidR="00870E8B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الصلاة لفواته</w:t>
      </w:r>
      <w:r w:rsidR="006D0C6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870E8B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ثم علم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الأعرابي الاعتدال</w:t>
      </w:r>
      <w:r w:rsidR="00870E8B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وداوم عليه طول حياته.</w:t>
      </w:r>
    </w:p>
    <w:p w:rsidR="001A67A2" w:rsidRPr="00FB689E" w:rsidRDefault="00B93BA9" w:rsidP="001F2D22">
      <w:pPr>
        <w:pStyle w:val="afc"/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وأما ما استدل</w:t>
      </w:r>
      <w:r w:rsidR="001548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به</w:t>
      </w:r>
      <w:r w:rsidR="00457045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أصحاب القول </w:t>
      </w:r>
      <w:r w:rsidR="00B45AC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من القياس فهو في مقابلة النص فلا يلتفت إليه.</w:t>
      </w:r>
      <w:r w:rsidR="00462C0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والله أعلم.</w:t>
      </w:r>
      <w:r w:rsidR="001A67A2" w:rsidRPr="00FB689E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</w:p>
    <w:p w:rsidR="005F023D" w:rsidRPr="00FB689E" w:rsidRDefault="005F023D" w:rsidP="001F2D22">
      <w:pPr>
        <w:spacing w:after="0" w:line="240" w:lineRule="auto"/>
        <w:jc w:val="lowKashida"/>
        <w:rPr>
          <w:rFonts w:cs="Traditional Arabic"/>
          <w:sz w:val="36"/>
          <w:szCs w:val="36"/>
        </w:rPr>
      </w:pPr>
    </w:p>
    <w:sectPr w:rsidR="005F023D" w:rsidRPr="00FB689E" w:rsidSect="00531094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85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24A" w:rsidRDefault="0027624A" w:rsidP="004A0364">
      <w:pPr>
        <w:spacing w:after="0" w:line="240" w:lineRule="auto"/>
      </w:pPr>
      <w:r>
        <w:separator/>
      </w:r>
    </w:p>
  </w:endnote>
  <w:endnote w:type="continuationSeparator" w:id="1">
    <w:p w:rsidR="0027624A" w:rsidRDefault="0027624A" w:rsidP="004A0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6861641"/>
      <w:docPartObj>
        <w:docPartGallery w:val="Page Numbers (Bottom of Page)"/>
        <w:docPartUnique/>
      </w:docPartObj>
    </w:sdtPr>
    <w:sdtContent>
      <w:p w:rsidR="005C12DA" w:rsidRDefault="00391EAA" w:rsidP="00531094">
        <w:pPr>
          <w:pStyle w:val="afd"/>
          <w:jc w:val="center"/>
        </w:pPr>
        <w:r>
          <w:rPr>
            <w:noProof/>
          </w:rPr>
          <w:pict>
            <v:roundrect id="_x0000_s14337" style="position:absolute;left:0;text-align:left;margin-left:193.15pt;margin-top:-5.75pt;width:38.9pt;height:20.05pt;z-index:251658240;mso-position-horizontal-relative:margin;mso-position-vertical-relative:text" arcsize="10923f">
              <v:textbox style="mso-next-textbox:#_x0000_s14337">
                <w:txbxContent>
                  <w:p w:rsidR="00531094" w:rsidRPr="00A6537B" w:rsidRDefault="00391EAA" w:rsidP="00531094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531094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531094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391EAA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302C97" w:rsidRPr="00302C97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859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5C12DA" w:rsidRDefault="005C12D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24A" w:rsidRDefault="0027624A" w:rsidP="005C12DA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27624A" w:rsidRDefault="0027624A" w:rsidP="005C12DA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302C97" w:rsidRPr="003F3583" w:rsidRDefault="00302C97" w:rsidP="00302C97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قد يقول قائل هل هناك فرق بين الطمأنينة  والاعتدال. وذلك لأن مسألة الطمأنينة في الركوع قد سبق قبل عدة مسائل  فيظن أن هناك تكرار في المسألتين.</w:t>
      </w:r>
    </w:p>
    <w:p w:rsidR="00302C97" w:rsidRPr="003F3583" w:rsidRDefault="00302C97" w:rsidP="00302C97">
      <w:pPr>
        <w:autoSpaceDE w:val="0"/>
        <w:autoSpaceDN w:val="0"/>
        <w:adjustRightInd w:val="0"/>
        <w:spacing w:after="0" w:line="240" w:lineRule="auto"/>
        <w:ind w:left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>فالجواب: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نعم أن هناك فرقا بين الطمأنينة والاعتدال كما قال الصاوي رحمه تعالى: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فبين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الاعتدال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والطمأنينة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عموم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وخصوص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وجه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باعتبار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التحقق،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وإن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تخالفا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المفهوم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فيوجدان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معا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إذا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نصب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قامته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القيام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الجلوس،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وبقي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حتى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استقرت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أعضاؤه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محالها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زمنا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ويوجد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الاعتدال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فقط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إذا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نصب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قامته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القيام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الجلوس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ولم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تستقر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أعضاؤه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وتوجد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الطمأنينة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فقط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فيمن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استق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ـ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رت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أعضاؤه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القيام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والجلوس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كالركوع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والسجود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.[ بلغة السالك1/316].</w:t>
      </w:r>
    </w:p>
  </w:footnote>
  <w:footnote w:id="3">
    <w:p w:rsidR="00302C97" w:rsidRPr="003F3583" w:rsidRDefault="00302C97" w:rsidP="00302C97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تعديل الأركان, ويقال:الاعتدال في الأركان:وهو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ا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ستقامة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الجوهري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يقال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َّ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ْ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ُ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فاعتدل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َّ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ْ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</w:t>
      </w:r>
      <w:r w:rsidRPr="003F3583">
        <w:rPr>
          <w:rFonts w:ascii="Traditional Arabic" w:eastAsia="Times New Roman" w:hAnsi="Times New Roman" w:cs="Traditional Arabic" w:hint="cs"/>
          <w:sz w:val="32"/>
          <w:szCs w:val="32"/>
          <w:rtl/>
        </w:rPr>
        <w:t>ُ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فاستقام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وكل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مثقف</w:t>
      </w:r>
      <w:r w:rsidRPr="003F358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3F3583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معتدل</w:t>
      </w:r>
      <w:r>
        <w:rPr>
          <w:rFonts w:ascii="Traditional Arabic" w:eastAsia="Calibri" w:cs="Traditional Arabic" w:hint="cs"/>
          <w:sz w:val="32"/>
          <w:szCs w:val="32"/>
          <w:rtl/>
        </w:rPr>
        <w:t>.ينظر: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[المطلع على أبواب المقنع ص88].</w:t>
      </w:r>
    </w:p>
  </w:footnote>
  <w:footnote w:id="4">
    <w:p w:rsidR="00DE372E" w:rsidRPr="003F3583" w:rsidRDefault="00DE372E" w:rsidP="00302C97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مرعاة المفاتيح3/6.</w:t>
      </w:r>
    </w:p>
  </w:footnote>
  <w:footnote w:id="5">
    <w:p w:rsidR="00D83501" w:rsidRPr="003F3583" w:rsidRDefault="00D83501" w:rsidP="00302C97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ينظر:تحفة الفقهاءص96,وبدائع الصنائع1/508, والاختيار لتعليل المختار1/52, وتبيين الحقائق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1</w:t>
      </w:r>
      <w:r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107-108, والعناية1/300, والبحر الرائق1/317, وحاشية الطحطاوي ص250.</w:t>
      </w:r>
    </w:p>
  </w:footnote>
  <w:footnote w:id="6">
    <w:p w:rsidR="00D83501" w:rsidRPr="003F3583" w:rsidRDefault="00D83501" w:rsidP="00302C97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1F2D2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الإشراف لقاضي عبدالوهاب1/445,</w:t>
      </w:r>
      <w:r w:rsidR="001F2D2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والبيان 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والتحصيل2/54-55,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والمقدمات 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والم</w:t>
      </w:r>
      <w:r>
        <w:rPr>
          <w:rFonts w:ascii="Traditional Arabic" w:eastAsia="Calibri" w:cs="Traditional Arabic" w:hint="cs"/>
          <w:sz w:val="32"/>
          <w:szCs w:val="32"/>
          <w:rtl/>
        </w:rPr>
        <w:t>م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هدات1/163, والذخيرة2/190.</w:t>
      </w:r>
    </w:p>
  </w:footnote>
  <w:footnote w:id="7">
    <w:p w:rsidR="00A07609" w:rsidRPr="003F3583" w:rsidRDefault="00A07609" w:rsidP="00A1466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A7559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>المبسوط للسرخسي1/188,</w:t>
      </w:r>
      <w:r w:rsidR="006D0C68">
        <w:rPr>
          <w:rFonts w:ascii="Traditional Arabic" w:eastAsia="Calibri" w:cs="Traditional Arabic" w:hint="cs"/>
          <w:sz w:val="32"/>
          <w:szCs w:val="32"/>
          <w:rtl/>
        </w:rPr>
        <w:t xml:space="preserve"> العناية</w:t>
      </w:r>
      <w:r w:rsidR="00C55971" w:rsidRPr="003F3583">
        <w:rPr>
          <w:rFonts w:ascii="Traditional Arabic" w:eastAsia="Calibri" w:cs="Traditional Arabic" w:hint="cs"/>
          <w:sz w:val="32"/>
          <w:szCs w:val="32"/>
          <w:rtl/>
        </w:rPr>
        <w:t>1/300,</w:t>
      </w:r>
      <w:r w:rsidR="00AA7559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والبحر الرائق1/317.</w:t>
      </w:r>
    </w:p>
  </w:footnote>
  <w:footnote w:id="8">
    <w:p w:rsidR="00BF2AF6" w:rsidRPr="003F3583" w:rsidRDefault="00BF2AF6" w:rsidP="00A1466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 w:rsidR="00BE3477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رفع الرأس من الركوع عند المالكية فرض</w:t>
      </w:r>
      <w:r w:rsidR="006D0C6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BE3477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ثم اختلفوا في الاعتدال بعد الرفع </w:t>
      </w:r>
      <w:r w:rsidR="006D0C68">
        <w:rPr>
          <w:rFonts w:ascii="Traditional Arabic" w:eastAsia="Calibri" w:cs="Traditional Arabic" w:hint="cs"/>
          <w:sz w:val="32"/>
          <w:szCs w:val="32"/>
          <w:rtl/>
        </w:rPr>
        <w:t>على قولين</w:t>
      </w:r>
      <w:r w:rsidR="00F55784" w:rsidRPr="003F3583">
        <w:rPr>
          <w:rFonts w:ascii="Traditional Arabic" w:eastAsia="Calibri" w:cs="Traditional Arabic" w:hint="cs"/>
          <w:sz w:val="32"/>
          <w:szCs w:val="32"/>
          <w:rtl/>
        </w:rPr>
        <w:t>: الأول: الفرض, والثاني: سنة.</w:t>
      </w:r>
      <w:r w:rsidR="00AA7559" w:rsidRPr="003F3583">
        <w:rPr>
          <w:rFonts w:ascii="Traditional Arabic" w:eastAsia="Calibri" w:cs="Traditional Arabic" w:hint="cs"/>
          <w:sz w:val="32"/>
          <w:szCs w:val="32"/>
          <w:rtl/>
        </w:rPr>
        <w:t>ينظر:[</w:t>
      </w:r>
      <w:r w:rsidR="00781DA3" w:rsidRPr="003F3583">
        <w:rPr>
          <w:rFonts w:ascii="Traditional Arabic" w:eastAsia="Calibri" w:cs="Traditional Arabic" w:hint="cs"/>
          <w:sz w:val="32"/>
          <w:szCs w:val="32"/>
          <w:rtl/>
        </w:rPr>
        <w:t>الكافي لابن عبد البر ص</w:t>
      </w:r>
      <w:r w:rsidR="007117CB" w:rsidRPr="003F3583">
        <w:rPr>
          <w:rFonts w:ascii="Traditional Arabic" w:eastAsia="Calibri" w:cs="Traditional Arabic" w:hint="cs"/>
          <w:sz w:val="32"/>
          <w:szCs w:val="32"/>
          <w:rtl/>
        </w:rPr>
        <w:t>41,</w:t>
      </w:r>
      <w:r w:rsidR="00BE3477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D0C68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BE3477" w:rsidRPr="003F3583">
        <w:rPr>
          <w:rFonts w:ascii="Traditional Arabic" w:eastAsia="Calibri" w:cs="Traditional Arabic" w:hint="cs"/>
          <w:sz w:val="32"/>
          <w:szCs w:val="32"/>
          <w:rtl/>
        </w:rPr>
        <w:t>الإشراف</w:t>
      </w:r>
      <w:r w:rsidR="00AA7559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لقاضي عبد الوهاب</w:t>
      </w:r>
      <w:r w:rsidR="00BE3477" w:rsidRPr="003F3583">
        <w:rPr>
          <w:rFonts w:ascii="Traditional Arabic" w:eastAsia="Calibri" w:cs="Traditional Arabic" w:hint="cs"/>
          <w:sz w:val="32"/>
          <w:szCs w:val="32"/>
          <w:rtl/>
        </w:rPr>
        <w:t>1/44</w:t>
      </w:r>
      <w:r w:rsidR="00195B34" w:rsidRPr="003F3583">
        <w:rPr>
          <w:rFonts w:ascii="Traditional Arabic" w:eastAsia="Calibri" w:cs="Traditional Arabic" w:hint="cs"/>
          <w:sz w:val="32"/>
          <w:szCs w:val="32"/>
          <w:rtl/>
        </w:rPr>
        <w:t>6</w:t>
      </w:r>
      <w:r w:rsidR="00D242F6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445, </w:t>
      </w:r>
      <w:r w:rsidR="00D94774" w:rsidRPr="003F3583">
        <w:rPr>
          <w:rFonts w:ascii="Traditional Arabic" w:eastAsia="Calibri" w:cs="Traditional Arabic" w:hint="cs"/>
          <w:sz w:val="32"/>
          <w:szCs w:val="32"/>
          <w:rtl/>
        </w:rPr>
        <w:t>والذخير2</w:t>
      </w:r>
      <w:r w:rsidR="00AA7559" w:rsidRPr="003F3583">
        <w:rPr>
          <w:rFonts w:ascii="Traditional Arabic" w:eastAsia="Calibri" w:cs="Traditional Arabic" w:hint="cs"/>
          <w:sz w:val="32"/>
          <w:szCs w:val="32"/>
          <w:rtl/>
        </w:rPr>
        <w:t>/</w:t>
      </w:r>
      <w:r w:rsidR="00D94774" w:rsidRPr="003F3583">
        <w:rPr>
          <w:rFonts w:ascii="Traditional Arabic" w:eastAsia="Calibri" w:cs="Traditional Arabic" w:hint="cs"/>
          <w:sz w:val="32"/>
          <w:szCs w:val="32"/>
          <w:rtl/>
        </w:rPr>
        <w:t>190,</w:t>
      </w:r>
      <w:r w:rsidR="00617D2F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117CB" w:rsidRPr="003F3583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AA7559" w:rsidRPr="003F3583">
        <w:rPr>
          <w:rFonts w:ascii="Traditional Arabic" w:eastAsia="Calibri" w:cs="Traditional Arabic" w:hint="cs"/>
          <w:sz w:val="32"/>
          <w:szCs w:val="32"/>
          <w:rtl/>
        </w:rPr>
        <w:t>بلغة السالك1/316].</w:t>
      </w:r>
    </w:p>
  </w:footnote>
  <w:footnote w:id="9">
    <w:p w:rsidR="00A07609" w:rsidRPr="003F3583" w:rsidRDefault="00A07609" w:rsidP="00A1466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 w:rsidR="00B24F08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7B3BEF">
        <w:rPr>
          <w:rFonts w:ascii="Traditional Arabic" w:eastAsia="Calibri" w:cs="Traditional Arabic" w:hint="cs"/>
          <w:sz w:val="32"/>
          <w:szCs w:val="32"/>
          <w:rtl/>
        </w:rPr>
        <w:t>الحاوي الكبير</w:t>
      </w:r>
      <w:r w:rsidR="00617D2F" w:rsidRPr="003F3583">
        <w:rPr>
          <w:rFonts w:ascii="Traditional Arabic" w:eastAsia="Calibri" w:cs="Traditional Arabic" w:hint="cs"/>
          <w:sz w:val="32"/>
          <w:szCs w:val="32"/>
          <w:rtl/>
        </w:rPr>
        <w:t>2/229,</w:t>
      </w:r>
      <w:r w:rsidR="00B24F08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C81893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حلية </w:t>
      </w:r>
      <w:r w:rsidR="007B3BEF">
        <w:rPr>
          <w:rFonts w:ascii="Traditional Arabic" w:eastAsia="Calibri" w:cs="Traditional Arabic" w:hint="cs"/>
          <w:sz w:val="32"/>
          <w:szCs w:val="32"/>
          <w:rtl/>
        </w:rPr>
        <w:t>العلماء2/99, والبيان</w:t>
      </w:r>
      <w:r w:rsidR="00C81893" w:rsidRPr="003F3583">
        <w:rPr>
          <w:rFonts w:ascii="Traditional Arabic" w:eastAsia="Calibri" w:cs="Traditional Arabic" w:hint="cs"/>
          <w:sz w:val="32"/>
          <w:szCs w:val="32"/>
          <w:rtl/>
        </w:rPr>
        <w:t>2/211,</w:t>
      </w:r>
      <w:r w:rsidR="00B24F08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والمجموع3/390.</w:t>
      </w:r>
    </w:p>
  </w:footnote>
  <w:footnote w:id="10">
    <w:p w:rsidR="00A07609" w:rsidRPr="003F3583" w:rsidRDefault="00A07609" w:rsidP="00A1466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F3583">
        <w:rPr>
          <w:rFonts w:cs="Traditional Arabic" w:hint="cs"/>
          <w:sz w:val="32"/>
          <w:szCs w:val="32"/>
          <w:rtl/>
        </w:rPr>
        <w:t>(</w:t>
      </w:r>
      <w:r w:rsidRPr="003F3583">
        <w:rPr>
          <w:rFonts w:cs="Traditional Arabic"/>
          <w:sz w:val="32"/>
          <w:szCs w:val="32"/>
          <w:rtl/>
        </w:rPr>
        <w:footnoteRef/>
      </w:r>
      <w:r w:rsidRPr="003F3583">
        <w:rPr>
          <w:rFonts w:cs="Traditional Arabic" w:hint="cs"/>
          <w:sz w:val="32"/>
          <w:szCs w:val="32"/>
          <w:rtl/>
        </w:rPr>
        <w:t>)</w:t>
      </w:r>
      <w:r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24F08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E97C19" w:rsidRPr="003F3583">
        <w:rPr>
          <w:rFonts w:ascii="Traditional Arabic" w:eastAsia="Calibri" w:cs="Traditional Arabic" w:hint="cs"/>
          <w:sz w:val="32"/>
          <w:szCs w:val="32"/>
          <w:rtl/>
        </w:rPr>
        <w:t>المستوعب1/187,</w:t>
      </w:r>
      <w:r w:rsidR="001F7752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24F08" w:rsidRPr="003F3583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1F7752" w:rsidRPr="003F3583">
        <w:rPr>
          <w:rFonts w:ascii="Traditional Arabic" w:eastAsia="Calibri" w:cs="Traditional Arabic" w:hint="cs"/>
          <w:sz w:val="32"/>
          <w:szCs w:val="32"/>
          <w:rtl/>
        </w:rPr>
        <w:t>مختصر الخرقي</w:t>
      </w:r>
      <w:r w:rsidR="006D0C6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F7752" w:rsidRPr="003F3583">
        <w:rPr>
          <w:rFonts w:ascii="Traditional Arabic" w:eastAsia="Calibri" w:cs="Traditional Arabic" w:hint="cs"/>
          <w:sz w:val="32"/>
          <w:szCs w:val="32"/>
          <w:rtl/>
        </w:rPr>
        <w:t>ص26,</w:t>
      </w:r>
      <w:r w:rsidR="00F332AE" w:rsidRPr="003F358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24F08" w:rsidRPr="003F3583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6D0C68">
        <w:rPr>
          <w:rFonts w:ascii="Traditional Arabic" w:eastAsia="Calibri" w:cs="Traditional Arabic" w:hint="cs"/>
          <w:sz w:val="32"/>
          <w:szCs w:val="32"/>
          <w:rtl/>
        </w:rPr>
        <w:t>المغني2/185, والمبدع</w:t>
      </w:r>
      <w:r w:rsidR="001F7752" w:rsidRPr="003F3583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B24F08" w:rsidRPr="003F3583">
        <w:rPr>
          <w:rFonts w:ascii="Traditional Arabic" w:eastAsia="Calibri" w:cs="Traditional Arabic" w:hint="cs"/>
          <w:sz w:val="32"/>
          <w:szCs w:val="32"/>
          <w:rtl/>
        </w:rPr>
        <w:t>/441.</w:t>
      </w:r>
    </w:p>
  </w:footnote>
  <w:footnote w:id="11">
    <w:p w:rsidR="00344162" w:rsidRPr="003F3583" w:rsidRDefault="00344162" w:rsidP="007C282B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9428BB">
        <w:rPr>
          <w:rStyle w:val="ae"/>
          <w:color w:val="auto"/>
          <w:sz w:val="32"/>
          <w:szCs w:val="32"/>
          <w:vertAlign w:val="baseline"/>
        </w:rPr>
        <w:footnoteRef/>
      </w:r>
      <w:r w:rsidRPr="009428BB">
        <w:rPr>
          <w:color w:val="auto"/>
          <w:sz w:val="32"/>
          <w:szCs w:val="32"/>
          <w:rtl/>
        </w:rPr>
        <w:t>)</w:t>
      </w:r>
      <w:r w:rsidRPr="009428BB">
        <w:rPr>
          <w:rFonts w:ascii="Traditional Arabic" w:hint="cs"/>
          <w:color w:val="auto"/>
          <w:sz w:val="32"/>
          <w:szCs w:val="32"/>
          <w:rtl/>
        </w:rPr>
        <w:t xml:space="preserve"> تقدم تخريجه في </w:t>
      </w:r>
      <w:r w:rsidR="007C282B" w:rsidRPr="009428BB">
        <w:rPr>
          <w:rFonts w:ascii="Traditional Arabic" w:hint="cs"/>
          <w:color w:val="auto"/>
          <w:sz w:val="32"/>
          <w:szCs w:val="32"/>
          <w:rtl/>
        </w:rPr>
        <w:t>ص (793-794).</w:t>
      </w:r>
    </w:p>
  </w:footnote>
  <w:footnote w:id="12">
    <w:p w:rsidR="001B1661" w:rsidRPr="003F3583" w:rsidRDefault="001B1661" w:rsidP="00A14661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 w:rsidR="00B24F08" w:rsidRPr="003F3583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cs"/>
          <w:color w:val="auto"/>
          <w:sz w:val="32"/>
          <w:szCs w:val="32"/>
          <w:rtl/>
        </w:rPr>
        <w:t>بداية المجتهد2</w:t>
      </w:r>
      <w:r w:rsidR="00B24F08" w:rsidRPr="003F3583">
        <w:rPr>
          <w:rFonts w:ascii="Traditional Arabic" w:hint="cs"/>
          <w:color w:val="auto"/>
          <w:sz w:val="32"/>
          <w:szCs w:val="32"/>
          <w:rtl/>
        </w:rPr>
        <w:t>/</w:t>
      </w:r>
      <w:r w:rsidR="006D0C68">
        <w:rPr>
          <w:rFonts w:ascii="Traditional Arabic" w:hint="cs"/>
          <w:color w:val="auto"/>
          <w:sz w:val="32"/>
          <w:szCs w:val="32"/>
          <w:rtl/>
        </w:rPr>
        <w:t>256-257.</w:t>
      </w:r>
      <w:r w:rsidRPr="003F3583">
        <w:rPr>
          <w:rFonts w:ascii="Traditional Arabic" w:hint="cs"/>
          <w:color w:val="auto"/>
          <w:sz w:val="32"/>
          <w:szCs w:val="32"/>
          <w:rtl/>
        </w:rPr>
        <w:t>تحقيق</w:t>
      </w:r>
      <w:r w:rsidR="00B24F08" w:rsidRPr="003F3583">
        <w:rPr>
          <w:rFonts w:ascii="Traditional Arabic" w:hint="cs"/>
          <w:color w:val="auto"/>
          <w:sz w:val="32"/>
          <w:szCs w:val="32"/>
          <w:rtl/>
        </w:rPr>
        <w:t>/</w:t>
      </w:r>
      <w:r w:rsidRPr="003F3583">
        <w:rPr>
          <w:rFonts w:ascii="Traditional Arabic" w:hint="cs"/>
          <w:color w:val="auto"/>
          <w:sz w:val="32"/>
          <w:szCs w:val="32"/>
          <w:rtl/>
        </w:rPr>
        <w:t xml:space="preserve"> على </w:t>
      </w:r>
      <w:r w:rsidR="00B24F08" w:rsidRPr="003F3583">
        <w:rPr>
          <w:rFonts w:ascii="Traditional Arabic" w:hint="cs"/>
          <w:color w:val="auto"/>
          <w:sz w:val="32"/>
          <w:szCs w:val="32"/>
          <w:rtl/>
        </w:rPr>
        <w:t xml:space="preserve">محمد </w:t>
      </w:r>
      <w:r w:rsidRPr="003F3583">
        <w:rPr>
          <w:rFonts w:ascii="Traditional Arabic" w:hint="cs"/>
          <w:color w:val="auto"/>
          <w:sz w:val="32"/>
          <w:szCs w:val="32"/>
          <w:rtl/>
        </w:rPr>
        <w:t>المعوض.</w:t>
      </w:r>
    </w:p>
  </w:footnote>
  <w:footnote w:id="13">
    <w:p w:rsidR="00CC73B6" w:rsidRPr="003F3583" w:rsidRDefault="00CC73B6" w:rsidP="00A14661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="006D0C68">
        <w:rPr>
          <w:rFonts w:ascii="Traditional Arabic" w:hint="cs"/>
          <w:color w:val="auto"/>
          <w:sz w:val="32"/>
          <w:szCs w:val="32"/>
          <w:rtl/>
        </w:rPr>
        <w:t xml:space="preserve">ينظر: الإشراف1/245, </w:t>
      </w:r>
      <w:r>
        <w:rPr>
          <w:rFonts w:ascii="Traditional Arabic" w:hint="cs"/>
          <w:color w:val="auto"/>
          <w:sz w:val="32"/>
          <w:szCs w:val="32"/>
          <w:rtl/>
        </w:rPr>
        <w:t>و</w:t>
      </w:r>
      <w:r w:rsidRPr="003F3583">
        <w:rPr>
          <w:rFonts w:ascii="Traditional Arabic" w:hint="cs"/>
          <w:color w:val="auto"/>
          <w:sz w:val="32"/>
          <w:szCs w:val="32"/>
          <w:rtl/>
        </w:rPr>
        <w:t>المبسوط</w:t>
      </w:r>
      <w:r>
        <w:rPr>
          <w:rFonts w:ascii="Traditional Arabic" w:hint="cs"/>
          <w:color w:val="auto"/>
          <w:sz w:val="32"/>
          <w:szCs w:val="32"/>
          <w:rtl/>
        </w:rPr>
        <w:t xml:space="preserve"> للسرخسي1</w:t>
      </w:r>
      <w:r w:rsidR="006D0C68">
        <w:rPr>
          <w:rFonts w:ascii="Traditional Arabic" w:hint="cs"/>
          <w:color w:val="auto"/>
          <w:sz w:val="32"/>
          <w:szCs w:val="32"/>
          <w:rtl/>
        </w:rPr>
        <w:t xml:space="preserve">/189, </w:t>
      </w:r>
      <w:r w:rsidRPr="003F3583">
        <w:rPr>
          <w:rFonts w:ascii="Traditional Arabic" w:hint="cs"/>
          <w:color w:val="auto"/>
          <w:sz w:val="32"/>
          <w:szCs w:val="32"/>
          <w:rtl/>
        </w:rPr>
        <w:t>وفتح القدير</w:t>
      </w:r>
      <w:r>
        <w:rPr>
          <w:rFonts w:ascii="Traditional Arabic" w:hint="cs"/>
          <w:color w:val="auto"/>
          <w:sz w:val="32"/>
          <w:szCs w:val="32"/>
          <w:rtl/>
        </w:rPr>
        <w:t xml:space="preserve"> لابن الهمام</w:t>
      </w:r>
      <w:r w:rsidRPr="003F3583">
        <w:rPr>
          <w:rFonts w:ascii="Traditional Arabic" w:hint="cs"/>
          <w:color w:val="auto"/>
          <w:sz w:val="32"/>
          <w:szCs w:val="32"/>
          <w:rtl/>
        </w:rPr>
        <w:t xml:space="preserve">1/302, والبحر </w:t>
      </w:r>
      <w:r w:rsidR="006D0C68">
        <w:rPr>
          <w:rFonts w:ascii="Traditional Arabic" w:hint="cs"/>
          <w:color w:val="auto"/>
          <w:sz w:val="32"/>
          <w:szCs w:val="32"/>
          <w:rtl/>
        </w:rPr>
        <w:t>الرائق1/316,</w:t>
      </w:r>
      <w:r w:rsidRPr="003F3583">
        <w:rPr>
          <w:rFonts w:ascii="Traditional Arabic" w:hint="cs"/>
          <w:color w:val="auto"/>
          <w:sz w:val="32"/>
          <w:szCs w:val="32"/>
          <w:rtl/>
        </w:rPr>
        <w:t>بتصرف.</w:t>
      </w:r>
    </w:p>
  </w:footnote>
  <w:footnote w:id="14">
    <w:p w:rsidR="00CC73B6" w:rsidRPr="003F3583" w:rsidRDefault="00CC73B6" w:rsidP="00A14661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3F3583">
        <w:rPr>
          <w:rFonts w:hint="cs"/>
          <w:color w:val="auto"/>
          <w:sz w:val="32"/>
          <w:szCs w:val="32"/>
          <w:rtl/>
        </w:rPr>
        <w:t xml:space="preserve">ينظر: </w:t>
      </w:r>
      <w:r w:rsidRPr="003F3583">
        <w:rPr>
          <w:rFonts w:ascii="Traditional Arabic" w:hint="cs"/>
          <w:color w:val="auto"/>
          <w:sz w:val="32"/>
          <w:szCs w:val="32"/>
          <w:rtl/>
        </w:rPr>
        <w:t>الإشراف</w:t>
      </w:r>
      <w:r>
        <w:rPr>
          <w:rFonts w:ascii="Traditional Arabic" w:hint="cs"/>
          <w:color w:val="auto"/>
          <w:sz w:val="32"/>
          <w:szCs w:val="32"/>
          <w:rtl/>
        </w:rPr>
        <w:t xml:space="preserve"> لقاضي عبد الوهاب</w:t>
      </w:r>
      <w:r w:rsidRPr="003F3583">
        <w:rPr>
          <w:rFonts w:ascii="Traditional Arabic" w:hint="cs"/>
          <w:color w:val="auto"/>
          <w:sz w:val="32"/>
          <w:szCs w:val="32"/>
          <w:rtl/>
        </w:rPr>
        <w:t>1/254.</w:t>
      </w:r>
    </w:p>
  </w:footnote>
  <w:footnote w:id="15">
    <w:p w:rsidR="00CC73B6" w:rsidRPr="003F3583" w:rsidRDefault="00CC73B6" w:rsidP="00A14661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3F3583">
        <w:rPr>
          <w:rFonts w:hint="cs"/>
          <w:color w:val="auto"/>
          <w:sz w:val="32"/>
          <w:szCs w:val="32"/>
          <w:rtl/>
        </w:rPr>
        <w:t xml:space="preserve">ينظر: </w:t>
      </w:r>
      <w:r>
        <w:rPr>
          <w:rFonts w:ascii="Traditional Arabic" w:hint="cs"/>
          <w:color w:val="auto"/>
          <w:sz w:val="32"/>
          <w:szCs w:val="32"/>
          <w:rtl/>
        </w:rPr>
        <w:t>نفس المصدر السابق.</w:t>
      </w:r>
    </w:p>
  </w:footnote>
  <w:footnote w:id="16">
    <w:p w:rsidR="00CD46A9" w:rsidRPr="003F3583" w:rsidRDefault="00CD46A9" w:rsidP="009428BB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9428BB">
        <w:rPr>
          <w:color w:val="auto"/>
          <w:sz w:val="32"/>
          <w:szCs w:val="32"/>
          <w:rtl/>
        </w:rPr>
        <w:t>(</w:t>
      </w:r>
      <w:r w:rsidRPr="009428BB">
        <w:rPr>
          <w:rStyle w:val="ae"/>
          <w:color w:val="auto"/>
          <w:sz w:val="32"/>
          <w:szCs w:val="32"/>
          <w:vertAlign w:val="baseline"/>
        </w:rPr>
        <w:footnoteRef/>
      </w:r>
      <w:r w:rsidRPr="009428BB">
        <w:rPr>
          <w:color w:val="auto"/>
          <w:sz w:val="32"/>
          <w:szCs w:val="32"/>
          <w:rtl/>
        </w:rPr>
        <w:t xml:space="preserve">) </w:t>
      </w:r>
      <w:r w:rsidRPr="009428BB">
        <w:rPr>
          <w:rFonts w:hint="cs"/>
          <w:color w:val="auto"/>
          <w:sz w:val="32"/>
          <w:szCs w:val="32"/>
          <w:rtl/>
        </w:rPr>
        <w:t xml:space="preserve">تقدم </w:t>
      </w:r>
      <w:r w:rsidR="009428BB" w:rsidRPr="009428BB">
        <w:rPr>
          <w:rFonts w:ascii="Traditional Arabic" w:hint="cs"/>
          <w:color w:val="auto"/>
          <w:sz w:val="32"/>
          <w:szCs w:val="32"/>
          <w:rtl/>
        </w:rPr>
        <w:t>تخريجه في ص (793-794).</w:t>
      </w:r>
    </w:p>
  </w:footnote>
  <w:footnote w:id="17">
    <w:p w:rsidR="00A43D5C" w:rsidRPr="003F3583" w:rsidRDefault="00A43D5C" w:rsidP="001F2D2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 w:rsidR="008107DA" w:rsidRPr="003F3583">
        <w:rPr>
          <w:rFonts w:hint="cs"/>
          <w:color w:val="auto"/>
          <w:sz w:val="32"/>
          <w:szCs w:val="32"/>
          <w:rtl/>
        </w:rPr>
        <w:t xml:space="preserve"> </w:t>
      </w:r>
      <w:r w:rsidRPr="003F3583">
        <w:rPr>
          <w:rFonts w:hint="cs"/>
          <w:color w:val="auto"/>
          <w:sz w:val="32"/>
          <w:szCs w:val="32"/>
          <w:rtl/>
        </w:rPr>
        <w:t>أخرجه ابن ماجه في سننه في كتاب إقامة الصلاة والسنة فيها,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باب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إتمام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الصلاة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hint="cs"/>
          <w:color w:val="auto"/>
          <w:sz w:val="32"/>
          <w:szCs w:val="32"/>
          <w:rtl/>
        </w:rPr>
        <w:t xml:space="preserve">ص136, برقم </w:t>
      </w:r>
      <w:r w:rsidRPr="003F3583">
        <w:rPr>
          <w:color w:val="auto"/>
          <w:sz w:val="32"/>
          <w:szCs w:val="32"/>
          <w:rtl/>
        </w:rPr>
        <w:t>1060</w:t>
      </w:r>
      <w:r w:rsidR="001E282A">
        <w:rPr>
          <w:rFonts w:hint="cs"/>
          <w:color w:val="auto"/>
          <w:sz w:val="32"/>
          <w:szCs w:val="32"/>
          <w:rtl/>
        </w:rPr>
        <w:t>, وأحمد في مسنده31/333, برقم</w:t>
      </w:r>
      <w:r w:rsidRPr="003F3583">
        <w:rPr>
          <w:color w:val="auto"/>
          <w:sz w:val="32"/>
          <w:szCs w:val="32"/>
          <w:rtl/>
        </w:rPr>
        <w:t>18997</w:t>
      </w:r>
      <w:r w:rsidRPr="003F3583">
        <w:rPr>
          <w:rFonts w:hint="cs"/>
          <w:color w:val="auto"/>
          <w:sz w:val="32"/>
          <w:szCs w:val="32"/>
          <w:rtl/>
        </w:rPr>
        <w:t>, البيهقي في السنن</w:t>
      </w:r>
      <w:r w:rsidR="006D0C68">
        <w:rPr>
          <w:rFonts w:hint="cs"/>
          <w:color w:val="auto"/>
          <w:sz w:val="32"/>
          <w:szCs w:val="32"/>
          <w:rtl/>
        </w:rPr>
        <w:t xml:space="preserve"> الكبرى, في كتاب الصلاة,</w:t>
      </w:r>
      <w:r w:rsidRPr="003F3583">
        <w:rPr>
          <w:rFonts w:hint="cs"/>
          <w:color w:val="auto"/>
          <w:sz w:val="32"/>
          <w:szCs w:val="32"/>
          <w:rtl/>
        </w:rPr>
        <w:t xml:space="preserve"> باب جماع أبواب أقل ما يجزئ من عمل الصلاة وأكثره2/725, برقم</w:t>
      </w:r>
      <w:r w:rsidR="003212B0" w:rsidRPr="003F3583">
        <w:rPr>
          <w:rFonts w:hint="cs"/>
          <w:color w:val="auto"/>
          <w:sz w:val="32"/>
          <w:szCs w:val="32"/>
          <w:rtl/>
        </w:rPr>
        <w:t>3943.</w:t>
      </w:r>
      <w:r w:rsidR="002803AD" w:rsidRPr="003F3583">
        <w:rPr>
          <w:rFonts w:hint="cs"/>
          <w:color w:val="auto"/>
          <w:sz w:val="32"/>
          <w:szCs w:val="32"/>
          <w:rtl/>
        </w:rPr>
        <w:t xml:space="preserve"> والحديث صححه الأ</w:t>
      </w:r>
      <w:r w:rsidR="006D0C68">
        <w:rPr>
          <w:rFonts w:hint="cs"/>
          <w:color w:val="auto"/>
          <w:sz w:val="32"/>
          <w:szCs w:val="32"/>
          <w:rtl/>
        </w:rPr>
        <w:t xml:space="preserve">لباني في إرواء الغليل1/221, </w:t>
      </w:r>
      <w:r w:rsidR="001E282A">
        <w:rPr>
          <w:rFonts w:hint="cs"/>
          <w:color w:val="auto"/>
          <w:sz w:val="32"/>
          <w:szCs w:val="32"/>
          <w:rtl/>
        </w:rPr>
        <w:t>برقم</w:t>
      </w:r>
      <w:r w:rsidR="00497D96">
        <w:rPr>
          <w:rFonts w:hint="cs"/>
          <w:color w:val="auto"/>
          <w:sz w:val="32"/>
          <w:szCs w:val="32"/>
          <w:rtl/>
        </w:rPr>
        <w:t>289.</w:t>
      </w:r>
    </w:p>
  </w:footnote>
  <w:footnote w:id="18">
    <w:p w:rsidR="001B1661" w:rsidRPr="003F3583" w:rsidRDefault="001B1661" w:rsidP="001F2D2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 w:rsidR="008107DA" w:rsidRPr="003F3583">
        <w:rPr>
          <w:rFonts w:ascii="Traditional Arabic" w:hint="cs"/>
          <w:color w:val="auto"/>
          <w:sz w:val="32"/>
          <w:szCs w:val="32"/>
          <w:rtl/>
        </w:rPr>
        <w:t xml:space="preserve"> ينظر: </w:t>
      </w:r>
      <w:r w:rsidR="007B3BEF">
        <w:rPr>
          <w:rFonts w:ascii="Traditional Arabic" w:hint="cs"/>
          <w:color w:val="auto"/>
          <w:sz w:val="32"/>
          <w:szCs w:val="32"/>
          <w:rtl/>
        </w:rPr>
        <w:t>بدائع الصنائع</w:t>
      </w:r>
      <w:r w:rsidRPr="003F3583">
        <w:rPr>
          <w:rFonts w:ascii="Traditional Arabic" w:hint="cs"/>
          <w:color w:val="auto"/>
          <w:sz w:val="32"/>
          <w:szCs w:val="32"/>
          <w:rtl/>
        </w:rPr>
        <w:t>1/209, ومرعاة المفاتيح3/6,</w:t>
      </w:r>
    </w:p>
  </w:footnote>
  <w:footnote w:id="19">
    <w:p w:rsidR="001A0E19" w:rsidRPr="003F3583" w:rsidRDefault="001A0E19" w:rsidP="001F2D2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 w:rsidRPr="003F3583">
        <w:rPr>
          <w:rFonts w:ascii="Traditional Arabic" w:hint="cs"/>
          <w:color w:val="auto"/>
          <w:sz w:val="32"/>
          <w:szCs w:val="32"/>
          <w:rtl/>
        </w:rPr>
        <w:t xml:space="preserve"> أخرجه ابن أب</w:t>
      </w:r>
      <w:r w:rsidR="0022288E">
        <w:rPr>
          <w:rFonts w:ascii="Traditional Arabic" w:hint="cs"/>
          <w:color w:val="auto"/>
          <w:sz w:val="32"/>
          <w:szCs w:val="32"/>
          <w:rtl/>
        </w:rPr>
        <w:t>ي شيبة في مصنفه في كتاب الصلاة,</w:t>
      </w:r>
      <w:r w:rsidRPr="003F3583">
        <w:rPr>
          <w:rFonts w:ascii="Traditional Arabic" w:hint="cs"/>
          <w:color w:val="auto"/>
          <w:sz w:val="32"/>
          <w:szCs w:val="32"/>
          <w:rtl/>
        </w:rPr>
        <w:t xml:space="preserve"> باب 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في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الرجل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ينقص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صلاته،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وما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ذكر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فيه،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وكيف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يصنع</w:t>
      </w:r>
      <w:r w:rsidRPr="003F3583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F3583">
        <w:rPr>
          <w:rFonts w:ascii="Traditional Arabic" w:hint="eastAsia"/>
          <w:color w:val="auto"/>
          <w:sz w:val="32"/>
          <w:szCs w:val="32"/>
          <w:rtl/>
        </w:rPr>
        <w:t>فيها</w:t>
      </w:r>
      <w:r w:rsidRPr="003F3583">
        <w:rPr>
          <w:rFonts w:hint="cs"/>
          <w:color w:val="auto"/>
          <w:sz w:val="32"/>
          <w:szCs w:val="32"/>
          <w:rtl/>
        </w:rPr>
        <w:t xml:space="preserve"> 2/551-552, برقم </w:t>
      </w:r>
      <w:r w:rsidRPr="003F3583">
        <w:rPr>
          <w:rFonts w:ascii="Traditional Arabic"/>
          <w:color w:val="auto"/>
          <w:sz w:val="32"/>
          <w:szCs w:val="32"/>
          <w:rtl/>
        </w:rPr>
        <w:t>2975</w:t>
      </w:r>
      <w:r w:rsidRPr="003F3583">
        <w:rPr>
          <w:rFonts w:ascii="Traditional Arabic" w:hint="cs"/>
          <w:color w:val="auto"/>
          <w:sz w:val="32"/>
          <w:szCs w:val="32"/>
          <w:rtl/>
        </w:rPr>
        <w:t>.</w:t>
      </w:r>
    </w:p>
  </w:footnote>
  <w:footnote w:id="20">
    <w:p w:rsidR="001B1661" w:rsidRPr="003F3583" w:rsidRDefault="001B1661" w:rsidP="001F2D2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 w:rsidR="0013022D" w:rsidRPr="003F3583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8107DA" w:rsidRPr="003F3583">
        <w:rPr>
          <w:rFonts w:ascii="Traditional Arabic" w:hint="cs"/>
          <w:color w:val="auto"/>
          <w:sz w:val="32"/>
          <w:szCs w:val="32"/>
          <w:rtl/>
        </w:rPr>
        <w:t xml:space="preserve">ينظر: </w:t>
      </w:r>
      <w:r w:rsidR="00165D1B" w:rsidRPr="003F3583">
        <w:rPr>
          <w:rFonts w:ascii="Traditional Arabic" w:hint="cs"/>
          <w:color w:val="auto"/>
          <w:sz w:val="32"/>
          <w:szCs w:val="32"/>
          <w:rtl/>
        </w:rPr>
        <w:t xml:space="preserve">المبسوط للسرخسي1/189, </w:t>
      </w:r>
      <w:r w:rsidRPr="003F3583">
        <w:rPr>
          <w:rFonts w:ascii="Traditional Arabic" w:hint="cs"/>
          <w:color w:val="auto"/>
          <w:sz w:val="32"/>
          <w:szCs w:val="32"/>
          <w:rtl/>
        </w:rPr>
        <w:t xml:space="preserve">وبدائع الصنائع1/509, </w:t>
      </w:r>
      <w:r w:rsidR="00165D1B" w:rsidRPr="003F3583">
        <w:rPr>
          <w:rFonts w:ascii="Traditional Arabic" w:hint="cs"/>
          <w:color w:val="auto"/>
          <w:sz w:val="32"/>
          <w:szCs w:val="32"/>
          <w:rtl/>
        </w:rPr>
        <w:t>و</w:t>
      </w:r>
      <w:r w:rsidRPr="003F3583">
        <w:rPr>
          <w:rFonts w:ascii="Traditional Arabic" w:hint="cs"/>
          <w:color w:val="auto"/>
          <w:sz w:val="32"/>
          <w:szCs w:val="32"/>
          <w:rtl/>
        </w:rPr>
        <w:t>مرعاة المفاتيح3/7.</w:t>
      </w:r>
    </w:p>
  </w:footnote>
  <w:footnote w:id="21">
    <w:p w:rsidR="001B1661" w:rsidRPr="003F3583" w:rsidRDefault="001B1661" w:rsidP="001F2D2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 w:rsidR="008107DA" w:rsidRPr="003F3583">
        <w:rPr>
          <w:rFonts w:ascii="Traditional Arabic" w:hint="cs"/>
          <w:color w:val="auto"/>
          <w:sz w:val="32"/>
          <w:szCs w:val="32"/>
          <w:rtl/>
        </w:rPr>
        <w:t xml:space="preserve"> ينظر: </w:t>
      </w:r>
      <w:r w:rsidR="00BE4BBC" w:rsidRPr="003F3583">
        <w:rPr>
          <w:rFonts w:ascii="Traditional Arabic" w:hint="cs"/>
          <w:color w:val="auto"/>
          <w:sz w:val="32"/>
          <w:szCs w:val="32"/>
          <w:rtl/>
        </w:rPr>
        <w:t>بدائع الصنائع1/509, والعناية1/300.</w:t>
      </w:r>
    </w:p>
  </w:footnote>
  <w:footnote w:id="22">
    <w:p w:rsidR="000C363D" w:rsidRPr="003F3583" w:rsidRDefault="000C363D" w:rsidP="009428BB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 xml:space="preserve">) </w:t>
      </w:r>
      <w:r w:rsidR="00497D96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9428BB">
        <w:rPr>
          <w:rFonts w:hint="cs"/>
          <w:color w:val="auto"/>
          <w:sz w:val="32"/>
          <w:szCs w:val="32"/>
          <w:rtl/>
        </w:rPr>
        <w:t>في ص (771).</w:t>
      </w:r>
    </w:p>
  </w:footnote>
  <w:footnote w:id="23">
    <w:p w:rsidR="001B1661" w:rsidRPr="003F3583" w:rsidRDefault="001B1661" w:rsidP="001F2D2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3F3583">
        <w:rPr>
          <w:color w:val="auto"/>
          <w:sz w:val="32"/>
          <w:szCs w:val="32"/>
          <w:rtl/>
        </w:rPr>
        <w:t>(</w:t>
      </w:r>
      <w:r w:rsidRPr="003F3583">
        <w:rPr>
          <w:rStyle w:val="ae"/>
          <w:color w:val="auto"/>
          <w:sz w:val="32"/>
          <w:szCs w:val="32"/>
          <w:vertAlign w:val="baseline"/>
        </w:rPr>
        <w:footnoteRef/>
      </w:r>
      <w:r w:rsidRPr="003F3583">
        <w:rPr>
          <w:color w:val="auto"/>
          <w:sz w:val="32"/>
          <w:szCs w:val="32"/>
          <w:rtl/>
        </w:rPr>
        <w:t>)</w:t>
      </w:r>
      <w:r w:rsidR="007B3BEF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D61E98" w:rsidRPr="003F3583">
        <w:rPr>
          <w:rFonts w:ascii="Traditional Arabic" w:hint="cs"/>
          <w:color w:val="auto"/>
          <w:sz w:val="32"/>
          <w:szCs w:val="32"/>
          <w:rtl/>
        </w:rPr>
        <w:t xml:space="preserve">ينظر: </w:t>
      </w:r>
      <w:r w:rsidRPr="003F3583">
        <w:rPr>
          <w:rFonts w:ascii="Traditional Arabic" w:hint="cs"/>
          <w:color w:val="auto"/>
          <w:sz w:val="32"/>
          <w:szCs w:val="32"/>
          <w:rtl/>
        </w:rPr>
        <w:t>المغني</w:t>
      </w:r>
      <w:r w:rsidR="00165D1B" w:rsidRPr="003F3583">
        <w:rPr>
          <w:rFonts w:ascii="Traditional Arabic" w:hint="cs"/>
          <w:color w:val="auto"/>
          <w:sz w:val="32"/>
          <w:szCs w:val="32"/>
          <w:rtl/>
        </w:rPr>
        <w:t>2/186,</w:t>
      </w:r>
      <w:r w:rsidRPr="003F3583">
        <w:rPr>
          <w:rFonts w:ascii="Traditional Arabic" w:hint="cs"/>
          <w:color w:val="auto"/>
          <w:sz w:val="32"/>
          <w:szCs w:val="32"/>
          <w:rtl/>
        </w:rPr>
        <w:t xml:space="preserve"> والمجموع3/390,</w:t>
      </w:r>
      <w:r w:rsidR="00165D1B" w:rsidRPr="003F3583">
        <w:rPr>
          <w:rFonts w:ascii="Traditional Arabic" w:hint="cs"/>
          <w:color w:val="auto"/>
          <w:sz w:val="32"/>
          <w:szCs w:val="32"/>
          <w:rtl/>
        </w:rPr>
        <w:t xml:space="preserve"> والمبدع1/441.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865FDE2599894A44A0B5DA1E12CF80C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2288E" w:rsidRPr="001F2D22" w:rsidRDefault="001F2D22" w:rsidP="001F2D2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1F2D2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الثالث عشر: </w:t>
        </w:r>
        <w:r w:rsidR="0022288E" w:rsidRPr="001F2D2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حكم رفع الرأس</w:t>
        </w:r>
        <w:r w:rsidR="007A7224" w:rsidRPr="001F2D2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من الركوع  </w:t>
        </w:r>
        <w:r w:rsidR="0022288E" w:rsidRPr="001F2D2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والاعتدال فيه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FE864CF"/>
    <w:multiLevelType w:val="hybridMultilevel"/>
    <w:tmpl w:val="8CFC131E"/>
    <w:lvl w:ilvl="0" w:tplc="883E239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7410"/>
    <o:shapelayout v:ext="edit">
      <o:idmap v:ext="edit" data="1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A0364"/>
    <w:rsid w:val="00024F6E"/>
    <w:rsid w:val="000273BC"/>
    <w:rsid w:val="00034E30"/>
    <w:rsid w:val="00051AF1"/>
    <w:rsid w:val="00072563"/>
    <w:rsid w:val="00072E63"/>
    <w:rsid w:val="00075B92"/>
    <w:rsid w:val="000762B5"/>
    <w:rsid w:val="000C363D"/>
    <w:rsid w:val="000F66E4"/>
    <w:rsid w:val="0013022D"/>
    <w:rsid w:val="001548B8"/>
    <w:rsid w:val="001565A6"/>
    <w:rsid w:val="001613BA"/>
    <w:rsid w:val="001623B4"/>
    <w:rsid w:val="00165D1B"/>
    <w:rsid w:val="001912D0"/>
    <w:rsid w:val="00195B34"/>
    <w:rsid w:val="001A0E19"/>
    <w:rsid w:val="001A67A2"/>
    <w:rsid w:val="001B1661"/>
    <w:rsid w:val="001B3220"/>
    <w:rsid w:val="001E282A"/>
    <w:rsid w:val="001F2D22"/>
    <w:rsid w:val="001F7752"/>
    <w:rsid w:val="00206423"/>
    <w:rsid w:val="00207665"/>
    <w:rsid w:val="0021092D"/>
    <w:rsid w:val="00211079"/>
    <w:rsid w:val="0021145E"/>
    <w:rsid w:val="0022288E"/>
    <w:rsid w:val="00236714"/>
    <w:rsid w:val="00247F6A"/>
    <w:rsid w:val="00253763"/>
    <w:rsid w:val="0027624A"/>
    <w:rsid w:val="002803AD"/>
    <w:rsid w:val="002C46BD"/>
    <w:rsid w:val="002D5C6A"/>
    <w:rsid w:val="00302C97"/>
    <w:rsid w:val="00305526"/>
    <w:rsid w:val="003212B0"/>
    <w:rsid w:val="00336EC0"/>
    <w:rsid w:val="00340554"/>
    <w:rsid w:val="00344162"/>
    <w:rsid w:val="003758DC"/>
    <w:rsid w:val="00391EAA"/>
    <w:rsid w:val="003930D7"/>
    <w:rsid w:val="003C7C2C"/>
    <w:rsid w:val="003D7B61"/>
    <w:rsid w:val="003F3583"/>
    <w:rsid w:val="004135B4"/>
    <w:rsid w:val="00416873"/>
    <w:rsid w:val="004171EC"/>
    <w:rsid w:val="004324B9"/>
    <w:rsid w:val="004445F8"/>
    <w:rsid w:val="00457045"/>
    <w:rsid w:val="00462C08"/>
    <w:rsid w:val="004643A4"/>
    <w:rsid w:val="00497D96"/>
    <w:rsid w:val="004A0364"/>
    <w:rsid w:val="004D7555"/>
    <w:rsid w:val="004D76E7"/>
    <w:rsid w:val="004E152A"/>
    <w:rsid w:val="004F63A9"/>
    <w:rsid w:val="00531094"/>
    <w:rsid w:val="005A54D4"/>
    <w:rsid w:val="005C12DA"/>
    <w:rsid w:val="005C7D9D"/>
    <w:rsid w:val="005D06B4"/>
    <w:rsid w:val="005D26AF"/>
    <w:rsid w:val="005F023D"/>
    <w:rsid w:val="005F765E"/>
    <w:rsid w:val="00617D2F"/>
    <w:rsid w:val="0068596A"/>
    <w:rsid w:val="006A57CB"/>
    <w:rsid w:val="006D0C68"/>
    <w:rsid w:val="006E6B72"/>
    <w:rsid w:val="006E6BA2"/>
    <w:rsid w:val="006F1308"/>
    <w:rsid w:val="006F4CA7"/>
    <w:rsid w:val="00707F31"/>
    <w:rsid w:val="007117CB"/>
    <w:rsid w:val="0072531E"/>
    <w:rsid w:val="00731E15"/>
    <w:rsid w:val="007347FC"/>
    <w:rsid w:val="00740EA1"/>
    <w:rsid w:val="00777673"/>
    <w:rsid w:val="00781DA3"/>
    <w:rsid w:val="0078742D"/>
    <w:rsid w:val="007A7224"/>
    <w:rsid w:val="007B3BEF"/>
    <w:rsid w:val="007B5D2B"/>
    <w:rsid w:val="007C282B"/>
    <w:rsid w:val="007F60BE"/>
    <w:rsid w:val="008107DA"/>
    <w:rsid w:val="00814065"/>
    <w:rsid w:val="0081421C"/>
    <w:rsid w:val="008452E1"/>
    <w:rsid w:val="00870E8B"/>
    <w:rsid w:val="00875E98"/>
    <w:rsid w:val="008D6A77"/>
    <w:rsid w:val="00932B99"/>
    <w:rsid w:val="009428BB"/>
    <w:rsid w:val="00953F31"/>
    <w:rsid w:val="00973CEF"/>
    <w:rsid w:val="00987B4F"/>
    <w:rsid w:val="00991E40"/>
    <w:rsid w:val="009A7ACE"/>
    <w:rsid w:val="009B682D"/>
    <w:rsid w:val="009B7238"/>
    <w:rsid w:val="009C1690"/>
    <w:rsid w:val="009C3FD8"/>
    <w:rsid w:val="009E4028"/>
    <w:rsid w:val="00A07304"/>
    <w:rsid w:val="00A07609"/>
    <w:rsid w:val="00A14661"/>
    <w:rsid w:val="00A30AC9"/>
    <w:rsid w:val="00A43D5C"/>
    <w:rsid w:val="00A44C74"/>
    <w:rsid w:val="00A6590E"/>
    <w:rsid w:val="00A77F3D"/>
    <w:rsid w:val="00A8636A"/>
    <w:rsid w:val="00AA7559"/>
    <w:rsid w:val="00AB7921"/>
    <w:rsid w:val="00B24F08"/>
    <w:rsid w:val="00B432B8"/>
    <w:rsid w:val="00B45AC7"/>
    <w:rsid w:val="00B75AAB"/>
    <w:rsid w:val="00B93BA9"/>
    <w:rsid w:val="00BC5C66"/>
    <w:rsid w:val="00BE3477"/>
    <w:rsid w:val="00BE4BBC"/>
    <w:rsid w:val="00BF2AF6"/>
    <w:rsid w:val="00C01FB0"/>
    <w:rsid w:val="00C10FFD"/>
    <w:rsid w:val="00C126BD"/>
    <w:rsid w:val="00C26B29"/>
    <w:rsid w:val="00C5563F"/>
    <w:rsid w:val="00C55971"/>
    <w:rsid w:val="00C742EA"/>
    <w:rsid w:val="00C81893"/>
    <w:rsid w:val="00C82CAE"/>
    <w:rsid w:val="00CA05DD"/>
    <w:rsid w:val="00CC73B6"/>
    <w:rsid w:val="00CD46A9"/>
    <w:rsid w:val="00CF18A3"/>
    <w:rsid w:val="00D242F6"/>
    <w:rsid w:val="00D404E6"/>
    <w:rsid w:val="00D61E98"/>
    <w:rsid w:val="00D675CF"/>
    <w:rsid w:val="00D83501"/>
    <w:rsid w:val="00D94774"/>
    <w:rsid w:val="00DC6DA0"/>
    <w:rsid w:val="00DE372E"/>
    <w:rsid w:val="00DE4B86"/>
    <w:rsid w:val="00E102A7"/>
    <w:rsid w:val="00E11D81"/>
    <w:rsid w:val="00E143F7"/>
    <w:rsid w:val="00E40ACF"/>
    <w:rsid w:val="00E82B11"/>
    <w:rsid w:val="00E97C19"/>
    <w:rsid w:val="00ED6969"/>
    <w:rsid w:val="00EE0593"/>
    <w:rsid w:val="00EE0FE9"/>
    <w:rsid w:val="00F01744"/>
    <w:rsid w:val="00F21F53"/>
    <w:rsid w:val="00F332AE"/>
    <w:rsid w:val="00F55784"/>
    <w:rsid w:val="00F70AF8"/>
    <w:rsid w:val="00F97628"/>
    <w:rsid w:val="00FA7D6F"/>
    <w:rsid w:val="00FB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364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CD46A9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1A67A2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5C12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5C12DA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22288E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5FDE2599894A44A0B5DA1E12CF80C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E528783-D8E7-4CD9-85EC-D342D9578635}"/>
      </w:docPartPr>
      <w:docPartBody>
        <w:p w:rsidR="00A24EFD" w:rsidRDefault="00542E39" w:rsidP="00542E39">
          <w:pPr>
            <w:pStyle w:val="865FDE2599894A44A0B5DA1E12CF80C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42E39"/>
    <w:rsid w:val="002527B8"/>
    <w:rsid w:val="00542E39"/>
    <w:rsid w:val="00636418"/>
    <w:rsid w:val="0067406C"/>
    <w:rsid w:val="00794788"/>
    <w:rsid w:val="00937846"/>
    <w:rsid w:val="00A24EFD"/>
    <w:rsid w:val="00DE69AF"/>
    <w:rsid w:val="00EC0319"/>
    <w:rsid w:val="00EE1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E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5FDE2599894A44A0B5DA1E12CF80CE">
    <w:name w:val="865FDE2599894A44A0B5DA1E12CF80CE"/>
    <w:rsid w:val="00542E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720A4-AC87-4C9D-8E7B-104909D5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 عشر: حكم رفع الرأس من الركوع  والاعتدال فيه</dc:title>
  <dc:subject/>
  <dc:creator>Almutamaiz</dc:creator>
  <cp:keywords/>
  <dc:description/>
  <cp:lastModifiedBy>Corporate Edition</cp:lastModifiedBy>
  <cp:revision>97</cp:revision>
  <dcterms:created xsi:type="dcterms:W3CDTF">2012-04-07T14:24:00Z</dcterms:created>
  <dcterms:modified xsi:type="dcterms:W3CDTF">2013-05-02T05:38:00Z</dcterms:modified>
</cp:coreProperties>
</file>