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D20" w:rsidRPr="00E51156" w:rsidRDefault="00E51156" w:rsidP="00E51156">
      <w:pPr>
        <w:widowControl w:val="0"/>
        <w:jc w:val="center"/>
        <w:outlineLvl w:val="3"/>
        <w:rPr>
          <w:rFonts w:cs="AL-Mateen"/>
          <w:sz w:val="36"/>
          <w:szCs w:val="36"/>
          <w:rtl/>
        </w:rPr>
      </w:pPr>
      <w:bookmarkStart w:id="0" w:name="_Toc241664116"/>
      <w:bookmarkStart w:id="1" w:name="_Toc242152006"/>
      <w:bookmarkStart w:id="2" w:name="_Toc242194057"/>
      <w:r>
        <w:rPr>
          <w:rFonts w:cs="AL-Mateen" w:hint="cs"/>
          <w:sz w:val="36"/>
          <w:szCs w:val="36"/>
          <w:rtl/>
        </w:rPr>
        <w:t>المطلب الثالث</w:t>
      </w:r>
      <w:r w:rsidR="007C7D20" w:rsidRPr="00E51156">
        <w:rPr>
          <w:rFonts w:cs="AL-Mateen" w:hint="cs"/>
          <w:sz w:val="36"/>
          <w:szCs w:val="36"/>
          <w:rtl/>
        </w:rPr>
        <w:t xml:space="preserve">: </w:t>
      </w:r>
      <w:r w:rsidR="007C7D20" w:rsidRPr="00E51156">
        <w:rPr>
          <w:rFonts w:cs="AL-Mateen"/>
          <w:sz w:val="36"/>
          <w:szCs w:val="36"/>
          <w:rtl/>
        </w:rPr>
        <w:t>الصلاة في مرابض الغنم</w:t>
      </w:r>
      <w:bookmarkEnd w:id="0"/>
      <w:bookmarkEnd w:id="1"/>
      <w:bookmarkEnd w:id="2"/>
      <w:r w:rsidR="002F62A4" w:rsidRPr="00E51156">
        <w:rPr>
          <w:rFonts w:cs="AL-Mateen" w:hint="cs"/>
          <w:sz w:val="36"/>
          <w:szCs w:val="36"/>
          <w:rtl/>
        </w:rPr>
        <w:t>.</w:t>
      </w:r>
    </w:p>
    <w:p w:rsidR="00452D1F" w:rsidRPr="00E51156" w:rsidRDefault="002F62A4" w:rsidP="00E51156">
      <w:pPr>
        <w:widowControl w:val="0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E51156">
        <w:rPr>
          <w:rFonts w:ascii="Lotus Linotype" w:hAnsi="Lotus Linotype" w:cs="Lotus Linotype"/>
          <w:b/>
          <w:bCs/>
          <w:sz w:val="36"/>
          <w:szCs w:val="36"/>
          <w:rtl/>
        </w:rPr>
        <w:t>اختار المباركفوري</w:t>
      </w:r>
      <w:r w:rsidR="000213CD" w:rsidRPr="00E51156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رحمه الله تعالى</w:t>
      </w:r>
      <w:r w:rsidRPr="00E51156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</w:t>
      </w:r>
      <w:r w:rsidR="006C507C" w:rsidRPr="00E51156">
        <w:rPr>
          <w:rFonts w:ascii="Lotus Linotype" w:hAnsi="Lotus Linotype" w:cs="Lotus Linotype"/>
          <w:b/>
          <w:bCs/>
          <w:sz w:val="36"/>
          <w:szCs w:val="36"/>
          <w:rtl/>
        </w:rPr>
        <w:t>جواز الصلاة في مرابض الغنم مطلقا</w:t>
      </w:r>
      <w:r w:rsidR="000213CD" w:rsidRPr="00E51156">
        <w:rPr>
          <w:rFonts w:ascii="Lotus Linotype" w:hAnsi="Lotus Linotype" w:cs="Lotus Linotype"/>
          <w:b/>
          <w:bCs/>
          <w:sz w:val="36"/>
          <w:szCs w:val="36"/>
          <w:rtl/>
        </w:rPr>
        <w:t>, فقال: "والإذن بالصلاة فيها مطلق, ليس فيه تخصيص موضع دون موضع ولا تقييد بحائل يقي من الأبوال, وهذا هو الحق خلافا لأبي حنيفة والشافعي"</w:t>
      </w:r>
      <w:r w:rsidR="006C507C" w:rsidRPr="00E51156">
        <w:rPr>
          <w:rStyle w:val="ae"/>
          <w:rFonts w:ascii="Lotus Linotype" w:hAnsi="Lotus Linotype"/>
          <w:b/>
          <w:bCs/>
          <w:sz w:val="36"/>
          <w:szCs w:val="36"/>
          <w:rtl/>
        </w:rPr>
        <w:t>(</w:t>
      </w:r>
      <w:r w:rsidR="006C507C" w:rsidRPr="00E51156">
        <w:rPr>
          <w:rStyle w:val="ae"/>
          <w:rFonts w:ascii="Lotus Linotype" w:hAnsi="Lotus Linotype"/>
          <w:b/>
          <w:bCs/>
          <w:sz w:val="36"/>
          <w:szCs w:val="36"/>
          <w:rtl/>
        </w:rPr>
        <w:footnoteReference w:id="2"/>
      </w:r>
      <w:r w:rsidR="006C507C" w:rsidRPr="00E51156">
        <w:rPr>
          <w:rStyle w:val="ae"/>
          <w:rFonts w:ascii="Lotus Linotype" w:hAnsi="Lotus Linotype"/>
          <w:b/>
          <w:bCs/>
          <w:sz w:val="36"/>
          <w:szCs w:val="36"/>
          <w:rtl/>
        </w:rPr>
        <w:t>)</w:t>
      </w:r>
      <w:r w:rsidR="006C507C" w:rsidRPr="00E51156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</w:p>
    <w:p w:rsidR="00E2367A" w:rsidRDefault="000213CD" w:rsidP="00E51156">
      <w:pPr>
        <w:widowControl w:val="0"/>
        <w:jc w:val="lowKashida"/>
        <w:rPr>
          <w:rFonts w:cs="Traditional Arabic"/>
          <w:b/>
          <w:bCs/>
          <w:sz w:val="36"/>
          <w:szCs w:val="36"/>
          <w:rtl/>
        </w:rPr>
      </w:pPr>
      <w:r w:rsidRPr="00E2367A">
        <w:rPr>
          <w:rFonts w:cs="Traditional Arabic" w:hint="cs"/>
          <w:b/>
          <w:bCs/>
          <w:sz w:val="36"/>
          <w:szCs w:val="36"/>
          <w:rtl/>
        </w:rPr>
        <w:t>و</w:t>
      </w:r>
      <w:r w:rsidR="005E513F">
        <w:rPr>
          <w:rFonts w:cs="Traditional Arabic" w:hint="cs"/>
          <w:b/>
          <w:bCs/>
          <w:sz w:val="36"/>
          <w:szCs w:val="36"/>
          <w:rtl/>
        </w:rPr>
        <w:t>الذي اختاره المباركفوري رحمه الله هو مجمع عليه عند العلماء حيث</w:t>
      </w:r>
      <w:r w:rsidR="00481068">
        <w:rPr>
          <w:rFonts w:cs="Traditional Arabic" w:hint="cs"/>
          <w:b/>
          <w:bCs/>
          <w:sz w:val="36"/>
          <w:szCs w:val="36"/>
          <w:rtl/>
        </w:rPr>
        <w:t xml:space="preserve"> قال ابن المنذر رحمه الله تعالى</w:t>
      </w:r>
      <w:r w:rsidR="00E51156">
        <w:rPr>
          <w:rFonts w:cs="Traditional Arabic" w:hint="cs"/>
          <w:b/>
          <w:bCs/>
          <w:sz w:val="36"/>
          <w:szCs w:val="36"/>
          <w:rtl/>
        </w:rPr>
        <w:t>:"</w:t>
      </w:r>
      <w:r w:rsidR="005E513F">
        <w:rPr>
          <w:rFonts w:cs="Traditional Arabic" w:hint="cs"/>
          <w:b/>
          <w:bCs/>
          <w:sz w:val="36"/>
          <w:szCs w:val="36"/>
          <w:rtl/>
        </w:rPr>
        <w:t>وقد</w:t>
      </w:r>
      <w:r w:rsidRPr="00E2367A">
        <w:rPr>
          <w:rFonts w:cs="Traditional Arabic" w:hint="cs"/>
          <w:b/>
          <w:bCs/>
          <w:sz w:val="36"/>
          <w:szCs w:val="36"/>
          <w:rtl/>
        </w:rPr>
        <w:t xml:space="preserve"> أجمع العلماء على أن الصلاة في مرابض الغنم جائزة. وانفرد الشافعي فقال إذا كان سليما من أبوالها</w:t>
      </w:r>
      <w:r w:rsidR="00E51156">
        <w:rPr>
          <w:rFonts w:cs="Traditional Arabic" w:hint="cs"/>
          <w:b/>
          <w:bCs/>
          <w:sz w:val="36"/>
          <w:szCs w:val="36"/>
          <w:rtl/>
        </w:rPr>
        <w:t>"</w:t>
      </w:r>
      <w:r w:rsidR="00EC5052" w:rsidRPr="00E2367A">
        <w:rPr>
          <w:rStyle w:val="ae"/>
          <w:b/>
          <w:bCs/>
          <w:spacing w:val="-4"/>
          <w:sz w:val="36"/>
          <w:szCs w:val="36"/>
          <w:rtl/>
        </w:rPr>
        <w:t>(</w:t>
      </w:r>
      <w:r w:rsidR="00EC5052" w:rsidRPr="00E2367A">
        <w:rPr>
          <w:rStyle w:val="ae"/>
          <w:b/>
          <w:bCs/>
          <w:spacing w:val="-4"/>
          <w:sz w:val="36"/>
          <w:szCs w:val="36"/>
          <w:rtl/>
        </w:rPr>
        <w:footnoteReference w:id="3"/>
      </w:r>
      <w:r w:rsidR="00EC5052" w:rsidRPr="00E2367A">
        <w:rPr>
          <w:rStyle w:val="ae"/>
          <w:b/>
          <w:bCs/>
          <w:spacing w:val="-4"/>
          <w:sz w:val="36"/>
          <w:szCs w:val="36"/>
          <w:rtl/>
        </w:rPr>
        <w:t>)</w:t>
      </w:r>
      <w:r w:rsidR="00E2367A">
        <w:rPr>
          <w:rFonts w:cs="Traditional Arabic" w:hint="cs"/>
          <w:b/>
          <w:bCs/>
          <w:sz w:val="36"/>
          <w:szCs w:val="36"/>
          <w:rtl/>
        </w:rPr>
        <w:t>.</w:t>
      </w:r>
    </w:p>
    <w:p w:rsidR="000213CD" w:rsidRDefault="000213CD" w:rsidP="00E51156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E2367A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وقول الشافعي هذا مبني على مسألة طهارة بول</w:t>
      </w:r>
      <w:r w:rsidR="00EC5052">
        <w:rPr>
          <w:rFonts w:cs="Traditional Arabic" w:hint="cs"/>
          <w:sz w:val="36"/>
          <w:szCs w:val="36"/>
          <w:rtl/>
        </w:rPr>
        <w:t xml:space="preserve">, </w:t>
      </w:r>
      <w:r w:rsidR="005E513F">
        <w:rPr>
          <w:rFonts w:cs="Traditional Arabic" w:hint="cs"/>
          <w:sz w:val="36"/>
          <w:szCs w:val="36"/>
          <w:rtl/>
        </w:rPr>
        <w:t>و</w:t>
      </w:r>
      <w:r w:rsidR="00EC5052">
        <w:rPr>
          <w:rFonts w:cs="Traditional Arabic" w:hint="cs"/>
          <w:sz w:val="36"/>
          <w:szCs w:val="36"/>
          <w:rtl/>
        </w:rPr>
        <w:t>روث</w:t>
      </w:r>
      <w:r>
        <w:rPr>
          <w:rFonts w:cs="Traditional Arabic" w:hint="cs"/>
          <w:sz w:val="36"/>
          <w:szCs w:val="36"/>
          <w:rtl/>
        </w:rPr>
        <w:t xml:space="preserve"> الغنم ونجاسته</w:t>
      </w:r>
      <w:r w:rsidR="00EC5052">
        <w:rPr>
          <w:rFonts w:cs="Traditional Arabic" w:hint="cs"/>
          <w:sz w:val="36"/>
          <w:szCs w:val="36"/>
          <w:rtl/>
        </w:rPr>
        <w:t>م</w:t>
      </w:r>
      <w:r>
        <w:rPr>
          <w:rFonts w:cs="Traditional Arabic" w:hint="cs"/>
          <w:sz w:val="36"/>
          <w:szCs w:val="36"/>
          <w:rtl/>
        </w:rPr>
        <w:t>ا</w:t>
      </w:r>
      <w:r w:rsidR="00452D1F">
        <w:rPr>
          <w:rFonts w:cs="Traditional Arabic" w:hint="cs"/>
          <w:sz w:val="36"/>
          <w:szCs w:val="36"/>
          <w:rtl/>
        </w:rPr>
        <w:t>,</w:t>
      </w:r>
      <w:r>
        <w:rPr>
          <w:rFonts w:cs="Traditional Arabic" w:hint="cs"/>
          <w:sz w:val="36"/>
          <w:szCs w:val="36"/>
          <w:rtl/>
        </w:rPr>
        <w:t xml:space="preserve"> وقد سبق</w:t>
      </w:r>
      <w:r w:rsidR="00481068">
        <w:rPr>
          <w:rFonts w:cs="Traditional Arabic" w:hint="cs"/>
          <w:sz w:val="36"/>
          <w:szCs w:val="36"/>
          <w:rtl/>
        </w:rPr>
        <w:t xml:space="preserve"> لي أن بحثت المسألة هذه بعنوان:</w:t>
      </w:r>
      <w:r w:rsidR="00502D05">
        <w:rPr>
          <w:rFonts w:cs="Traditional Arabic" w:hint="cs"/>
          <w:sz w:val="36"/>
          <w:szCs w:val="36"/>
          <w:rtl/>
        </w:rPr>
        <w:t>"</w:t>
      </w:r>
      <w:r>
        <w:rPr>
          <w:rFonts w:cs="Traditional Arabic" w:hint="cs"/>
          <w:sz w:val="36"/>
          <w:szCs w:val="36"/>
          <w:rtl/>
        </w:rPr>
        <w:t>أبوال مأكول اللحم وأزباله</w:t>
      </w:r>
      <w:r w:rsidR="00502D05">
        <w:rPr>
          <w:rFonts w:cs="Traditional Arabic" w:hint="cs"/>
          <w:sz w:val="36"/>
          <w:szCs w:val="36"/>
          <w:rtl/>
        </w:rPr>
        <w:t>"</w:t>
      </w:r>
      <w:r>
        <w:rPr>
          <w:rFonts w:cs="Traditional Arabic" w:hint="cs"/>
          <w:sz w:val="36"/>
          <w:szCs w:val="36"/>
          <w:rtl/>
        </w:rPr>
        <w:t xml:space="preserve"> في</w:t>
      </w:r>
      <w:r w:rsidR="00502D05">
        <w:rPr>
          <w:rFonts w:cs="Traditional Arabic" w:hint="cs"/>
          <w:sz w:val="36"/>
          <w:szCs w:val="36"/>
          <w:rtl/>
        </w:rPr>
        <w:t xml:space="preserve"> المطلب العاشر</w:t>
      </w:r>
      <w:r>
        <w:rPr>
          <w:rFonts w:cs="Traditional Arabic" w:hint="cs"/>
          <w:sz w:val="36"/>
          <w:szCs w:val="36"/>
          <w:rtl/>
        </w:rPr>
        <w:t xml:space="preserve"> </w:t>
      </w:r>
      <w:r w:rsidR="00502D05">
        <w:rPr>
          <w:rFonts w:cs="Traditional Arabic" w:hint="cs"/>
          <w:sz w:val="36"/>
          <w:szCs w:val="36"/>
          <w:rtl/>
        </w:rPr>
        <w:t>من المبحث الأول للفصل الأول من ا</w:t>
      </w:r>
      <w:r w:rsidR="00452D1F">
        <w:rPr>
          <w:rFonts w:cs="Traditional Arabic" w:hint="cs"/>
          <w:sz w:val="36"/>
          <w:szCs w:val="36"/>
          <w:rtl/>
        </w:rPr>
        <w:t xml:space="preserve">لباب الأول, </w:t>
      </w:r>
      <w:r w:rsidR="00E2367A">
        <w:rPr>
          <w:rFonts w:cs="Traditional Arabic" w:hint="cs"/>
          <w:sz w:val="36"/>
          <w:szCs w:val="36"/>
          <w:rtl/>
        </w:rPr>
        <w:t xml:space="preserve">فآثرتُ عدم الإعادة </w:t>
      </w:r>
      <w:r w:rsidR="00452D1F">
        <w:rPr>
          <w:rFonts w:cs="Traditional Arabic" w:hint="cs"/>
          <w:sz w:val="36"/>
          <w:szCs w:val="36"/>
          <w:rtl/>
        </w:rPr>
        <w:t xml:space="preserve">هنا </w:t>
      </w:r>
      <w:r w:rsidR="007415A2">
        <w:rPr>
          <w:rFonts w:cs="Traditional Arabic" w:hint="cs"/>
          <w:sz w:val="36"/>
          <w:szCs w:val="36"/>
          <w:rtl/>
        </w:rPr>
        <w:t>مخافة الإطالة</w:t>
      </w:r>
      <w:r w:rsidR="00E2367A">
        <w:rPr>
          <w:rFonts w:cs="Traditional Arabic" w:hint="cs"/>
          <w:sz w:val="36"/>
          <w:szCs w:val="36"/>
          <w:rtl/>
        </w:rPr>
        <w:t>.</w:t>
      </w:r>
      <w:r>
        <w:rPr>
          <w:rFonts w:cs="Traditional Arabic" w:hint="cs"/>
          <w:sz w:val="36"/>
          <w:szCs w:val="36"/>
          <w:rtl/>
        </w:rPr>
        <w:t xml:space="preserve"> </w:t>
      </w:r>
    </w:p>
    <w:p w:rsidR="00C5563F" w:rsidRDefault="00C5563F" w:rsidP="00E51156">
      <w:pPr>
        <w:jc w:val="lowKashida"/>
      </w:pPr>
    </w:p>
    <w:sectPr w:rsidR="00C5563F" w:rsidSect="00F53F17">
      <w:headerReference w:type="default" r:id="rId7"/>
      <w:footerReference w:type="default" r:id="rId8"/>
      <w:pgSz w:w="11906" w:h="16838"/>
      <w:pgMar w:top="124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BD2" w:rsidRDefault="00924BD2" w:rsidP="007C7D20">
      <w:r>
        <w:separator/>
      </w:r>
    </w:p>
  </w:endnote>
  <w:endnote w:type="continuationSeparator" w:id="1">
    <w:p w:rsidR="00924BD2" w:rsidRDefault="00924BD2" w:rsidP="007C7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5A6" w:rsidRDefault="001A25A6">
    <w:pPr>
      <w:pStyle w:val="afc"/>
      <w:rPr>
        <w:rFonts w:hint="cs"/>
        <w:rtl/>
      </w:rPr>
    </w:pPr>
    <w:r>
      <w:rPr>
        <w:rFonts w:hint="cs"/>
        <w:noProof/>
        <w:rtl/>
      </w:rPr>
      <w:pict>
        <v:roundrect id="_x0000_s13313" style="position:absolute;left:0;text-align:left;margin-left:193.15pt;margin-top:-15.7pt;width:38.9pt;height:20.05pt;z-index:251658240;mso-position-horizontal-relative:margin" arcsize="10923f">
          <v:textbox style="mso-next-textbox:#_x0000_s13313">
            <w:txbxContent>
              <w:p w:rsidR="001A25A6" w:rsidRDefault="001A25A6" w:rsidP="001A25A6">
                <w:pPr>
                  <w:spacing w:line="216" w:lineRule="auto"/>
                  <w:jc w:val="center"/>
                  <w:rPr>
                    <w:rFonts w:cs="Arial" w:hint="cs"/>
                    <w:spacing w:val="-20"/>
                    <w:sz w:val="32"/>
                    <w:szCs w:val="32"/>
                    <w:rtl/>
                  </w:rPr>
                </w:pPr>
                <w:r>
                  <w:rPr>
                    <w:rFonts w:cs="Arial" w:hint="cs"/>
                    <w:spacing w:val="-20"/>
                    <w:sz w:val="32"/>
                    <w:szCs w:val="32"/>
                    <w:rtl/>
                  </w:rPr>
                  <w:t>686</w:t>
                </w:r>
              </w:p>
              <w:p w:rsidR="001A25A6" w:rsidRPr="00A6537B" w:rsidRDefault="001A25A6" w:rsidP="001A25A6">
                <w:pPr>
                  <w:spacing w:line="216" w:lineRule="auto"/>
                  <w:jc w:val="center"/>
                  <w:rPr>
                    <w:spacing w:val="-20"/>
                    <w:sz w:val="32"/>
                    <w:szCs w:val="32"/>
                  </w:rPr>
                </w:pPr>
              </w:p>
            </w:txbxContent>
          </v:textbox>
          <w10:wrap anchorx="margin"/>
        </v:round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BD2" w:rsidRDefault="00924BD2" w:rsidP="00452D1F">
      <w:pPr>
        <w:widowControl w:val="0"/>
        <w:jc w:val="both"/>
      </w:pPr>
      <w:r>
        <w:separator/>
      </w:r>
    </w:p>
  </w:footnote>
  <w:footnote w:type="continuationSeparator" w:id="1">
    <w:p w:rsidR="00924BD2" w:rsidRDefault="00924BD2" w:rsidP="00452D1F">
      <w:pPr>
        <w:widowControl w:val="0"/>
        <w:jc w:val="both"/>
      </w:pPr>
      <w:r>
        <w:separator/>
      </w:r>
    </w:p>
  </w:footnote>
  <w:footnote w:id="2">
    <w:p w:rsidR="006C507C" w:rsidRPr="00452D1F" w:rsidRDefault="006C507C" w:rsidP="00E51156">
      <w:pPr>
        <w:pStyle w:val="af3"/>
        <w:pageBreakBefore/>
        <w:ind w:left="340" w:hanging="340"/>
        <w:jc w:val="lowKashida"/>
        <w:rPr>
          <w:sz w:val="32"/>
          <w:szCs w:val="32"/>
        </w:rPr>
      </w:pPr>
      <w:r w:rsidRPr="00452D1F">
        <w:rPr>
          <w:sz w:val="32"/>
          <w:szCs w:val="32"/>
          <w:rtl/>
        </w:rPr>
        <w:t>(</w:t>
      </w:r>
      <w:r w:rsidRPr="00452D1F">
        <w:rPr>
          <w:rStyle w:val="ae"/>
          <w:sz w:val="32"/>
          <w:szCs w:val="32"/>
          <w:vertAlign w:val="baseline"/>
        </w:rPr>
        <w:footnoteRef/>
      </w:r>
      <w:r w:rsidRPr="00452D1F">
        <w:rPr>
          <w:sz w:val="32"/>
          <w:szCs w:val="32"/>
          <w:rtl/>
        </w:rPr>
        <w:t xml:space="preserve">)  </w:t>
      </w:r>
      <w:r w:rsidR="00530567" w:rsidRPr="00452D1F">
        <w:rPr>
          <w:rFonts w:hint="cs"/>
          <w:sz w:val="32"/>
          <w:szCs w:val="32"/>
          <w:rtl/>
        </w:rPr>
        <w:t xml:space="preserve">ينظر: </w:t>
      </w:r>
      <w:r w:rsidRPr="00452D1F">
        <w:rPr>
          <w:rFonts w:hint="cs"/>
          <w:sz w:val="32"/>
          <w:szCs w:val="32"/>
          <w:rtl/>
        </w:rPr>
        <w:t>مرعاة المفاتيح 2</w:t>
      </w:r>
      <w:r w:rsidR="002F62A4" w:rsidRPr="00452D1F">
        <w:rPr>
          <w:rFonts w:hint="cs"/>
          <w:sz w:val="32"/>
          <w:szCs w:val="32"/>
          <w:rtl/>
        </w:rPr>
        <w:t>/24.</w:t>
      </w:r>
    </w:p>
  </w:footnote>
  <w:footnote w:id="3">
    <w:p w:rsidR="00EC5052" w:rsidRPr="00452D1F" w:rsidRDefault="00EC5052" w:rsidP="00E51156">
      <w:pPr>
        <w:pStyle w:val="af3"/>
        <w:pageBreakBefore/>
        <w:ind w:left="340" w:hanging="340"/>
        <w:jc w:val="lowKashida"/>
        <w:rPr>
          <w:sz w:val="32"/>
          <w:szCs w:val="32"/>
          <w:rtl/>
        </w:rPr>
      </w:pPr>
      <w:r w:rsidRPr="00452D1F">
        <w:rPr>
          <w:sz w:val="32"/>
          <w:szCs w:val="32"/>
          <w:rtl/>
        </w:rPr>
        <w:t>(</w:t>
      </w:r>
      <w:r w:rsidRPr="00452D1F">
        <w:rPr>
          <w:rStyle w:val="ae"/>
          <w:sz w:val="32"/>
          <w:szCs w:val="32"/>
          <w:vertAlign w:val="baseline"/>
        </w:rPr>
        <w:footnoteRef/>
      </w:r>
      <w:r w:rsidRPr="00452D1F">
        <w:rPr>
          <w:sz w:val="32"/>
          <w:szCs w:val="32"/>
          <w:rtl/>
        </w:rPr>
        <w:t xml:space="preserve">) </w:t>
      </w:r>
      <w:r w:rsidR="00E2367A" w:rsidRPr="00452D1F">
        <w:rPr>
          <w:rFonts w:hint="cs"/>
          <w:color w:val="auto"/>
          <w:sz w:val="32"/>
          <w:szCs w:val="32"/>
          <w:rtl/>
        </w:rPr>
        <w:t>حكى الإجماع عليه كل من</w:t>
      </w:r>
      <w:r w:rsidR="00271DD0" w:rsidRPr="00452D1F">
        <w:rPr>
          <w:rFonts w:hint="cs"/>
          <w:color w:val="auto"/>
          <w:sz w:val="32"/>
          <w:szCs w:val="32"/>
          <w:rtl/>
        </w:rPr>
        <w:t xml:space="preserve"> </w:t>
      </w:r>
      <w:r w:rsidR="00E2367A" w:rsidRPr="00452D1F">
        <w:rPr>
          <w:rFonts w:hint="cs"/>
          <w:color w:val="auto"/>
          <w:sz w:val="32"/>
          <w:szCs w:val="32"/>
          <w:rtl/>
        </w:rPr>
        <w:t xml:space="preserve">ابن المنذر في كتابه </w:t>
      </w:r>
      <w:r w:rsidRPr="00452D1F">
        <w:rPr>
          <w:rFonts w:hint="cs"/>
          <w:color w:val="auto"/>
          <w:sz w:val="32"/>
          <w:szCs w:val="32"/>
          <w:rtl/>
        </w:rPr>
        <w:t xml:space="preserve"> </w:t>
      </w:r>
      <w:r w:rsidR="00E2367A" w:rsidRPr="00452D1F">
        <w:rPr>
          <w:rFonts w:hint="cs"/>
          <w:color w:val="auto"/>
          <w:sz w:val="32"/>
          <w:szCs w:val="32"/>
          <w:rtl/>
        </w:rPr>
        <w:t>الإجماع</w:t>
      </w:r>
      <w:r w:rsidRPr="00452D1F">
        <w:rPr>
          <w:rFonts w:hint="cs"/>
          <w:color w:val="auto"/>
          <w:sz w:val="32"/>
          <w:szCs w:val="32"/>
          <w:rtl/>
        </w:rPr>
        <w:t xml:space="preserve"> ص40,</w:t>
      </w:r>
      <w:r w:rsidR="00271DD0" w:rsidRPr="00452D1F">
        <w:rPr>
          <w:rFonts w:ascii="CTraditional Arabic" w:hAnsi="CTraditional Arabic" w:hint="cs"/>
          <w:color w:val="auto"/>
          <w:sz w:val="32"/>
          <w:szCs w:val="32"/>
          <w:rtl/>
        </w:rPr>
        <w:t xml:space="preserve"> </w:t>
      </w:r>
      <w:r w:rsidR="00271DD0" w:rsidRPr="00452D1F">
        <w:rPr>
          <w:rFonts w:hint="cs"/>
          <w:color w:val="auto"/>
          <w:sz w:val="32"/>
          <w:szCs w:val="32"/>
          <w:rtl/>
        </w:rPr>
        <w:t>والأوسط2/187، والطحاوي في شرح معاني الآثار1/385, والباجي في</w:t>
      </w:r>
      <w:r w:rsidR="00481068">
        <w:rPr>
          <w:rFonts w:ascii="CTraditional Arabic" w:hAnsi="CTraditional Arabic" w:hint="cs"/>
          <w:color w:val="auto"/>
          <w:sz w:val="32"/>
          <w:szCs w:val="32"/>
          <w:rtl/>
        </w:rPr>
        <w:t xml:space="preserve"> </w:t>
      </w:r>
      <w:r w:rsidR="00271DD0" w:rsidRPr="00452D1F">
        <w:rPr>
          <w:rFonts w:ascii="CTraditional Arabic" w:hAnsi="CTraditional Arabic" w:hint="cs"/>
          <w:color w:val="auto"/>
          <w:sz w:val="32"/>
          <w:szCs w:val="32"/>
          <w:rtl/>
        </w:rPr>
        <w:t>المنتقى شرح الموطأ2/3</w:t>
      </w:r>
      <w:r w:rsidR="009779F5" w:rsidRPr="00452D1F">
        <w:rPr>
          <w:rFonts w:ascii="CTraditional Arabic" w:hAnsi="CTraditional Arabic" w:hint="cs"/>
          <w:color w:val="auto"/>
          <w:sz w:val="32"/>
          <w:szCs w:val="32"/>
          <w:rtl/>
        </w:rPr>
        <w:t>4</w:t>
      </w:r>
      <w:r w:rsidR="00271DD0" w:rsidRPr="00452D1F">
        <w:rPr>
          <w:rFonts w:ascii="CTraditional Arabic" w:hAnsi="CTraditional Arabic" w:hint="cs"/>
          <w:color w:val="auto"/>
          <w:sz w:val="32"/>
          <w:szCs w:val="32"/>
          <w:rtl/>
        </w:rPr>
        <w:t>7،</w:t>
      </w:r>
      <w:r w:rsidR="00271DD0" w:rsidRPr="00452D1F">
        <w:rPr>
          <w:rFonts w:hint="cs"/>
          <w:color w:val="auto"/>
          <w:sz w:val="32"/>
          <w:szCs w:val="32"/>
          <w:rtl/>
        </w:rPr>
        <w:t xml:space="preserve"> </w:t>
      </w:r>
      <w:r w:rsidRPr="00452D1F">
        <w:rPr>
          <w:rFonts w:hint="cs"/>
          <w:color w:val="auto"/>
          <w:sz w:val="32"/>
          <w:szCs w:val="32"/>
          <w:rtl/>
        </w:rPr>
        <w:t>و</w:t>
      </w:r>
      <w:r w:rsidR="009779F5" w:rsidRPr="00452D1F">
        <w:rPr>
          <w:rFonts w:hint="cs"/>
          <w:color w:val="auto"/>
          <w:sz w:val="32"/>
          <w:szCs w:val="32"/>
          <w:rtl/>
        </w:rPr>
        <w:t xml:space="preserve">ابن عبد البر في </w:t>
      </w:r>
      <w:r w:rsidR="00BF41FD" w:rsidRPr="00452D1F">
        <w:rPr>
          <w:rFonts w:hint="cs"/>
          <w:color w:val="auto"/>
          <w:sz w:val="32"/>
          <w:szCs w:val="32"/>
          <w:rtl/>
        </w:rPr>
        <w:t>الاستذكار</w:t>
      </w:r>
      <w:r w:rsidR="00481068">
        <w:rPr>
          <w:rFonts w:hint="cs"/>
          <w:color w:val="auto"/>
          <w:sz w:val="32"/>
          <w:szCs w:val="32"/>
          <w:rtl/>
        </w:rPr>
        <w:t xml:space="preserve"> </w:t>
      </w:r>
      <w:r w:rsidR="00BF41FD" w:rsidRPr="00452D1F">
        <w:rPr>
          <w:rFonts w:hint="cs"/>
          <w:color w:val="auto"/>
          <w:sz w:val="32"/>
          <w:szCs w:val="32"/>
          <w:rtl/>
        </w:rPr>
        <w:t>2/333, و</w:t>
      </w:r>
      <w:r w:rsidR="001D1F63" w:rsidRPr="00452D1F">
        <w:rPr>
          <w:rFonts w:hint="cs"/>
          <w:color w:val="auto"/>
          <w:sz w:val="32"/>
          <w:szCs w:val="32"/>
          <w:rtl/>
        </w:rPr>
        <w:t>ابن قدامة في المغني</w:t>
      </w:r>
      <w:r w:rsidRPr="00452D1F">
        <w:rPr>
          <w:rFonts w:hint="cs"/>
          <w:color w:val="auto"/>
          <w:sz w:val="32"/>
          <w:szCs w:val="32"/>
          <w:rtl/>
        </w:rPr>
        <w:t>2/493</w:t>
      </w:r>
      <w:r w:rsidR="0070175B">
        <w:rPr>
          <w:rFonts w:hint="cs"/>
          <w:color w:val="auto"/>
          <w:sz w:val="32"/>
          <w:szCs w:val="32"/>
          <w:rtl/>
        </w:rPr>
        <w:t>, والنووي في شرح مسلم</w:t>
      </w:r>
      <w:r w:rsidR="00252D1D" w:rsidRPr="00452D1F">
        <w:rPr>
          <w:rFonts w:hint="cs"/>
          <w:color w:val="auto"/>
          <w:sz w:val="32"/>
          <w:szCs w:val="32"/>
          <w:rtl/>
        </w:rPr>
        <w:t xml:space="preserve">4/49.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B52FB8ACC44E4A5AB690779765ABC0B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53F17" w:rsidRPr="00F53F17" w:rsidRDefault="00E51156" w:rsidP="00E51156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E51156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الثالث: </w:t>
        </w:r>
        <w:r w:rsidR="00F53F17" w:rsidRPr="00E51156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الصلاة في مرابض الغنم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338"/>
    <o:shapelayout v:ext="edit">
      <o:idmap v:ext="edit" data="13"/>
    </o:shapelayout>
  </w:hdrShapeDefaults>
  <w:footnotePr>
    <w:footnote w:id="0"/>
    <w:footnote w:id="1"/>
  </w:footnotePr>
  <w:endnotePr>
    <w:endnote w:id="0"/>
    <w:endnote w:id="1"/>
  </w:endnotePr>
  <w:compat/>
  <w:rsids>
    <w:rsidRoot w:val="007C7D20"/>
    <w:rsid w:val="00013192"/>
    <w:rsid w:val="000213CD"/>
    <w:rsid w:val="00051AF1"/>
    <w:rsid w:val="00075B92"/>
    <w:rsid w:val="000762B5"/>
    <w:rsid w:val="00091D3B"/>
    <w:rsid w:val="000F66E4"/>
    <w:rsid w:val="0014153D"/>
    <w:rsid w:val="001565A6"/>
    <w:rsid w:val="001609B4"/>
    <w:rsid w:val="001A25A6"/>
    <w:rsid w:val="001A593B"/>
    <w:rsid w:val="001B3220"/>
    <w:rsid w:val="001D1F63"/>
    <w:rsid w:val="002067FB"/>
    <w:rsid w:val="00211079"/>
    <w:rsid w:val="00212067"/>
    <w:rsid w:val="00247F6A"/>
    <w:rsid w:val="00252D1D"/>
    <w:rsid w:val="00271DD0"/>
    <w:rsid w:val="0029052A"/>
    <w:rsid w:val="002B4A7D"/>
    <w:rsid w:val="002C46BD"/>
    <w:rsid w:val="002F62A4"/>
    <w:rsid w:val="00301F6F"/>
    <w:rsid w:val="00304700"/>
    <w:rsid w:val="00305526"/>
    <w:rsid w:val="00336EC0"/>
    <w:rsid w:val="003D7B61"/>
    <w:rsid w:val="003F6F83"/>
    <w:rsid w:val="0043595B"/>
    <w:rsid w:val="004445F8"/>
    <w:rsid w:val="004451FD"/>
    <w:rsid w:val="00452D1F"/>
    <w:rsid w:val="004765B9"/>
    <w:rsid w:val="00481068"/>
    <w:rsid w:val="004A7659"/>
    <w:rsid w:val="00502D05"/>
    <w:rsid w:val="00530567"/>
    <w:rsid w:val="005C7D9D"/>
    <w:rsid w:val="005E513F"/>
    <w:rsid w:val="00653D07"/>
    <w:rsid w:val="0068596A"/>
    <w:rsid w:val="006C507C"/>
    <w:rsid w:val="006E6B72"/>
    <w:rsid w:val="006E6BA2"/>
    <w:rsid w:val="006F4CA7"/>
    <w:rsid w:val="0070175B"/>
    <w:rsid w:val="007415A2"/>
    <w:rsid w:val="0075679B"/>
    <w:rsid w:val="00777673"/>
    <w:rsid w:val="00795109"/>
    <w:rsid w:val="007A5211"/>
    <w:rsid w:val="007B5D2B"/>
    <w:rsid w:val="007C1514"/>
    <w:rsid w:val="007C7D20"/>
    <w:rsid w:val="007D5043"/>
    <w:rsid w:val="008115B9"/>
    <w:rsid w:val="008452E1"/>
    <w:rsid w:val="00875E98"/>
    <w:rsid w:val="008F2A74"/>
    <w:rsid w:val="00924BD2"/>
    <w:rsid w:val="009779F5"/>
    <w:rsid w:val="00983F18"/>
    <w:rsid w:val="00991E40"/>
    <w:rsid w:val="009A7ACE"/>
    <w:rsid w:val="009B682D"/>
    <w:rsid w:val="009B7238"/>
    <w:rsid w:val="009E3C6E"/>
    <w:rsid w:val="00A30407"/>
    <w:rsid w:val="00A37AA6"/>
    <w:rsid w:val="00A44C74"/>
    <w:rsid w:val="00AE70B0"/>
    <w:rsid w:val="00B432B8"/>
    <w:rsid w:val="00BE5697"/>
    <w:rsid w:val="00BE630B"/>
    <w:rsid w:val="00BF41FD"/>
    <w:rsid w:val="00C126BD"/>
    <w:rsid w:val="00C3744A"/>
    <w:rsid w:val="00C5563F"/>
    <w:rsid w:val="00C80CC6"/>
    <w:rsid w:val="00D404E6"/>
    <w:rsid w:val="00D514DE"/>
    <w:rsid w:val="00DC6DA0"/>
    <w:rsid w:val="00E11D81"/>
    <w:rsid w:val="00E143F7"/>
    <w:rsid w:val="00E2367A"/>
    <w:rsid w:val="00E40ACF"/>
    <w:rsid w:val="00E51156"/>
    <w:rsid w:val="00E60153"/>
    <w:rsid w:val="00EC5052"/>
    <w:rsid w:val="00ED6969"/>
    <w:rsid w:val="00EE0FE9"/>
    <w:rsid w:val="00F243D0"/>
    <w:rsid w:val="00F53F17"/>
    <w:rsid w:val="00F70AF8"/>
    <w:rsid w:val="00F97628"/>
    <w:rsid w:val="00FA5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7D20"/>
    <w:pPr>
      <w:bidi/>
    </w:pPr>
    <w:rPr>
      <w:sz w:val="24"/>
      <w:szCs w:val="24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ind w:firstLine="510"/>
      <w:jc w:val="both"/>
    </w:pPr>
    <w:rPr>
      <w:rFonts w:ascii="Tahoma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ind w:firstLine="454"/>
      <w:jc w:val="both"/>
    </w:pPr>
    <w:rPr>
      <w:rFonts w:ascii="Courier New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ind w:left="720" w:hanging="72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ind w:left="3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ind w:left="7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ind w:left="10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ind w:left="144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ind w:left="180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ind w:left="21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ind w:left="25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ind w:left="28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jc w:val="lowKashida"/>
    </w:pPr>
    <w:rPr>
      <w:rFonts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/>
      <w:jc w:val="mediumKashida"/>
    </w:pPr>
    <w:rPr>
      <w:rFonts w:cs="Traditional Arabic"/>
      <w:color w:val="000000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ind w:left="454" w:hanging="454"/>
      <w:jc w:val="both"/>
    </w:pPr>
    <w:rPr>
      <w:rFonts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ind w:firstLine="454"/>
      <w:jc w:val="both"/>
    </w:pPr>
    <w:rPr>
      <w:rFonts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pPr>
      <w:widowControl w:val="0"/>
    </w:pPr>
    <w:rPr>
      <w:rFonts w:cs="Andalus"/>
      <w:color w:val="0000FF"/>
      <w:sz w:val="36"/>
      <w:szCs w:val="40"/>
      <w:lang w:eastAsia="ar-SA"/>
    </w:rPr>
  </w:style>
  <w:style w:type="paragraph" w:customStyle="1" w:styleId="21">
    <w:name w:val="نمط إضافي 2"/>
    <w:basedOn w:val="a"/>
    <w:next w:val="a"/>
    <w:rsid w:val="00336EC0"/>
    <w:pPr>
      <w:widowControl w:val="0"/>
    </w:pPr>
    <w:rPr>
      <w:rFonts w:cs="Monotype Koufi"/>
      <w:bCs/>
      <w:color w:val="008000"/>
      <w:sz w:val="36"/>
      <w:szCs w:val="44"/>
      <w:lang w:eastAsia="ar-SA"/>
    </w:rPr>
  </w:style>
  <w:style w:type="paragraph" w:customStyle="1" w:styleId="31">
    <w:name w:val="نمط إضافي 3"/>
    <w:basedOn w:val="a"/>
    <w:next w:val="a"/>
    <w:rsid w:val="00336EC0"/>
    <w:pPr>
      <w:widowControl w:val="0"/>
    </w:pPr>
    <w:rPr>
      <w:rFonts w:cs="Tahoma"/>
      <w:color w:val="800080"/>
      <w:sz w:val="36"/>
      <w:szCs w:val="36"/>
      <w:lang w:eastAsia="ar-SA"/>
    </w:rPr>
  </w:style>
  <w:style w:type="paragraph" w:customStyle="1" w:styleId="41">
    <w:name w:val="نمط إضافي 4"/>
    <w:basedOn w:val="a"/>
    <w:next w:val="a"/>
    <w:rsid w:val="00336EC0"/>
    <w:pPr>
      <w:widowControl w:val="0"/>
    </w:pPr>
    <w:rPr>
      <w:rFonts w:cs="Simplified Arabic Fixed"/>
      <w:color w:val="FF6600"/>
      <w:sz w:val="44"/>
      <w:szCs w:val="36"/>
      <w:lang w:eastAsia="ar-SA"/>
    </w:rPr>
  </w:style>
  <w:style w:type="paragraph" w:customStyle="1" w:styleId="51">
    <w:name w:val="نمط إضافي 5"/>
    <w:basedOn w:val="a"/>
    <w:next w:val="a"/>
    <w:rsid w:val="00336EC0"/>
    <w:pPr>
      <w:widowControl w:val="0"/>
    </w:pPr>
    <w:rPr>
      <w:rFonts w:cs="DecoType Naskh"/>
      <w:color w:val="3366FF"/>
      <w:sz w:val="36"/>
      <w:szCs w:val="44"/>
      <w:lang w:eastAsia="ar-SA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0"/>
    <w:uiPriority w:val="99"/>
    <w:rsid w:val="00F53F17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uiPriority w:val="99"/>
    <w:rsid w:val="00F53F17"/>
    <w:rPr>
      <w:sz w:val="24"/>
      <w:szCs w:val="24"/>
    </w:rPr>
  </w:style>
  <w:style w:type="character" w:customStyle="1" w:styleId="Char">
    <w:name w:val="رأس صفحة Char"/>
    <w:basedOn w:val="a0"/>
    <w:link w:val="a8"/>
    <w:uiPriority w:val="99"/>
    <w:rsid w:val="00F53F17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52FB8ACC44E4A5AB690779765ABC0B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9D5791A-8D59-42D7-AF7D-02E9311C321B}"/>
      </w:docPartPr>
      <w:docPartBody>
        <w:p w:rsidR="00FE005D" w:rsidRDefault="00AE6AE0" w:rsidP="00AE6AE0">
          <w:pPr>
            <w:pStyle w:val="B52FB8ACC44E4A5AB690779765ABC0B4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E6AE0"/>
    <w:rsid w:val="004E002D"/>
    <w:rsid w:val="007D2EBB"/>
    <w:rsid w:val="009D304F"/>
    <w:rsid w:val="00AE6AE0"/>
    <w:rsid w:val="00FE0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05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52FB8ACC44E4A5AB690779765ABC0B4">
    <w:name w:val="B52FB8ACC44E4A5AB690779765ABC0B4"/>
    <w:rsid w:val="00AE6AE0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الثالث: الصلاة في مرابض الغنم</dc:title>
  <dc:subject/>
  <dc:creator>Almutamaiz</dc:creator>
  <cp:keywords/>
  <dc:description/>
  <cp:lastModifiedBy>Almutamaiz</cp:lastModifiedBy>
  <cp:revision>33</cp:revision>
  <dcterms:created xsi:type="dcterms:W3CDTF">2011-12-09T21:59:00Z</dcterms:created>
  <dcterms:modified xsi:type="dcterms:W3CDTF">2012-08-23T14:29:00Z</dcterms:modified>
</cp:coreProperties>
</file>