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A9" w:rsidRPr="005A37DD" w:rsidRDefault="007F0AD9" w:rsidP="00F004B7">
      <w:pPr>
        <w:spacing w:after="0" w:line="264" w:lineRule="auto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الثاني</w:t>
      </w:r>
      <w:r w:rsidR="0091014A" w:rsidRPr="005A37DD">
        <w:rPr>
          <w:rFonts w:cs="AL-Mateen" w:hint="cs"/>
          <w:sz w:val="36"/>
          <w:szCs w:val="36"/>
          <w:rtl/>
        </w:rPr>
        <w:t>: هل يجب الوضوء مع الغسل؟</w:t>
      </w:r>
    </w:p>
    <w:p w:rsidR="005A25A9" w:rsidRPr="005A37DD" w:rsidRDefault="00385DEF" w:rsidP="005A37DD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5A37DD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الله تعالى أنه</w:t>
      </w:r>
      <w:r w:rsidR="005A25A9" w:rsidRPr="005A37D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يلزم للج</w:t>
      </w:r>
      <w:r w:rsidR="00A73677" w:rsidRPr="005A37DD">
        <w:rPr>
          <w:rFonts w:ascii="Lotus Linotype" w:hAnsi="Lotus Linotype" w:cs="Lotus Linotype"/>
          <w:b/>
          <w:bCs/>
          <w:sz w:val="36"/>
          <w:szCs w:val="36"/>
          <w:rtl/>
        </w:rPr>
        <w:t>ُ</w:t>
      </w:r>
      <w:r w:rsidR="005A25A9" w:rsidRPr="005A37DD">
        <w:rPr>
          <w:rFonts w:ascii="Lotus Linotype" w:hAnsi="Lotus Linotype" w:cs="Lotus Linotype"/>
          <w:b/>
          <w:bCs/>
          <w:sz w:val="36"/>
          <w:szCs w:val="36"/>
          <w:rtl/>
        </w:rPr>
        <w:t>ن</w:t>
      </w:r>
      <w:r w:rsidR="00A73677" w:rsidRPr="005A37DD">
        <w:rPr>
          <w:rFonts w:ascii="Lotus Linotype" w:hAnsi="Lotus Linotype" w:cs="Lotus Linotype"/>
          <w:b/>
          <w:bCs/>
          <w:sz w:val="36"/>
          <w:szCs w:val="36"/>
          <w:rtl/>
        </w:rPr>
        <w:t>ُ</w:t>
      </w:r>
      <w:r w:rsidR="005A25A9" w:rsidRPr="005A37DD">
        <w:rPr>
          <w:rFonts w:ascii="Lotus Linotype" w:hAnsi="Lotus Linotype" w:cs="Lotus Linotype"/>
          <w:b/>
          <w:bCs/>
          <w:sz w:val="36"/>
          <w:szCs w:val="36"/>
          <w:rtl/>
        </w:rPr>
        <w:t>ب</w:t>
      </w:r>
      <w:r w:rsidR="00A73677" w:rsidRPr="005A37DD">
        <w:rPr>
          <w:rFonts w:ascii="Lotus Linotype" w:hAnsi="Lotus Linotype" w:cs="Lotus Linotype"/>
          <w:b/>
          <w:bCs/>
          <w:sz w:val="36"/>
          <w:szCs w:val="36"/>
          <w:rtl/>
        </w:rPr>
        <w:t>ِ</w:t>
      </w:r>
      <w:r w:rsidR="005A25A9" w:rsidRPr="005A37D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الجمع بين الوضوء والغسل</w:t>
      </w:r>
      <w:r w:rsidRPr="005A37D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 تعالى:</w:t>
      </w:r>
      <w:r w:rsidRPr="005A37D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"وقال داود وغيره لا ينوب الغسل عن الوضوء للمحدث, ويلزم الجمع بين الوضوء والغسل وهو الراجح"</w:t>
      </w:r>
      <w:r w:rsidRPr="005A37DD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4350ED" w:rsidRPr="005A37D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4350ED" w:rsidRPr="005A37D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4350ED" w:rsidRPr="005A37D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4350ED" w:rsidRPr="005A37DD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.</w:t>
      </w:r>
      <w:r w:rsidR="005A25A9" w:rsidRPr="005A37D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</w:p>
    <w:p w:rsidR="00BC4B2F" w:rsidRPr="007D3F61" w:rsidRDefault="00BC4B2F" w:rsidP="005A37D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7D3F61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B70DCB">
        <w:rPr>
          <w:rFonts w:cs="Traditional Arabic" w:hint="cs"/>
          <w:sz w:val="36"/>
          <w:szCs w:val="36"/>
          <w:rtl/>
        </w:rPr>
        <w:t xml:space="preserve">: </w:t>
      </w:r>
      <w:r w:rsidRPr="007D3F61">
        <w:rPr>
          <w:rFonts w:cs="Traditional Arabic" w:hint="cs"/>
          <w:sz w:val="36"/>
          <w:szCs w:val="36"/>
          <w:rtl/>
        </w:rPr>
        <w:t>لا خلاف بين العلماء في استحباب الوضوء قبل غسل الجنابة</w:t>
      </w:r>
      <w:r w:rsidR="00095BE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95BEB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095BE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44B55" w:rsidRPr="007D3F61">
        <w:rPr>
          <w:rFonts w:cs="Traditional Arabic" w:hint="cs"/>
          <w:sz w:val="36"/>
          <w:szCs w:val="36"/>
          <w:rtl/>
        </w:rPr>
        <w:t>,</w:t>
      </w:r>
      <w:r w:rsidR="004E7B32">
        <w:rPr>
          <w:rFonts w:cs="Traditional Arabic" w:hint="cs"/>
          <w:sz w:val="36"/>
          <w:szCs w:val="36"/>
          <w:rtl/>
        </w:rPr>
        <w:t xml:space="preserve"> </w:t>
      </w:r>
      <w:r w:rsidRPr="007D3F61">
        <w:rPr>
          <w:rFonts w:cs="Traditional Arabic" w:hint="cs"/>
          <w:sz w:val="36"/>
          <w:szCs w:val="36"/>
          <w:rtl/>
        </w:rPr>
        <w:t>وإنما اختلفوا في وجوبه على</w:t>
      </w:r>
      <w:r w:rsidR="00385DEF" w:rsidRPr="007D3F61">
        <w:rPr>
          <w:rFonts w:cs="Traditional Arabic" w:hint="cs"/>
          <w:sz w:val="36"/>
          <w:szCs w:val="36"/>
          <w:rtl/>
        </w:rPr>
        <w:t xml:space="preserve"> قولين</w:t>
      </w:r>
      <w:r w:rsidRPr="007D3F61">
        <w:rPr>
          <w:rFonts w:cs="Traditional Arabic" w:hint="cs"/>
          <w:sz w:val="36"/>
          <w:szCs w:val="36"/>
          <w:rtl/>
        </w:rPr>
        <w:t xml:space="preserve">: </w:t>
      </w:r>
    </w:p>
    <w:p w:rsidR="00BC4B2F" w:rsidRPr="007D3F61" w:rsidRDefault="00BC4B2F" w:rsidP="00F004B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7D3F61">
        <w:rPr>
          <w:rFonts w:cs="Traditional Arabic" w:hint="cs"/>
          <w:b/>
          <w:bCs/>
          <w:sz w:val="36"/>
          <w:szCs w:val="36"/>
          <w:rtl/>
        </w:rPr>
        <w:t>القولين الأول</w:t>
      </w:r>
      <w:r w:rsidR="00121666" w:rsidRPr="007D3F61">
        <w:rPr>
          <w:rFonts w:cs="Traditional Arabic" w:hint="cs"/>
          <w:sz w:val="36"/>
          <w:szCs w:val="36"/>
          <w:rtl/>
        </w:rPr>
        <w:t>: إنه ليس بواجب</w:t>
      </w:r>
      <w:r w:rsidRPr="007D3F61">
        <w:rPr>
          <w:rFonts w:cs="Traditional Arabic" w:hint="cs"/>
          <w:sz w:val="36"/>
          <w:szCs w:val="36"/>
          <w:rtl/>
        </w:rPr>
        <w:t>, وبه قال الجمهور</w:t>
      </w:r>
      <w:r w:rsidR="00B70DCB">
        <w:rPr>
          <w:rFonts w:cs="Traditional Arabic" w:hint="cs"/>
          <w:sz w:val="36"/>
          <w:szCs w:val="36"/>
          <w:rtl/>
        </w:rPr>
        <w:t xml:space="preserve"> </w:t>
      </w:r>
      <w:r w:rsidR="00D771C9" w:rsidRPr="007D3F61">
        <w:rPr>
          <w:rFonts w:cs="Traditional Arabic" w:hint="cs"/>
          <w:sz w:val="36"/>
          <w:szCs w:val="36"/>
          <w:rtl/>
        </w:rPr>
        <w:t>من الحنفية</w:t>
      </w:r>
      <w:r w:rsidR="00FC4420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C4420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FC4420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7230" w:rsidRPr="007D3F61">
        <w:rPr>
          <w:rFonts w:cs="Traditional Arabic" w:hint="cs"/>
          <w:sz w:val="36"/>
          <w:szCs w:val="36"/>
          <w:rtl/>
        </w:rPr>
        <w:t>,</w:t>
      </w:r>
      <w:r w:rsidR="009F5BCE" w:rsidRPr="007D3F61">
        <w:rPr>
          <w:rFonts w:cs="Traditional Arabic" w:hint="cs"/>
          <w:sz w:val="36"/>
          <w:szCs w:val="36"/>
          <w:rtl/>
        </w:rPr>
        <w:t xml:space="preserve"> </w:t>
      </w:r>
      <w:r w:rsidR="00D771C9" w:rsidRPr="007D3F61">
        <w:rPr>
          <w:rFonts w:cs="Traditional Arabic" w:hint="cs"/>
          <w:sz w:val="36"/>
          <w:szCs w:val="36"/>
          <w:rtl/>
        </w:rPr>
        <w:t>والمالكية</w:t>
      </w:r>
      <w:r w:rsidR="00CB4C11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B4C11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CB4C11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7230" w:rsidRPr="007D3F61">
        <w:rPr>
          <w:rFonts w:cs="Traditional Arabic" w:hint="cs"/>
          <w:sz w:val="36"/>
          <w:szCs w:val="36"/>
          <w:rtl/>
        </w:rPr>
        <w:t>,</w:t>
      </w:r>
      <w:r w:rsidR="00D771C9" w:rsidRPr="007D3F61">
        <w:rPr>
          <w:rFonts w:cs="Traditional Arabic" w:hint="cs"/>
          <w:sz w:val="36"/>
          <w:szCs w:val="36"/>
          <w:rtl/>
        </w:rPr>
        <w:t xml:space="preserve"> و</w:t>
      </w:r>
      <w:r w:rsidR="009F5BCE" w:rsidRPr="007D3F61">
        <w:rPr>
          <w:rFonts w:cs="Traditional Arabic" w:hint="cs"/>
          <w:sz w:val="36"/>
          <w:szCs w:val="36"/>
          <w:rtl/>
        </w:rPr>
        <w:t xml:space="preserve">المذهب عند </w:t>
      </w:r>
      <w:r w:rsidR="00D771C9" w:rsidRPr="007D3F61">
        <w:rPr>
          <w:rFonts w:cs="Traditional Arabic" w:hint="cs"/>
          <w:sz w:val="36"/>
          <w:szCs w:val="36"/>
          <w:rtl/>
        </w:rPr>
        <w:t>الشافعية</w:t>
      </w:r>
      <w:r w:rsidR="009F5BCE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F5BCE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9F5BCE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7230" w:rsidRPr="007D3F61">
        <w:rPr>
          <w:rFonts w:cs="Traditional Arabic" w:hint="cs"/>
          <w:sz w:val="36"/>
          <w:szCs w:val="36"/>
          <w:rtl/>
        </w:rPr>
        <w:t>,</w:t>
      </w:r>
      <w:r w:rsidR="00D771C9" w:rsidRPr="007D3F61">
        <w:rPr>
          <w:rFonts w:cs="Traditional Arabic" w:hint="cs"/>
          <w:sz w:val="36"/>
          <w:szCs w:val="36"/>
          <w:rtl/>
        </w:rPr>
        <w:t xml:space="preserve"> والحنابلة</w:t>
      </w:r>
      <w:r w:rsidR="0096349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6349B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96349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1045F" w:rsidRPr="007D3F61">
        <w:rPr>
          <w:rFonts w:cs="Traditional Arabic" w:hint="cs"/>
          <w:sz w:val="36"/>
          <w:szCs w:val="36"/>
          <w:rtl/>
        </w:rPr>
        <w:t>,</w:t>
      </w:r>
      <w:r w:rsidR="00727230" w:rsidRPr="007D3F61">
        <w:rPr>
          <w:rFonts w:cs="Traditional Arabic" w:hint="cs"/>
          <w:sz w:val="36"/>
          <w:szCs w:val="36"/>
          <w:rtl/>
        </w:rPr>
        <w:t xml:space="preserve"> </w:t>
      </w:r>
      <w:r w:rsidR="0021045F" w:rsidRPr="007D3F61">
        <w:rPr>
          <w:rFonts w:cs="Traditional Arabic" w:hint="cs"/>
          <w:sz w:val="36"/>
          <w:szCs w:val="36"/>
          <w:rtl/>
        </w:rPr>
        <w:t>و</w:t>
      </w:r>
      <w:r w:rsidR="00011C36" w:rsidRPr="007D3F61">
        <w:rPr>
          <w:rFonts w:cs="Traditional Arabic" w:hint="cs"/>
          <w:sz w:val="36"/>
          <w:szCs w:val="36"/>
          <w:rtl/>
        </w:rPr>
        <w:t>اختاره ابن حزم الظاهري</w:t>
      </w:r>
      <w:r w:rsidR="0096349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6349B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96349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7E51" w:rsidRPr="007D3F61">
        <w:rPr>
          <w:rFonts w:cs="Traditional Arabic" w:hint="cs"/>
          <w:sz w:val="36"/>
          <w:szCs w:val="36"/>
          <w:rtl/>
        </w:rPr>
        <w:t>, وح</w:t>
      </w:r>
      <w:r w:rsidR="007B25A3" w:rsidRPr="007D3F61">
        <w:rPr>
          <w:rFonts w:cs="Traditional Arabic" w:hint="cs"/>
          <w:sz w:val="36"/>
          <w:szCs w:val="36"/>
          <w:rtl/>
        </w:rPr>
        <w:t>ُ</w:t>
      </w:r>
      <w:r w:rsidR="00E17E51" w:rsidRPr="007D3F61">
        <w:rPr>
          <w:rFonts w:cs="Traditional Arabic" w:hint="cs"/>
          <w:sz w:val="36"/>
          <w:szCs w:val="36"/>
          <w:rtl/>
        </w:rPr>
        <w:t>ك</w:t>
      </w:r>
      <w:r w:rsidR="007B25A3" w:rsidRPr="007D3F61">
        <w:rPr>
          <w:rFonts w:cs="Traditional Arabic" w:hint="cs"/>
          <w:sz w:val="36"/>
          <w:szCs w:val="36"/>
          <w:rtl/>
        </w:rPr>
        <w:t>ِ</w:t>
      </w:r>
      <w:r w:rsidR="00E17E51" w:rsidRPr="007D3F61">
        <w:rPr>
          <w:rFonts w:cs="Traditional Arabic" w:hint="cs"/>
          <w:sz w:val="36"/>
          <w:szCs w:val="36"/>
          <w:rtl/>
        </w:rPr>
        <w:t>ي</w:t>
      </w:r>
      <w:r w:rsidR="007B25A3" w:rsidRPr="007D3F61">
        <w:rPr>
          <w:rFonts w:cs="Traditional Arabic" w:hint="cs"/>
          <w:sz w:val="36"/>
          <w:szCs w:val="36"/>
          <w:rtl/>
        </w:rPr>
        <w:t>َ</w:t>
      </w:r>
      <w:r w:rsidR="00E17E51" w:rsidRPr="007D3F61">
        <w:rPr>
          <w:rFonts w:cs="Traditional Arabic" w:hint="cs"/>
          <w:sz w:val="36"/>
          <w:szCs w:val="36"/>
          <w:rtl/>
        </w:rPr>
        <w:t xml:space="preserve"> على ذلك الإجماع</w:t>
      </w:r>
      <w:r w:rsidR="00E17E51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17E51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E17E51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A37DD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A37DD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5A37DD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7E51" w:rsidRPr="007D3F61">
        <w:rPr>
          <w:rFonts w:cs="Traditional Arabic" w:hint="cs"/>
          <w:sz w:val="36"/>
          <w:szCs w:val="36"/>
          <w:rtl/>
        </w:rPr>
        <w:t xml:space="preserve">. </w:t>
      </w:r>
    </w:p>
    <w:p w:rsidR="00C5563F" w:rsidRPr="007D3F61" w:rsidRDefault="00BC4B2F" w:rsidP="005A37D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7D3F61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385DEF" w:rsidRPr="007D3F61">
        <w:rPr>
          <w:rFonts w:cs="Traditional Arabic" w:hint="cs"/>
          <w:sz w:val="36"/>
          <w:szCs w:val="36"/>
          <w:rtl/>
        </w:rPr>
        <w:t>: إنه واجب في الغسل</w:t>
      </w:r>
      <w:r w:rsidRPr="007D3F61">
        <w:rPr>
          <w:rFonts w:cs="Traditional Arabic" w:hint="cs"/>
          <w:sz w:val="36"/>
          <w:szCs w:val="36"/>
          <w:rtl/>
        </w:rPr>
        <w:t>, وبه قال أبو ثور</w:t>
      </w:r>
      <w:r w:rsidR="00CD3654" w:rsidRPr="007D3F61">
        <w:rPr>
          <w:rFonts w:cs="Traditional Arabic" w:hint="cs"/>
          <w:sz w:val="36"/>
          <w:szCs w:val="36"/>
          <w:rtl/>
        </w:rPr>
        <w:t>,</w:t>
      </w:r>
      <w:r w:rsidR="00385DEF" w:rsidRPr="007D3F61">
        <w:rPr>
          <w:rFonts w:cs="Traditional Arabic" w:hint="cs"/>
          <w:sz w:val="36"/>
          <w:szCs w:val="36"/>
          <w:rtl/>
        </w:rPr>
        <w:t xml:space="preserve"> </w:t>
      </w:r>
      <w:r w:rsidR="00CD4E55" w:rsidRPr="007D3F61">
        <w:rPr>
          <w:rFonts w:cs="Traditional Arabic" w:hint="cs"/>
          <w:sz w:val="36"/>
          <w:szCs w:val="36"/>
          <w:rtl/>
        </w:rPr>
        <w:t>و</w:t>
      </w:r>
      <w:r w:rsidRPr="007D3F61">
        <w:rPr>
          <w:rFonts w:cs="Traditional Arabic" w:hint="cs"/>
          <w:sz w:val="36"/>
          <w:szCs w:val="36"/>
          <w:rtl/>
        </w:rPr>
        <w:t>داود</w:t>
      </w:r>
      <w:r w:rsidR="00CD4E55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D4E55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CD4E55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D3654" w:rsidRPr="007D3F61">
        <w:rPr>
          <w:rFonts w:cs="Traditional Arabic" w:hint="cs"/>
          <w:sz w:val="36"/>
          <w:szCs w:val="36"/>
          <w:rtl/>
        </w:rPr>
        <w:t>,</w:t>
      </w:r>
      <w:r w:rsidR="004062E1" w:rsidRPr="007D3F61">
        <w:rPr>
          <w:rFonts w:cs="Traditional Arabic" w:hint="cs"/>
          <w:sz w:val="36"/>
          <w:szCs w:val="36"/>
          <w:rtl/>
        </w:rPr>
        <w:t xml:space="preserve"> </w:t>
      </w:r>
      <w:r w:rsidR="00727230" w:rsidRPr="007D3F61">
        <w:rPr>
          <w:rFonts w:cs="Traditional Arabic" w:hint="cs"/>
          <w:sz w:val="36"/>
          <w:szCs w:val="36"/>
          <w:rtl/>
        </w:rPr>
        <w:t>و</w:t>
      </w:r>
      <w:r w:rsidR="00A33CC2" w:rsidRPr="007D3F61">
        <w:rPr>
          <w:rFonts w:cs="Traditional Arabic" w:hint="cs"/>
          <w:sz w:val="36"/>
          <w:szCs w:val="36"/>
          <w:rtl/>
        </w:rPr>
        <w:t>وجه عند الشافعية</w:t>
      </w:r>
      <w:r w:rsidR="00A33CC2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33CC2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A33CC2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003E5" w:rsidRPr="007D3F61">
        <w:rPr>
          <w:rFonts w:cs="Traditional Arabic" w:hint="cs"/>
          <w:sz w:val="36"/>
          <w:szCs w:val="36"/>
          <w:rtl/>
        </w:rPr>
        <w:t xml:space="preserve">, </w:t>
      </w:r>
      <w:r w:rsidRPr="007D3F61">
        <w:rPr>
          <w:rFonts w:cs="Traditional Arabic" w:hint="cs"/>
          <w:sz w:val="36"/>
          <w:szCs w:val="36"/>
          <w:rtl/>
        </w:rPr>
        <w:t>ورواية عن أحمد</w:t>
      </w:r>
      <w:r w:rsidR="001B7000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B7000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1B7000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70DCB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727230" w:rsidRPr="007D3F61" w:rsidRDefault="00727230" w:rsidP="005A37DD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7D3F61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7D3F61">
        <w:rPr>
          <w:rFonts w:cs="Traditional Arabic" w:hint="cs"/>
          <w:sz w:val="36"/>
          <w:szCs w:val="36"/>
          <w:rtl/>
        </w:rPr>
        <w:t>:</w:t>
      </w:r>
    </w:p>
    <w:p w:rsidR="00727230" w:rsidRPr="007D3F61" w:rsidRDefault="00727230" w:rsidP="005A37DD">
      <w:pPr>
        <w:pStyle w:val="afc"/>
        <w:numPr>
          <w:ilvl w:val="0"/>
          <w:numId w:val="3"/>
        </w:num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7D3F61">
        <w:rPr>
          <w:rFonts w:cs="Traditional Arabic" w:hint="cs"/>
          <w:sz w:val="36"/>
          <w:szCs w:val="36"/>
          <w:rtl/>
        </w:rPr>
        <w:t xml:space="preserve"> </w:t>
      </w:r>
      <w:r w:rsidR="008B703C" w:rsidRPr="007D3F61">
        <w:rPr>
          <w:rFonts w:cs="Traditional Arabic" w:hint="cs"/>
          <w:sz w:val="36"/>
          <w:szCs w:val="36"/>
          <w:rtl/>
        </w:rPr>
        <w:t>تعارض الآثار الواردة في المسألة</w:t>
      </w:r>
      <w:r w:rsidRPr="007D3F61">
        <w:rPr>
          <w:rFonts w:cs="Traditional Arabic" w:hint="cs"/>
          <w:sz w:val="36"/>
          <w:szCs w:val="36"/>
          <w:rtl/>
        </w:rPr>
        <w:t>.</w:t>
      </w:r>
    </w:p>
    <w:p w:rsidR="00727230" w:rsidRPr="007D3F61" w:rsidRDefault="00727230" w:rsidP="00036E13">
      <w:pPr>
        <w:pStyle w:val="afc"/>
        <w:numPr>
          <w:ilvl w:val="0"/>
          <w:numId w:val="3"/>
        </w:num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7D3F61">
        <w:rPr>
          <w:rFonts w:cs="Traditional Arabic" w:hint="cs"/>
          <w:sz w:val="36"/>
          <w:szCs w:val="36"/>
          <w:rtl/>
        </w:rPr>
        <w:t xml:space="preserve"> معارضة القياس لظاهر الحديث</w:t>
      </w:r>
      <w:r w:rsidR="003A2B9B" w:rsidRPr="007D3F61">
        <w:rPr>
          <w:rFonts w:cs="Traditional Arabic" w:hint="cs"/>
          <w:sz w:val="36"/>
          <w:szCs w:val="36"/>
          <w:rtl/>
        </w:rPr>
        <w:t>؛ لأن الطهارة ظاهر</w:t>
      </w:r>
      <w:r w:rsidR="002C7164" w:rsidRPr="007D3F61">
        <w:rPr>
          <w:rFonts w:cs="Traditional Arabic" w:hint="cs"/>
          <w:sz w:val="36"/>
          <w:szCs w:val="36"/>
          <w:rtl/>
        </w:rPr>
        <w:t>ٌ</w:t>
      </w:r>
      <w:r w:rsidR="003A2B9B" w:rsidRPr="007D3F61">
        <w:rPr>
          <w:rFonts w:cs="Traditional Arabic" w:hint="cs"/>
          <w:sz w:val="36"/>
          <w:szCs w:val="36"/>
          <w:rtl/>
        </w:rPr>
        <w:t xml:space="preserve"> </w:t>
      </w:r>
      <w:r w:rsidR="00385DEF" w:rsidRPr="007D3F61">
        <w:rPr>
          <w:rFonts w:cs="Traditional Arabic" w:hint="cs"/>
          <w:sz w:val="36"/>
          <w:szCs w:val="36"/>
          <w:rtl/>
        </w:rPr>
        <w:t>من أمرها أنها شرط في صحة الوضوء</w:t>
      </w:r>
      <w:r w:rsidR="003A2B9B" w:rsidRPr="007D3F61">
        <w:rPr>
          <w:rFonts w:cs="Traditional Arabic" w:hint="cs"/>
          <w:sz w:val="36"/>
          <w:szCs w:val="36"/>
          <w:rtl/>
        </w:rPr>
        <w:t>, لا أن الوضوء شرط في صحتها</w:t>
      </w:r>
      <w:r w:rsidR="003A2B9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A2B9B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3A2B9B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D3F61">
        <w:rPr>
          <w:rFonts w:cs="Traditional Arabic" w:hint="cs"/>
          <w:sz w:val="36"/>
          <w:szCs w:val="36"/>
          <w:rtl/>
        </w:rPr>
        <w:t xml:space="preserve">. </w:t>
      </w:r>
    </w:p>
    <w:p w:rsidR="00112356" w:rsidRPr="007D3F61" w:rsidRDefault="00605BDE" w:rsidP="007F0AD9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="00112356" w:rsidRPr="007D3F61">
        <w:rPr>
          <w:rFonts w:cs="Traditional Arabic" w:hint="cs"/>
          <w:b/>
          <w:bCs/>
          <w:sz w:val="36"/>
          <w:szCs w:val="36"/>
          <w:rtl/>
        </w:rPr>
        <w:t>:</w:t>
      </w:r>
    </w:p>
    <w:p w:rsidR="00112356" w:rsidRPr="007D3F61" w:rsidRDefault="00112356" w:rsidP="007F0AD9">
      <w:pPr>
        <w:spacing w:after="0" w:line="235" w:lineRule="auto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D3F61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641483" w:rsidRPr="007D3F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41483" w:rsidRPr="00605BDE">
        <w:rPr>
          <w:rFonts w:cs="Traditional Arabic" w:hint="cs"/>
          <w:sz w:val="36"/>
          <w:szCs w:val="36"/>
          <w:rtl/>
        </w:rPr>
        <w:t>قوله تعالى:</w:t>
      </w:r>
      <w:r w:rsidRPr="007D3F61">
        <w:rPr>
          <w:rFonts w:ascii="QCF_BSML" w:eastAsia="Times New Roman" w:hAnsi="QCF_BSML" w:cs="QCF_BSML"/>
          <w:sz w:val="32"/>
          <w:szCs w:val="32"/>
          <w:rtl/>
        </w:rPr>
        <w:t xml:space="preserve">ﭽ </w:t>
      </w:r>
      <w:r w:rsidRPr="007D3F61">
        <w:rPr>
          <w:rFonts w:ascii="QCF_P085" w:eastAsia="Times New Roman" w:hAnsi="QCF_P085" w:cs="QCF_P085"/>
          <w:sz w:val="32"/>
          <w:szCs w:val="32"/>
          <w:rtl/>
        </w:rPr>
        <w:t xml:space="preserve">ﮣ  ﮤ  ﮥ  ﮦ  ﮧ  ﮨ    ﮩ  ﮪ  ﮫ  ﮬ  ﮭ  ﮮ  ﮯ  ﮰ  ﮱ       ﯓ    ﯔ  ﯕ  ﯖ </w:t>
      </w:r>
      <w:r w:rsidRPr="007D3F61">
        <w:rPr>
          <w:rFonts w:ascii="QCF_BSML" w:eastAsia="Times New Roman" w:hAnsi="QCF_BSML" w:cs="QCF_BSML"/>
          <w:sz w:val="32"/>
          <w:szCs w:val="32"/>
          <w:rtl/>
        </w:rPr>
        <w:t>ﭼ</w:t>
      </w:r>
      <w:r w:rsidR="000F63BC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F63BC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0F63BC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F63BC" w:rsidRPr="007D3F6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Pr="007D3F61">
        <w:rPr>
          <w:rFonts w:ascii="Arial" w:eastAsia="Times New Roman" w:hAnsi="Arial" w:cs="Arial"/>
          <w:sz w:val="36"/>
          <w:szCs w:val="36"/>
          <w:rtl/>
        </w:rPr>
        <w:t xml:space="preserve"> </w:t>
      </w:r>
    </w:p>
    <w:p w:rsidR="000F63BC" w:rsidRPr="007D3F61" w:rsidRDefault="000F63BC" w:rsidP="007F0AD9">
      <w:pPr>
        <w:spacing w:after="0" w:line="235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7D3F6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وجه الدلالة</w:t>
      </w:r>
      <w:r w:rsidRPr="007D3F61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B80A20" w:rsidRPr="007D3F61">
        <w:rPr>
          <w:rFonts w:ascii="Traditional Arabic" w:hAnsi="Traditional Arabic" w:cs="Traditional Arabic" w:hint="cs"/>
          <w:sz w:val="36"/>
          <w:szCs w:val="36"/>
          <w:rtl/>
        </w:rPr>
        <w:t>أن الله تعالى جعل الغسل فقط</w:t>
      </w:r>
      <w:r w:rsidRPr="007D3F61">
        <w:rPr>
          <w:rFonts w:ascii="Traditional Arabic" w:hAnsi="Traditional Arabic" w:cs="Traditional Arabic" w:hint="cs"/>
          <w:sz w:val="36"/>
          <w:szCs w:val="36"/>
          <w:rtl/>
        </w:rPr>
        <w:t xml:space="preserve"> د</w:t>
      </w:r>
      <w:r w:rsidR="00B54E33" w:rsidRPr="007D3F61">
        <w:rPr>
          <w:rFonts w:ascii="Traditional Arabic" w:hAnsi="Traditional Arabic" w:cs="Traditional Arabic" w:hint="cs"/>
          <w:sz w:val="36"/>
          <w:szCs w:val="36"/>
          <w:rtl/>
        </w:rPr>
        <w:t>ون الوضوء غاية ًللمنع من الصلاة</w:t>
      </w:r>
      <w:r w:rsidRPr="007D3F61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B80A20" w:rsidRPr="007D3F61">
        <w:rPr>
          <w:rFonts w:ascii="Traditional Arabic" w:hAnsi="Traditional Arabic" w:cs="Traditional Arabic" w:hint="cs"/>
          <w:sz w:val="36"/>
          <w:szCs w:val="36"/>
          <w:rtl/>
        </w:rPr>
        <w:t xml:space="preserve"> فإذا اغتسل يجب أن لا يمنع منها</w:t>
      </w:r>
      <w:r w:rsidRPr="007D3F61">
        <w:rPr>
          <w:rFonts w:ascii="Traditional Arabic" w:hAnsi="Traditional Arabic" w:cs="Traditional Arabic" w:hint="cs"/>
          <w:sz w:val="36"/>
          <w:szCs w:val="36"/>
          <w:rtl/>
        </w:rPr>
        <w:t>, فدل على أن الوضوء غير واجب</w:t>
      </w:r>
      <w:r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D3F6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B703C" w:rsidRPr="007D3F61" w:rsidRDefault="008B703C" w:rsidP="007F0AD9">
      <w:pPr>
        <w:spacing w:after="0" w:line="235" w:lineRule="auto"/>
        <w:jc w:val="lowKashida"/>
        <w:rPr>
          <w:rFonts w:ascii="Arial" w:eastAsia="Times New Roman" w:hAnsi="Arial" w:cs="Arial"/>
          <w:sz w:val="36"/>
          <w:szCs w:val="36"/>
          <w:rtl/>
        </w:rPr>
      </w:pPr>
      <w:r w:rsidRPr="007D3F6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الثاني</w:t>
      </w:r>
      <w:r w:rsidR="00B54E33" w:rsidRPr="007D3F61">
        <w:rPr>
          <w:rFonts w:ascii="Traditional Arabic" w:hAnsi="Traditional Arabic" w:cs="Traditional Arabic" w:hint="cs"/>
          <w:sz w:val="36"/>
          <w:szCs w:val="36"/>
          <w:rtl/>
        </w:rPr>
        <w:t>: قوله تعالى</w:t>
      </w:r>
      <w:r w:rsidRPr="007D3F61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E42CC9" w:rsidRPr="007D3F61">
        <w:rPr>
          <w:rFonts w:ascii="QCF_BSML" w:eastAsia="Times New Roman" w:hAnsi="QCF_BSML" w:cs="QCF_BSML"/>
          <w:sz w:val="36"/>
          <w:szCs w:val="36"/>
          <w:rtl/>
        </w:rPr>
        <w:t xml:space="preserve"> </w:t>
      </w:r>
      <w:r w:rsidR="00E42CC9" w:rsidRPr="007D3F61">
        <w:rPr>
          <w:rFonts w:ascii="QCF_BSML" w:eastAsia="Times New Roman" w:hAnsi="QCF_BSML" w:cs="QCF_BSML"/>
          <w:sz w:val="32"/>
          <w:szCs w:val="32"/>
          <w:rtl/>
        </w:rPr>
        <w:t xml:space="preserve">ﭽ </w:t>
      </w:r>
      <w:r w:rsidR="00E42CC9" w:rsidRPr="007D3F61">
        <w:rPr>
          <w:rFonts w:ascii="QCF_P108" w:eastAsia="Times New Roman" w:hAnsi="QCF_P108" w:cs="QCF_P108"/>
          <w:sz w:val="32"/>
          <w:szCs w:val="32"/>
          <w:rtl/>
        </w:rPr>
        <w:t xml:space="preserve">ﭣ  ﭤ    ﭥ  ﭦﭧ   </w:t>
      </w:r>
      <w:r w:rsidR="00E42CC9" w:rsidRPr="007D3F61">
        <w:rPr>
          <w:rFonts w:ascii="QCF_BSML" w:eastAsia="Times New Roman" w:hAnsi="QCF_BSML" w:cs="QCF_BSML"/>
          <w:sz w:val="32"/>
          <w:szCs w:val="32"/>
          <w:rtl/>
        </w:rPr>
        <w:t>ﭼ</w:t>
      </w:r>
      <w:r w:rsidR="00E42CC9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42CC9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E42CC9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2CC9" w:rsidRPr="007D3F61">
        <w:rPr>
          <w:rFonts w:cs="Traditional Arabic" w:hint="cs"/>
          <w:b/>
          <w:bCs/>
          <w:sz w:val="36"/>
          <w:szCs w:val="36"/>
          <w:rtl/>
        </w:rPr>
        <w:t>.</w:t>
      </w:r>
      <w:r w:rsidR="00E42CC9" w:rsidRPr="007D3F61">
        <w:rPr>
          <w:rFonts w:ascii="Arial" w:eastAsia="Times New Roman" w:hAnsi="Arial" w:cs="Arial"/>
          <w:sz w:val="36"/>
          <w:szCs w:val="36"/>
          <w:rtl/>
        </w:rPr>
        <w:t xml:space="preserve"> </w:t>
      </w:r>
    </w:p>
    <w:p w:rsidR="001A1FB2" w:rsidRPr="007D3F61" w:rsidRDefault="001A1FB2" w:rsidP="007F0AD9">
      <w:pPr>
        <w:spacing w:after="0" w:line="235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 w:rsidRPr="007D3F61"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وجه الدلالة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: أمر الله سبحانه وتعالى</w:t>
      </w:r>
      <w:r w:rsidR="001D65B4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الجنب </w:t>
      </w:r>
      <w:r w:rsidR="00B54E33" w:rsidRPr="007D3F61">
        <w:rPr>
          <w:rFonts w:ascii="Arial" w:eastAsia="Times New Roman" w:hAnsi="Arial" w:cs="Traditional Arabic" w:hint="cs"/>
          <w:sz w:val="36"/>
          <w:szCs w:val="36"/>
          <w:rtl/>
        </w:rPr>
        <w:t>بالتطهر, ولم يف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رض عليه </w:t>
      </w:r>
      <w:r w:rsidR="001D65B4" w:rsidRPr="007D3F61">
        <w:rPr>
          <w:rFonts w:ascii="Arial" w:eastAsia="Times New Roman" w:hAnsi="Arial" w:cs="Traditional Arabic" w:hint="cs"/>
          <w:sz w:val="36"/>
          <w:szCs w:val="36"/>
          <w:rtl/>
        </w:rPr>
        <w:t>إلا الغسل من الجنابة دون الوضوء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, فدل على أنه غير واجب</w:t>
      </w:r>
      <w:r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.</w:t>
      </w:r>
    </w:p>
    <w:p w:rsidR="00C77C21" w:rsidRPr="007D3F61" w:rsidRDefault="00C77C21" w:rsidP="000459D3">
      <w:pPr>
        <w:spacing w:after="0" w:line="235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 w:rsidRPr="007D3F61"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الدليل الثالث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: حديث عمران الطويل في بيان قصة مع النبي 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2"/>
      </w:r>
      <w:r w:rsidR="00B80A20" w:rsidRPr="007D3F61">
        <w:rPr>
          <w:rFonts w:ascii="Arial" w:eastAsia="Times New Roman" w:hAnsi="Arial" w:cs="Traditional Arabic" w:hint="cs"/>
          <w:sz w:val="36"/>
          <w:szCs w:val="36"/>
          <w:rtl/>
        </w:rPr>
        <w:t>,</w:t>
      </w:r>
      <w:r w:rsidR="00EC3FF6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وفيه أن رجلا اعتزل عن القوم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, ولم يصل</w:t>
      </w:r>
      <w:r w:rsidR="00B80A20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مع 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النبي 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2"/>
      </w:r>
      <w:r w:rsidR="00B54E3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بالجماعة, فقال:"</w:t>
      </w:r>
      <w:r w:rsidR="00EC3FF6" w:rsidRPr="007D3F61">
        <w:rPr>
          <w:rFonts w:ascii="Arial" w:eastAsia="Times New Roman" w:hAnsi="Arial" w:cs="Traditional Arabic" w:hint="cs"/>
          <w:sz w:val="36"/>
          <w:szCs w:val="36"/>
          <w:rtl/>
        </w:rPr>
        <w:t>إ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ني جنب</w:t>
      </w:r>
      <w:r w:rsidR="003107B3" w:rsidRPr="007D3F61">
        <w:rPr>
          <w:rFonts w:ascii="Arial" w:eastAsia="Times New Roman" w:hAnsi="Arial" w:cs="Traditional Arabic" w:hint="cs"/>
          <w:sz w:val="36"/>
          <w:szCs w:val="36"/>
          <w:rtl/>
        </w:rPr>
        <w:t>,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ولم يكن ذاك الوقت ماء</w:t>
      </w:r>
      <w:r w:rsidR="003107B3" w:rsidRPr="007D3F61">
        <w:rPr>
          <w:rFonts w:ascii="Arial" w:eastAsia="Times New Roman" w:hAnsi="Arial" w:cs="Traditional Arabic" w:hint="cs"/>
          <w:sz w:val="36"/>
          <w:szCs w:val="36"/>
          <w:rtl/>
        </w:rPr>
        <w:t>,</w:t>
      </w:r>
      <w:r w:rsidR="00B54E3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فعلمه النبي 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2"/>
      </w:r>
      <w:r w:rsidR="00B54E3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التيمم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, ثم جِيْ</w:t>
      </w:r>
      <w:r w:rsidR="00B54E33" w:rsidRPr="007D3F61">
        <w:rPr>
          <w:rFonts w:ascii="Arial" w:eastAsia="Times New Roman" w:hAnsi="Arial" w:cs="Traditional Arabic" w:hint="cs"/>
          <w:sz w:val="36"/>
          <w:szCs w:val="36"/>
          <w:rtl/>
        </w:rPr>
        <w:t>ءَ بامرأة معها مزادتان من الماء, وأفرغ من مائها في إناء</w:t>
      </w:r>
      <w:r w:rsidR="00EC3FF6" w:rsidRPr="007D3F61">
        <w:rPr>
          <w:rFonts w:ascii="Arial" w:eastAsia="Times New Roman" w:hAnsi="Arial" w:cs="Traditional Arabic" w:hint="cs"/>
          <w:sz w:val="36"/>
          <w:szCs w:val="36"/>
          <w:rtl/>
        </w:rPr>
        <w:t>,</w:t>
      </w:r>
      <w:r w:rsidR="00B54E3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ونودي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4E7B3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اسقوا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واستقوا</w:t>
      </w:r>
      <w:r w:rsidR="00B54E3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459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فسقى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واستقى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 w:rsidR="00B54E3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0459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ذاك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أعطى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0459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أصابته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الجنابة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إناء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573369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EC3FF6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EC3FF6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="00EC3FF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EC3FF6" w:rsidRPr="007D3F61">
        <w:rPr>
          <w:rFonts w:ascii="Arial" w:eastAsia="Times New Roman" w:hAnsi="Arial" w:cs="Traditional Arabic" w:hint="cs"/>
          <w:sz w:val="36"/>
          <w:szCs w:val="36"/>
          <w:rtl/>
        </w:rPr>
        <w:t>"</w:t>
      </w:r>
      <w:r w:rsidR="00EC3FF6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C3FF6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EC3FF6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C3FF6" w:rsidRPr="007D3F61">
        <w:rPr>
          <w:rFonts w:ascii="Arial" w:eastAsia="Times New Roman" w:hAnsi="Arial" w:cs="Traditional Arabic" w:hint="cs"/>
          <w:sz w:val="36"/>
          <w:szCs w:val="36"/>
          <w:rtl/>
        </w:rPr>
        <w:t>.</w:t>
      </w:r>
    </w:p>
    <w:p w:rsidR="00BF1412" w:rsidRPr="007D3F61" w:rsidRDefault="006E4390" w:rsidP="007F0AD9">
      <w:pPr>
        <w:spacing w:after="0" w:line="235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 w:rsidRPr="007D3F61"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وجه الدلالة</w:t>
      </w:r>
      <w:r w:rsidR="00310863" w:rsidRPr="007D3F61">
        <w:rPr>
          <w:rFonts w:ascii="Arial" w:eastAsia="Times New Roman" w:hAnsi="Arial" w:cs="Traditional Arabic" w:hint="cs"/>
          <w:sz w:val="36"/>
          <w:szCs w:val="36"/>
          <w:rtl/>
        </w:rPr>
        <w:t>:</w:t>
      </w:r>
      <w:r w:rsidR="00605BDE">
        <w:rPr>
          <w:rFonts w:ascii="Arial" w:eastAsia="Times New Roman" w:hAnsi="Arial" w:cs="Traditional Arabic" w:hint="cs"/>
          <w:sz w:val="36"/>
          <w:szCs w:val="36"/>
          <w:rtl/>
        </w:rPr>
        <w:t xml:space="preserve"> </w:t>
      </w:r>
      <w:r w:rsidR="00262256">
        <w:rPr>
          <w:rFonts w:ascii="Arial" w:eastAsia="Times New Roman" w:hAnsi="Arial" w:cs="Traditional Arabic" w:hint="cs"/>
          <w:sz w:val="36"/>
          <w:szCs w:val="36"/>
          <w:rtl/>
        </w:rPr>
        <w:t>أن النبي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2"/>
      </w:r>
      <w:r w:rsidR="0031086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أمره بإفراغ الماء على جسده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, ولم يأمره بالوضوء, فلو</w:t>
      </w:r>
      <w:r w:rsidR="00310863" w:rsidRPr="007D3F61">
        <w:rPr>
          <w:rFonts w:ascii="Arial" w:eastAsia="Times New Roman" w:hAnsi="Arial" w:cs="Traditional Arabic" w:hint="cs"/>
          <w:sz w:val="36"/>
          <w:szCs w:val="36"/>
          <w:rtl/>
        </w:rPr>
        <w:t>كان الوضوء واجبا لذكره وبين له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, فد</w:t>
      </w:r>
      <w:r w:rsidR="004E7FE2" w:rsidRPr="007D3F61">
        <w:rPr>
          <w:rFonts w:ascii="Arial" w:eastAsia="Times New Roman" w:hAnsi="Arial" w:cs="Traditional Arabic" w:hint="cs"/>
          <w:sz w:val="36"/>
          <w:szCs w:val="36"/>
          <w:rtl/>
        </w:rPr>
        <w:t>ل على أن الوضوء غير واجب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.</w:t>
      </w:r>
    </w:p>
    <w:p w:rsidR="0032618F" w:rsidRPr="007D3F61" w:rsidRDefault="004E7FE2" w:rsidP="009E2520">
      <w:pPr>
        <w:spacing w:after="0" w:line="235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 w:rsidRPr="007D3F61"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الدليل الرابع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:</w:t>
      </w:r>
      <w:r w:rsidR="0031086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</w:t>
      </w:r>
      <w:r w:rsidR="00262256">
        <w:rPr>
          <w:rFonts w:ascii="Arial" w:eastAsia="Times New Roman" w:hAnsi="Arial" w:cs="Traditional Arabic" w:hint="cs"/>
          <w:sz w:val="36"/>
          <w:szCs w:val="36"/>
          <w:rtl/>
        </w:rPr>
        <w:t>عن أبي ذر</w:t>
      </w:r>
      <w:r w:rsidR="004E7B32">
        <w:rPr>
          <w:rFonts w:ascii="Arial" w:eastAsia="Times New Roman" w:hAnsi="Arial" w:cs="Traditional Arabic"/>
          <w:sz w:val="36"/>
          <w:szCs w:val="36"/>
        </w:rPr>
        <w:t xml:space="preserve"> 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4"/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قال</w:t>
      </w:r>
      <w:r w:rsidR="0031086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: قال النبي 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2"/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: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الصعيد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وضوء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سنين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َ؛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2618F" w:rsidRPr="007D3F6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7F0AD9" w:rsidRDefault="00605BDE" w:rsidP="007F0AD9">
      <w:pPr>
        <w:spacing w:after="0" w:line="235" w:lineRule="auto"/>
        <w:jc w:val="lowKashida"/>
        <w:rPr>
          <w:rFonts w:ascii="Arial" w:eastAsia="Times New Roman" w:hAnsi="Arial" w:cs="Traditional Arabic"/>
          <w:sz w:val="36"/>
          <w:szCs w:val="36"/>
          <w:rtl/>
        </w:rPr>
      </w:pPr>
      <w:r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وجه الدلالة</w:t>
      </w:r>
      <w:r w:rsidR="0061605B" w:rsidRPr="007D3F61"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 xml:space="preserve">: </w:t>
      </w:r>
      <w:r w:rsidR="00262256">
        <w:rPr>
          <w:rFonts w:ascii="Arial" w:eastAsia="Times New Roman" w:hAnsi="Arial" w:cs="Traditional Arabic" w:hint="cs"/>
          <w:sz w:val="36"/>
          <w:szCs w:val="36"/>
          <w:rtl/>
        </w:rPr>
        <w:t>أن النبي</w:t>
      </w:r>
      <w:r w:rsidR="004E7B32">
        <w:rPr>
          <w:rFonts w:ascii="Arial" w:eastAsia="Times New Roman" w:hAnsi="Arial" w:cs="Traditional Arabic" w:hint="cs"/>
          <w:sz w:val="36"/>
          <w:szCs w:val="36"/>
        </w:rPr>
        <w:sym w:font="AGA Arabesque" w:char="F072"/>
      </w:r>
      <w:r w:rsidR="00310863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 إنما أمر الجنب بالغسل فقط</w:t>
      </w:r>
      <w:r w:rsidR="0061605B" w:rsidRPr="007D3F61">
        <w:rPr>
          <w:rFonts w:ascii="Arial" w:eastAsia="Times New Roman" w:hAnsi="Arial" w:cs="Traditional Arabic" w:hint="cs"/>
          <w:sz w:val="36"/>
          <w:szCs w:val="36"/>
          <w:rtl/>
        </w:rPr>
        <w:t>, ولم</w:t>
      </w:r>
      <w:r w:rsidR="00262256">
        <w:rPr>
          <w:rFonts w:ascii="Arial" w:eastAsia="Times New Roman" w:hAnsi="Arial" w:cs="Traditional Arabic" w:hint="cs"/>
          <w:sz w:val="36"/>
          <w:szCs w:val="36"/>
          <w:rtl/>
        </w:rPr>
        <w:t xml:space="preserve"> يذكر الوضوء</w:t>
      </w:r>
      <w:r w:rsidR="0061605B" w:rsidRPr="007D3F61">
        <w:rPr>
          <w:rFonts w:ascii="Arial" w:eastAsia="Times New Roman" w:hAnsi="Arial" w:cs="Traditional Arabic" w:hint="cs"/>
          <w:sz w:val="36"/>
          <w:szCs w:val="36"/>
          <w:rtl/>
        </w:rPr>
        <w:t xml:space="preserve">, فلو كان الوضوء </w:t>
      </w:r>
    </w:p>
    <w:p w:rsidR="0061605B" w:rsidRPr="007D3F61" w:rsidRDefault="0061605B" w:rsidP="007F0AD9">
      <w:pPr>
        <w:spacing w:after="0" w:line="230" w:lineRule="auto"/>
        <w:jc w:val="lowKashida"/>
        <w:rPr>
          <w:rFonts w:ascii="Arial" w:eastAsia="Times New Roman" w:hAnsi="Arial" w:cs="Traditional Arabic"/>
          <w:b/>
          <w:bCs/>
          <w:sz w:val="36"/>
          <w:szCs w:val="36"/>
          <w:rtl/>
        </w:rPr>
      </w:pP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lastRenderedPageBreak/>
        <w:t>واجبا لبينه له</w:t>
      </w:r>
      <w:r w:rsidR="00184EDE" w:rsidRPr="007D3F61">
        <w:rPr>
          <w:rFonts w:ascii="Arial" w:eastAsia="Times New Roman" w:hAnsi="Arial" w:cs="Traditional Arabic" w:hint="cs"/>
          <w:sz w:val="36"/>
          <w:szCs w:val="36"/>
          <w:rtl/>
        </w:rPr>
        <w:t>, فدل على أن الوضوء في غسل الجنابة ليس بواجب</w:t>
      </w:r>
      <w:r w:rsidR="00184EDE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84EDE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184EDE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D3F61">
        <w:rPr>
          <w:rFonts w:ascii="Arial" w:eastAsia="Times New Roman" w:hAnsi="Arial" w:cs="Traditional Arabic" w:hint="cs"/>
          <w:sz w:val="36"/>
          <w:szCs w:val="36"/>
          <w:rtl/>
        </w:rPr>
        <w:t>.</w:t>
      </w:r>
    </w:p>
    <w:p w:rsidR="008D5FC2" w:rsidRPr="007D3F61" w:rsidRDefault="00605BDE" w:rsidP="007F0AD9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الدليل الخامس</w:t>
      </w:r>
      <w:r w:rsidR="008D5FC2" w:rsidRPr="007D3F61">
        <w:rPr>
          <w:rFonts w:ascii="Arial" w:eastAsia="Times New Roman" w:hAnsi="Arial" w:cs="Traditional Arabic" w:hint="cs"/>
          <w:b/>
          <w:bCs/>
          <w:sz w:val="36"/>
          <w:szCs w:val="36"/>
          <w:rtl/>
        </w:rPr>
        <w:t>:</w:t>
      </w:r>
      <w:r w:rsidR="008D5FC2" w:rsidRPr="007D3F61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سلمة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عنها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ضفر</w:t>
      </w:r>
      <w:r w:rsidR="003107B3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07B3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3107B3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رأسي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فأنقضه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لغسل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الجنابة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يكفيك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95299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</w:t>
      </w:r>
      <w:r w:rsidR="0095299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</w:t>
      </w:r>
      <w:r w:rsidR="0095299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رأسك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حثيات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D5FC2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D5FC2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فتطهرين</w:t>
      </w:r>
      <w:r w:rsidR="008D5FC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8D5FC2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5FC2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8D5FC2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5FC2" w:rsidRPr="007D3F6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952992" w:rsidRPr="007D3F61" w:rsidRDefault="00605BDE" w:rsidP="007F0AD9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="00952992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CD6742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CD674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CD674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إنما يكفيك ..." يدل على أن الغسل فيه كفاية للطهارة من الجنابة,  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ف</w:t>
      </w:r>
      <w:r w:rsidR="00CD674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لو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CD674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كان الوضوء فرضا لما حصر النبي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D674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الطهارة بالغسل</w:t>
      </w:r>
      <w:r w:rsidR="00955F4F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 وأمرها به</w:t>
      </w:r>
      <w:r w:rsidR="009A4F23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A4F23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9A4F23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D674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1E777C" w:rsidRPr="007D3F61" w:rsidRDefault="001E777C" w:rsidP="007F0AD9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السادس</w:t>
      </w:r>
      <w:r w:rsidR="001A0835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262256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BF74C7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عن جبير بن مطعم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4E7B32">
        <w:rPr>
          <w:rFonts w:ascii="Traditional Arabic" w:eastAsia="Times New Roman" w:hAnsi="Times New Roman" w:cs="Traditional Arabic"/>
          <w:smallCaps/>
          <w:sz w:val="36"/>
          <w:szCs w:val="36"/>
          <w:vertAlign w:val="superscript"/>
          <w:rtl/>
        </w:rPr>
        <w:t xml:space="preserve"> </w:t>
      </w:r>
      <w:r w:rsidR="00310863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0863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310863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F74C7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عن النبي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4E7B3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أنه قال:</w:t>
      </w:r>
      <w:r w:rsidR="00BF74C7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1A0835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أما أنا ف</w:t>
      </w:r>
      <w:r w:rsidR="00BF74C7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أفيض على راسي ثلاث حثيات</w:t>
      </w:r>
      <w:r w:rsidR="00E97D2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ٍ</w:t>
      </w:r>
      <w:r w:rsidR="00BF74C7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من ماء</w:t>
      </w:r>
      <w:r w:rsidR="001A0835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 فإذا أنا قد طهرت</w:t>
      </w:r>
      <w:r w:rsidR="00BF74C7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1A0835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A0835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="001A0835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A65B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1A0835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C06D7E" w:rsidRPr="007D3F61" w:rsidRDefault="00605BDE" w:rsidP="007F0AD9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السابع</w:t>
      </w:r>
      <w:r w:rsidR="00C06D7E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  <w:r w:rsidR="00C06D7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لأنهما عبادتان من جنس واحد فتدخل الصغرى منهما في الكبرى كالدخول العمرة في الحج</w:t>
      </w:r>
      <w:r w:rsidR="00C06D7E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06D7E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="00C06D7E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06D7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C06D7E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41796F" w:rsidRPr="007D3F61" w:rsidRDefault="00605BDE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أدلة القول الثاني</w:t>
      </w:r>
      <w:r w:rsidR="0041796F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456532" w:rsidRPr="007D3F61" w:rsidRDefault="006E074F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 </w:t>
      </w:r>
      <w:r w:rsidR="0041796F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="0041796F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َّ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الجنابة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بدأ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فغسل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يتوضأ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يتوضأ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أصابعه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فيخلل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شعره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E1395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</w:t>
      </w:r>
      <w:r w:rsidR="00E1395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</w:t>
      </w:r>
      <w:r w:rsidR="00E1395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ُّ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غرف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بيديه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1369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فيض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جلده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 w:rsidR="0041796F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1796F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41796F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1796F" w:rsidRPr="007D3F6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41796F" w:rsidRPr="007D3F61" w:rsidRDefault="006E074F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 </w:t>
      </w:r>
      <w:r w:rsidR="0041796F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الثاني</w:t>
      </w:r>
      <w:r w:rsidR="0041796F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عن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ميمونة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توضأ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وضوءه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رجليه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وغسل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فرجه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الأذى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أفاض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نحى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38021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 w:rsidR="0038021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</w:t>
      </w:r>
      <w:r w:rsidR="0038021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38021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</w:t>
      </w:r>
      <w:r w:rsidR="00FC2836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فغسلهما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غسله</w:t>
      </w:r>
      <w:r w:rsidR="00CC4B0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41796F" w:rsidRPr="007D3F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96F" w:rsidRPr="007D3F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الجنابة</w:t>
      </w:r>
      <w:r w:rsidR="0041796F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1796F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41796F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1796F" w:rsidRPr="007D3F6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A90572" w:rsidRPr="007D3F61" w:rsidRDefault="00605BDE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 من الحديثين</w:t>
      </w:r>
      <w:r w:rsidR="00A90572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71228F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71228F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هذان الحديثان يدلان على أن النبي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495339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كان يداوم على الوضوء قبل الغسل, وفعله هذا بيان للاغتسال الشرعي المجمل الواجب الذي لا يتبين المراد منه إلا ببيانه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495339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فيكون واجبا</w:t>
      </w:r>
      <w:r w:rsidR="00495339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95339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495339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95339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A90572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</w:p>
    <w:p w:rsidR="00E00E9E" w:rsidRPr="007D3F61" w:rsidRDefault="00316B37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الدليل </w:t>
      </w:r>
      <w:r w:rsidR="00605BDE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الثالث</w:t>
      </w:r>
      <w:r w:rsidR="00E00E9E"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:</w:t>
      </w:r>
      <w:r w:rsidR="00262256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</w:t>
      </w:r>
      <w:r w:rsidR="009A716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لأن الحدث والجنابة وجدا منه</w:t>
      </w:r>
      <w:r w:rsidR="00731AE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9A716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731AE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فوجبت لهما الطهارتان</w:t>
      </w:r>
      <w:r w:rsidR="000C1F34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731AE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كما لو كان منفردين,</w:t>
      </w:r>
      <w:r w:rsidR="009A716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14F01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9A7160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لأنهما مختلفا 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القدر والصفة</w:t>
      </w:r>
      <w:r w:rsidR="00914F01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1AE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فلم تدخل إحداهما في الأخرى</w:t>
      </w:r>
      <w:r w:rsidR="000F15CA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31AE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كالقتل والقطع في السرقة</w:t>
      </w:r>
      <w:r w:rsidR="00731AE2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31AE2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731AE2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31AE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DF70EE" w:rsidRPr="007D3F61" w:rsidRDefault="00DF70EE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والله تعالى أعلم بالصو</w:t>
      </w:r>
      <w:r w:rsidR="00752C8F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اب هو القول الأول, وذلك لما يلي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DF70EE" w:rsidRPr="007D3F61" w:rsidRDefault="00DF70EE" w:rsidP="007D58F8">
      <w:pPr>
        <w:pStyle w:val="afc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6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لقوة أدلة الجمهور من حيث الأثر</w:t>
      </w:r>
      <w:r w:rsidR="001A4DCE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والنظر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96FA6" w:rsidRPr="007D3F61" w:rsidRDefault="00896FA6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أما الأثر</w:t>
      </w:r>
      <w:r w:rsidR="00605BD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ف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لحديث عمران, وأم سلمة, </w:t>
      </w:r>
      <w:r w:rsidR="00F558DF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و</w:t>
      </w:r>
      <w:r w:rsidR="00262256">
        <w:rPr>
          <w:rFonts w:ascii="Traditional Arabic" w:eastAsia="Times New Roman" w:hAnsi="Times New Roman" w:cs="Traditional Arabic" w:hint="cs"/>
          <w:sz w:val="36"/>
          <w:szCs w:val="36"/>
          <w:rtl/>
        </w:rPr>
        <w:t>أبي ذر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9"/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جميعا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المذكور في أدلة القول الأول</w:t>
      </w:r>
      <w:r w:rsidR="00310863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فهي ت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دل بكل صراحة على عدم وجوب الوضوء حيث أن النبي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لم يتعرض للوضوء مطلقا مع أن المقام مقام تعليم.  </w:t>
      </w:r>
    </w:p>
    <w:p w:rsidR="00DD61F5" w:rsidRDefault="00896FA6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النظر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: فكما ذكر ابن رشد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ما معناه</w:t>
      </w:r>
      <w:r w:rsidR="009A20ED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أن القياس يقتضي أن يكون الغسل شرط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ل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صحة </w:t>
      </w:r>
    </w:p>
    <w:p w:rsidR="006E074F" w:rsidRDefault="00896FA6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الوضوء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, لا الوضوء شرط</w:t>
      </w:r>
      <w:r w:rsidR="00D65008">
        <w:rPr>
          <w:rFonts w:ascii="Traditional Arabic" w:eastAsia="Times New Roman" w:hAnsi="Times New Roman" w:cs="Traditional Arabic" w:hint="cs"/>
          <w:sz w:val="36"/>
          <w:szCs w:val="36"/>
          <w:rtl/>
        </w:rPr>
        <w:t>ـ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ا لصحة الغسل</w:t>
      </w:r>
      <w:r w:rsidR="00262256">
        <w:rPr>
          <w:rFonts w:ascii="Traditional Arabic" w:eastAsia="Times New Roman" w:hAnsi="Times New Roman" w:cs="Traditional Arabic" w:hint="cs"/>
          <w:sz w:val="36"/>
          <w:szCs w:val="36"/>
          <w:rtl/>
        </w:rPr>
        <w:t>؛ لأن ال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جنب إذا توضأ قبل الغسل فإن الوضوء لا </w:t>
      </w:r>
    </w:p>
    <w:p w:rsidR="004416E8" w:rsidRPr="007D3F61" w:rsidRDefault="00896FA6" w:rsidP="005A37DD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يرفع حدثا ولا يكس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ب طهارة, فمقتضاه أن لا يكون الوضوء في بداية الغسل</w:t>
      </w:r>
      <w:r w:rsidR="006906C4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906C4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="006906C4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1079B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DF70EE" w:rsidRPr="007D3F61" w:rsidRDefault="00DF70EE" w:rsidP="007D58F8">
      <w:pPr>
        <w:pStyle w:val="afc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66" w:hanging="425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أما فعل النبي </w:t>
      </w:r>
      <w:r w:rsidR="004E7B3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فمحمول على الاستحباب جمعا بين جميع الأدلة الوار</w:t>
      </w:r>
      <w:r w:rsidR="00934134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د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ة في المسألة</w:t>
      </w:r>
      <w:r w:rsidR="004E7B3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114CCC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14CCC" w:rsidRPr="007D3F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3"/>
      </w:r>
      <w:r w:rsidR="00114CCC" w:rsidRPr="007D3F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  <w:r w:rsidR="00456532"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>والله أعلم.</w:t>
      </w:r>
      <w:r w:rsidRPr="007D3F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sectPr w:rsidR="00DF70EE" w:rsidRPr="007D3F61" w:rsidSect="00F004B7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57"/>
      <w:pgNumType w:start="38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9A9" w:rsidRDefault="000E69A9" w:rsidP="0091014A">
      <w:pPr>
        <w:spacing w:after="0" w:line="240" w:lineRule="auto"/>
      </w:pPr>
      <w:r>
        <w:separator/>
      </w:r>
    </w:p>
  </w:endnote>
  <w:endnote w:type="continuationSeparator" w:id="1">
    <w:p w:rsidR="000E69A9" w:rsidRDefault="000E69A9" w:rsidP="00910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9037641"/>
      <w:docPartObj>
        <w:docPartGallery w:val="Page Numbers (Bottom of Page)"/>
        <w:docPartUnique/>
      </w:docPartObj>
    </w:sdtPr>
    <w:sdtContent>
      <w:p w:rsidR="009057F1" w:rsidRDefault="00F004B7" w:rsidP="00F004B7">
        <w:pPr>
          <w:pStyle w:val="afd"/>
          <w:jc w:val="center"/>
        </w:pPr>
        <w:r>
          <w:rPr>
            <w:noProof/>
            <w:rtl/>
          </w:rPr>
          <w:pict>
            <v:roundrect id="_x0000_s45057" style="position:absolute;left:0;text-align:left;margin-left:193.15pt;margin-top:-5.15pt;width:38.9pt;height:20.05pt;z-index:251658240;mso-position-horizontal-relative:margin;mso-position-vertical-relative:text" arcsize="10923f">
              <v:textbox style="mso-next-textbox:#_x0000_s45057">
                <w:txbxContent>
                  <w:p w:rsidR="00F004B7" w:rsidRPr="00A6537B" w:rsidRDefault="00F004B7" w:rsidP="00F004B7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F14CF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36504C">
                      <w:rPr>
                        <w:rFonts w:cs="Arial"/>
                        <w:noProof/>
                        <w:spacing w:val="-20"/>
                        <w:sz w:val="32"/>
                        <w:szCs w:val="32"/>
                        <w:rtl/>
                      </w:rPr>
                      <w:t>381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C59DC" w:rsidRDefault="00CC59D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9A9" w:rsidRDefault="000E69A9" w:rsidP="009057F1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0E69A9" w:rsidRDefault="000E69A9" w:rsidP="009057F1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4350ED" w:rsidRPr="007D3F61" w:rsidRDefault="004350ED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44AD0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2/13</w:t>
      </w:r>
      <w:r w:rsidR="004F7B73" w:rsidRPr="007D3F61">
        <w:rPr>
          <w:rFonts w:ascii="Traditional Arabic" w:eastAsia="Calibri" w:cs="Traditional Arabic" w:hint="cs"/>
          <w:sz w:val="32"/>
          <w:szCs w:val="32"/>
          <w:rtl/>
        </w:rPr>
        <w:t>2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3">
    <w:p w:rsidR="00095BEB" w:rsidRPr="007D3F61" w:rsidRDefault="00095BEB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F46819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>التمهيد</w:t>
      </w:r>
      <w:r w:rsidR="00CC5020" w:rsidRPr="007D3F61">
        <w:rPr>
          <w:rFonts w:ascii="Traditional Arabic" w:eastAsia="Calibri" w:cs="Traditional Arabic" w:hint="cs"/>
          <w:sz w:val="32"/>
          <w:szCs w:val="32"/>
          <w:rtl/>
        </w:rPr>
        <w:t>8/174,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>والاستذكار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1/304,</w:t>
      </w:r>
      <w:r w:rsidR="00CC5020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="00F46819" w:rsidRPr="007D3F61">
        <w:rPr>
          <w:rFonts w:ascii="Traditional Arabic" w:eastAsia="Calibri" w:cs="Traditional Arabic" w:hint="cs"/>
          <w:sz w:val="32"/>
          <w:szCs w:val="32"/>
          <w:rtl/>
        </w:rPr>
        <w:t>1/289, وشرح البخاري لابن بطال</w:t>
      </w:r>
      <w:r w:rsidR="0005797D" w:rsidRPr="007D3F61">
        <w:rPr>
          <w:rFonts w:ascii="Traditional Arabic" w:eastAsia="Calibri" w:cs="Traditional Arabic" w:hint="cs"/>
          <w:sz w:val="32"/>
          <w:szCs w:val="32"/>
          <w:rtl/>
        </w:rPr>
        <w:t>1/368.</w:t>
      </w:r>
    </w:p>
  </w:footnote>
  <w:footnote w:id="4">
    <w:p w:rsidR="00FC4420" w:rsidRPr="007D3F61" w:rsidRDefault="00FC4420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331B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مختصر 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 xml:space="preserve">القدوري 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>ص12,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المبسوط للسرخسي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>1/44,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>بدائع الصنائع</w:t>
      </w:r>
      <w:r w:rsidR="006C26B3" w:rsidRPr="007D3F61">
        <w:rPr>
          <w:rFonts w:ascii="Traditional Arabic" w:eastAsia="Calibri" w:cs="Traditional Arabic" w:hint="cs"/>
          <w:sz w:val="32"/>
          <w:szCs w:val="32"/>
          <w:rtl/>
        </w:rPr>
        <w:t>1/138,</w:t>
      </w:r>
      <w:r w:rsidR="0027331B" w:rsidRPr="0027331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>والهداية</w:t>
      </w:r>
      <w:r w:rsidR="0027331B" w:rsidRPr="007D3F61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331B" w:rsidRPr="007D3F61">
        <w:rPr>
          <w:rFonts w:ascii="Traditional Arabic" w:eastAsia="Calibri" w:cs="Traditional Arabic" w:hint="cs"/>
          <w:sz w:val="32"/>
          <w:szCs w:val="32"/>
          <w:rtl/>
        </w:rPr>
        <w:t>/23,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>والبناية شرح الهداية</w:t>
      </w:r>
      <w:r w:rsidR="00F743A1" w:rsidRPr="007D3F61">
        <w:rPr>
          <w:rFonts w:ascii="Traditional Arabic" w:eastAsia="Calibri" w:cs="Traditional Arabic" w:hint="cs"/>
          <w:sz w:val="32"/>
          <w:szCs w:val="32"/>
          <w:rtl/>
        </w:rPr>
        <w:t>1/258,</w:t>
      </w:r>
      <w:r w:rsidR="00C0689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743A1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27331B">
        <w:rPr>
          <w:rFonts w:ascii="Traditional Arabic" w:eastAsia="Calibri" w:cs="Traditional Arabic" w:hint="cs"/>
          <w:sz w:val="32"/>
          <w:szCs w:val="32"/>
          <w:rtl/>
        </w:rPr>
        <w:t xml:space="preserve"> اللباب للميداني</w:t>
      </w:r>
      <w:r w:rsidR="00BD332E" w:rsidRPr="007D3F61">
        <w:rPr>
          <w:rFonts w:ascii="Traditional Arabic" w:eastAsia="Calibri" w:cs="Traditional Arabic" w:hint="cs"/>
          <w:sz w:val="32"/>
          <w:szCs w:val="32"/>
          <w:rtl/>
        </w:rPr>
        <w:t>1/39.</w:t>
      </w:r>
      <w:r w:rsidR="00727230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">
    <w:p w:rsidR="00CB4C11" w:rsidRPr="007D3F61" w:rsidRDefault="00CB4C11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التلقين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1/23,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C8707C" w:rsidRPr="007D3F61">
        <w:rPr>
          <w:rFonts w:ascii="Traditional Arabic" w:eastAsia="Calibri" w:cs="Traditional Arabic" w:hint="cs"/>
          <w:sz w:val="32"/>
          <w:szCs w:val="32"/>
          <w:rtl/>
        </w:rPr>
        <w:t>جامع الأمهات ص63,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والذخيرة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1/310,</w:t>
      </w:r>
      <w:r w:rsidR="004D7E02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الخرشي على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 xml:space="preserve"> مختصر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خليل1/147.</w:t>
      </w:r>
      <w:r w:rsidR="00C360D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">
    <w:p w:rsidR="009F5BCE" w:rsidRPr="007D3F61" w:rsidRDefault="009F5BCE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="004F3E15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1/188, 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>ونهاية المطلب1/152,</w:t>
      </w:r>
      <w:r w:rsidR="00E1103F" w:rsidRP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1103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بحر المذهب1/199, 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>والبيان</w:t>
      </w:r>
      <w:r w:rsidR="004F3E15" w:rsidRPr="007D3F61">
        <w:rPr>
          <w:rFonts w:ascii="Traditional Arabic" w:eastAsia="Calibri" w:cs="Traditional Arabic" w:hint="cs"/>
          <w:sz w:val="32"/>
          <w:szCs w:val="32"/>
          <w:rtl/>
        </w:rPr>
        <w:t>1/254, و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المجموع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2/215,</w:t>
      </w:r>
      <w:r w:rsidR="006B4E1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04AE7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روضة الطالبين</w:t>
      </w:r>
      <w:r w:rsidR="00F65AC5" w:rsidRPr="007D3F61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2F256B" w:rsidRPr="007D3F61">
        <w:rPr>
          <w:rFonts w:ascii="Traditional Arabic" w:eastAsia="Calibri" w:cs="Traditional Arabic" w:hint="cs"/>
          <w:sz w:val="32"/>
          <w:szCs w:val="32"/>
          <w:rtl/>
        </w:rPr>
        <w:t>165</w:t>
      </w:r>
      <w:r w:rsidR="00452A23" w:rsidRPr="007D3F61">
        <w:rPr>
          <w:rFonts w:ascii="Traditional Arabic" w:eastAsia="Calibri" w:cs="Traditional Arabic" w:hint="cs"/>
          <w:sz w:val="32"/>
          <w:szCs w:val="32"/>
          <w:rtl/>
        </w:rPr>
        <w:t>, 201</w:t>
      </w:r>
      <w:r w:rsidR="00F65AC5"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6B4E1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7">
    <w:p w:rsidR="0096349B" w:rsidRPr="007D3F61" w:rsidRDefault="0096349B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306FC9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="00306FC9" w:rsidRPr="007D3F61">
        <w:rPr>
          <w:rFonts w:ascii="Traditional Arabic" w:eastAsia="Calibri" w:cs="Traditional Arabic" w:hint="cs"/>
          <w:sz w:val="32"/>
          <w:szCs w:val="32"/>
          <w:rtl/>
        </w:rPr>
        <w:t>1/287, و289, و</w:t>
      </w:r>
      <w:r w:rsidR="00442383" w:rsidRPr="007D3F61">
        <w:rPr>
          <w:rFonts w:ascii="Traditional Arabic" w:eastAsia="Calibri" w:cs="Traditional Arabic" w:hint="cs"/>
          <w:sz w:val="32"/>
          <w:szCs w:val="32"/>
          <w:rtl/>
        </w:rPr>
        <w:t>المحرر</w:t>
      </w:r>
      <w:r w:rsidR="00306FC9" w:rsidRPr="007D3F61">
        <w:rPr>
          <w:rFonts w:ascii="Traditional Arabic" w:eastAsia="Calibri" w:cs="Traditional Arabic" w:hint="cs"/>
          <w:sz w:val="32"/>
          <w:szCs w:val="32"/>
          <w:rtl/>
        </w:rPr>
        <w:t>1/20, والفروع1/266و 269,</w:t>
      </w:r>
      <w:r w:rsidR="00E1103F" w:rsidRP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1103F" w:rsidRPr="007D3F61">
        <w:rPr>
          <w:rFonts w:ascii="Traditional Arabic" w:eastAsia="Calibri" w:cs="Traditional Arabic" w:hint="cs"/>
          <w:sz w:val="32"/>
          <w:szCs w:val="32"/>
          <w:rtl/>
        </w:rPr>
        <w:t>والمبدع 173,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والإنصاف مع المقنع2/127و149, وكشاف القناع</w:t>
      </w:r>
      <w:r w:rsidR="00306FC9" w:rsidRPr="007D3F61">
        <w:rPr>
          <w:rFonts w:ascii="Traditional Arabic" w:eastAsia="Calibri" w:cs="Traditional Arabic" w:hint="cs"/>
          <w:sz w:val="32"/>
          <w:szCs w:val="32"/>
          <w:rtl/>
        </w:rPr>
        <w:t>1/141.</w:t>
      </w:r>
      <w:r w:rsidR="0021045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8">
    <w:p w:rsidR="0096349B" w:rsidRPr="007D3F61" w:rsidRDefault="0096349B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="00151989" w:rsidRPr="007D3F61">
        <w:rPr>
          <w:rFonts w:ascii="Traditional Arabic" w:eastAsia="Calibri" w:cs="Traditional Arabic" w:hint="cs"/>
          <w:sz w:val="32"/>
          <w:szCs w:val="32"/>
          <w:rtl/>
        </w:rPr>
        <w:t>2/</w:t>
      </w:r>
      <w:r w:rsidR="008E7A10" w:rsidRPr="007D3F61">
        <w:rPr>
          <w:rFonts w:ascii="Traditional Arabic" w:eastAsia="Calibri" w:cs="Traditional Arabic" w:hint="cs"/>
          <w:sz w:val="32"/>
          <w:szCs w:val="32"/>
          <w:rtl/>
        </w:rPr>
        <w:t>26</w:t>
      </w:r>
      <w:r w:rsidR="005B3188"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C94D0A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هذا إذا كانت الجنا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بة باحتلام أو يقظة من غير إيلاج</w:t>
      </w:r>
      <w:r w:rsidR="00C94D0A" w:rsidRPr="007D3F61">
        <w:rPr>
          <w:rFonts w:ascii="Traditional Arabic" w:eastAsia="Calibri" w:cs="Traditional Arabic" w:hint="cs"/>
          <w:sz w:val="32"/>
          <w:szCs w:val="32"/>
          <w:rtl/>
        </w:rPr>
        <w:t>, وأما إذا كانت الجنابة م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ن إيلاج فعليه والوضوء ولابد كما</w:t>
      </w:r>
      <w:r w:rsidR="00C94D0A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قال: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C94D0A" w:rsidRPr="007D3F61">
        <w:rPr>
          <w:rFonts w:ascii="Traditional Arabic" w:eastAsia="Calibri" w:cs="Traditional Arabic" w:hint="cs"/>
          <w:sz w:val="32"/>
          <w:szCs w:val="32"/>
          <w:rtl/>
        </w:rPr>
        <w:t>ومن أولج في الفرج وأجنب فعليه النية في غسله ذلك لهم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ا معا, وعليه أيضا الوضوء ولا بد".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="00C94D0A" w:rsidRPr="007D3F61">
        <w:rPr>
          <w:rFonts w:ascii="Traditional Arabic" w:eastAsia="Calibri" w:cs="Traditional Arabic" w:hint="cs"/>
          <w:sz w:val="32"/>
          <w:szCs w:val="32"/>
          <w:rtl/>
        </w:rPr>
        <w:t>2/8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C94D0A"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060191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والله أعلم .</w:t>
      </w:r>
    </w:p>
  </w:footnote>
  <w:footnote w:id="9">
    <w:p w:rsidR="00E17E51" w:rsidRPr="007D3F61" w:rsidRDefault="00E17E51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>التمهيد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8/174, </w:t>
      </w:r>
      <w:r w:rsidR="0005797D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الا</w:t>
      </w:r>
      <w:r w:rsidR="00453BA9" w:rsidRPr="007D3F61">
        <w:rPr>
          <w:rFonts w:ascii="Traditional Arabic" w:eastAsia="Calibri" w:cs="Traditional Arabic" w:hint="cs"/>
          <w:sz w:val="32"/>
          <w:szCs w:val="32"/>
          <w:rtl/>
        </w:rPr>
        <w:t>ستذكار1/304,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1103F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عارضةالأحوذي</w:t>
      </w:r>
      <w:r w:rsidR="00E1103F" w:rsidRPr="007D3F61">
        <w:rPr>
          <w:rFonts w:ascii="Traditional Arabic" w:eastAsia="Calibri" w:cs="Traditional Arabic" w:hint="cs"/>
          <w:sz w:val="32"/>
          <w:szCs w:val="32"/>
          <w:rtl/>
        </w:rPr>
        <w:t>1/162,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5797D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="00B76C94"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76C94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2/215,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83C6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إلا أن الإجماع في المسألة </w:t>
      </w:r>
      <w:r w:rsidR="00371FA2" w:rsidRPr="007D3F61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ه</w:t>
      </w:r>
      <w:r w:rsidR="00371FA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نظر </w:t>
      </w:r>
      <w:r w:rsidR="0039188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لوجود الخلاف 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المعتبر. قال ابن حجر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F83C6F" w:rsidRPr="007D3F61">
        <w:rPr>
          <w:rFonts w:ascii="Traditional Arabic" w:eastAsia="Calibri" w:cs="Traditional Arabic" w:hint="cs"/>
          <w:sz w:val="32"/>
          <w:szCs w:val="32"/>
          <w:rtl/>
        </w:rPr>
        <w:t>"ونقل ابن بطال الإجما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ع على أن الوضوء لا يجب مع الغسل, وهو مردود</w:t>
      </w:r>
      <w:r w:rsidR="00F83C6F" w:rsidRPr="007D3F61">
        <w:rPr>
          <w:rFonts w:ascii="Traditional Arabic" w:eastAsia="Calibri" w:cs="Traditional Arabic" w:hint="cs"/>
          <w:sz w:val="32"/>
          <w:szCs w:val="32"/>
          <w:rtl/>
        </w:rPr>
        <w:t>, فقد ذهب جماعة منهم أبو ثور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F83C6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وداود وغيرهما إلى أن ا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لغسل لا ينوب عن الوضوء للمحدث</w:t>
      </w:r>
      <w:r w:rsidR="00D43634"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[ فتح الباري</w:t>
      </w:r>
      <w:r w:rsidR="00F83C6F" w:rsidRPr="007D3F61">
        <w:rPr>
          <w:rFonts w:ascii="Traditional Arabic" w:eastAsia="Calibri" w:cs="Traditional Arabic" w:hint="cs"/>
          <w:sz w:val="32"/>
          <w:szCs w:val="32"/>
          <w:rtl/>
        </w:rPr>
        <w:t>1/469].</w:t>
      </w:r>
    </w:p>
  </w:footnote>
  <w:footnote w:id="10">
    <w:p w:rsidR="005A37DD" w:rsidRDefault="005A37DD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ثم الجمهور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القائلون بعدم وجوب الوضوء في أول الغسل, وإن الغسل يجزئ عن الغسل اختلفوا </w:t>
      </w:r>
    </w:p>
    <w:p w:rsidR="005A37DD" w:rsidRPr="007D3F61" w:rsidRDefault="005A37DD" w:rsidP="00F004B7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متى يجزئ الغسل عن الوضوء؟  على الأقوال التالية: 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القول الأول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يجزئ الغسل عن الوضوء مطلقا, سواء نوى أولم ينوي شيئا, وهو </w:t>
      </w:r>
      <w:r>
        <w:rPr>
          <w:rFonts w:ascii="Traditional Arabic" w:eastAsia="Calibri" w:cs="Traditional Arabic" w:hint="cs"/>
          <w:sz w:val="32"/>
          <w:szCs w:val="32"/>
          <w:rtl/>
        </w:rPr>
        <w:t>م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ق</w:t>
      </w:r>
      <w:r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ضى المذهب عند الحنفية</w:t>
      </w:r>
      <w:r>
        <w:rPr>
          <w:rFonts w:ascii="Traditional Arabic" w:eastAsia="Calibri" w:cs="Traditional Arabic" w:hint="cs"/>
          <w:sz w:val="32"/>
          <w:szCs w:val="32"/>
          <w:rtl/>
        </w:rPr>
        <w:t>؛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لأن النية عندهم في الوضوء والغسل ليست شرطا لصحة الوضوء, بل هي من سنن الوضوء والغسل.</w:t>
      </w:r>
      <w:r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[الاختيار لتعليل المختار1/9, </w:t>
      </w:r>
      <w:r>
        <w:rPr>
          <w:rFonts w:ascii="Traditional Arabic" w:eastAsia="Calibri" w:cs="Traditional Arabic" w:hint="cs"/>
          <w:sz w:val="32"/>
          <w:szCs w:val="32"/>
          <w:rtl/>
        </w:rPr>
        <w:t>والعناية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1/34,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والبناية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1/173, وحاشية ابن عابدين 1/291و 223, وحاشية الطحطاوي على مراقي الفلاح ص 104].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b/>
          <w:bCs/>
          <w:sz w:val="32"/>
          <w:szCs w:val="32"/>
          <w:rtl/>
        </w:rPr>
      </w:pP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ومن أدلة هذا القول</w:t>
      </w: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: </w:t>
      </w:r>
    </w:p>
    <w:p w:rsidR="005A37DD" w:rsidRPr="007D3F61" w:rsidRDefault="005A37DD" w:rsidP="0097318E">
      <w:pPr>
        <w:pStyle w:val="af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b/>
          <w:bCs/>
          <w:sz w:val="32"/>
          <w:szCs w:val="32"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 </w:t>
      </w:r>
      <w:r w:rsidRPr="007D3F61">
        <w:rPr>
          <w:rFonts w:ascii="QCF_BSML" w:eastAsia="Times New Roman" w:hAnsi="QCF_BSML" w:cs="QCF_BSML"/>
          <w:sz w:val="28"/>
          <w:szCs w:val="28"/>
          <w:rtl/>
        </w:rPr>
        <w:t xml:space="preserve">ﭽ </w:t>
      </w:r>
      <w:r w:rsidRPr="007D3F61">
        <w:rPr>
          <w:rFonts w:ascii="QCF_P108" w:eastAsia="Times New Roman" w:hAnsi="QCF_P108" w:cs="QCF_P108"/>
          <w:sz w:val="28"/>
          <w:szCs w:val="28"/>
          <w:rtl/>
        </w:rPr>
        <w:t xml:space="preserve">ﭑ  ﭒ  ﭓ  ﭔ  ﭕ  ﭖ  ﭗ  ﭘ   ﭙ  ﭚ  ﭛ  ﭜ  ﭝ  ﭞ      ﭟ  ﭠ  ﭡﭢ  ﭣ  ﭤ   ﭥ  ﭦﭧ   </w:t>
      </w:r>
      <w:r w:rsidRPr="007D3F61">
        <w:rPr>
          <w:rFonts w:ascii="QCF_BSML" w:eastAsia="Times New Roman" w:hAnsi="QCF_BSML" w:cs="QCF_BSML"/>
          <w:sz w:val="28"/>
          <w:szCs w:val="28"/>
          <w:rtl/>
        </w:rPr>
        <w:t>ﭼ</w:t>
      </w:r>
      <w:r w:rsidRPr="007D3F61">
        <w:rPr>
          <w:rFonts w:ascii="Arial" w:eastAsia="Times New Roman" w:hAnsi="Arial" w:cs="Arial"/>
          <w:sz w:val="28"/>
          <w:szCs w:val="28"/>
          <w:rtl/>
        </w:rPr>
        <w:t xml:space="preserve"> </w:t>
      </w:r>
      <w:r w:rsidRPr="007D3F61">
        <w:rPr>
          <w:rFonts w:ascii="Arial" w:eastAsia="Times New Roman" w:hAnsi="Arial" w:cs="Traditional Arabic" w:hint="cs"/>
          <w:sz w:val="32"/>
          <w:szCs w:val="32"/>
          <w:rtl/>
        </w:rPr>
        <w:t>[</w:t>
      </w:r>
      <w:r w:rsidRPr="007D3F61">
        <w:rPr>
          <w:rFonts w:ascii="Arial" w:eastAsia="Times New Roman" w:hAnsi="Arial" w:cs="Traditional Arabic"/>
          <w:sz w:val="32"/>
          <w:szCs w:val="32"/>
          <w:rtl/>
        </w:rPr>
        <w:t>المائدة: ٦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]</w:t>
      </w: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.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b/>
          <w:bCs/>
          <w:sz w:val="32"/>
          <w:szCs w:val="32"/>
          <w:rtl/>
        </w:rPr>
      </w:pP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وجه الدلالة</w:t>
      </w: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: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أن الله تعالى أمر بالوضوء والغسل مطلقا, ولم يذكر النية, </w:t>
      </w:r>
      <w:r>
        <w:rPr>
          <w:rFonts w:ascii="Traditional Arabic" w:eastAsia="Calibri" w:cs="Traditional Arabic" w:hint="cs"/>
          <w:sz w:val="32"/>
          <w:szCs w:val="32"/>
          <w:rtl/>
        </w:rPr>
        <w:t>ولا يجوز تقييد المطلق إلا بدليل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. ينظر: [ شرح </w:t>
      </w:r>
      <w:r>
        <w:rPr>
          <w:rFonts w:ascii="Traditional Arabic" w:eastAsia="Calibri" w:cs="Traditional Arabic" w:hint="cs"/>
          <w:sz w:val="32"/>
          <w:szCs w:val="32"/>
          <w:rtl/>
        </w:rPr>
        <w:t>مختصر الطحاوي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1/302</w:t>
      </w:r>
      <w:r>
        <w:rPr>
          <w:rFonts w:ascii="Traditional Arabic" w:eastAsia="Calibri" w:cs="Traditional Arabic" w:hint="cs"/>
          <w:sz w:val="32"/>
          <w:szCs w:val="32"/>
          <w:rtl/>
        </w:rPr>
        <w:t>, وبدائع الصنائع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1/83]. </w:t>
      </w: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 </w:t>
      </w:r>
    </w:p>
    <w:p w:rsidR="005A37DD" w:rsidRPr="007D3F61" w:rsidRDefault="005A37DD" w:rsidP="0097318E">
      <w:pPr>
        <w:pStyle w:val="af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</w:rPr>
      </w:pP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حديث أم سلمة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رضي الله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عنها أن النبي </w:t>
      </w:r>
      <w:r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>
        <w:rPr>
          <w:rFonts w:ascii="Traditional Arabic" w:eastAsia="Calibri" w:cs="Traditional Arabic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قال لها: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إنما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يكفيك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ْ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ِ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رأسك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ثلاث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حثيات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ُ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ِ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ْ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ِ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ْ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َ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عليك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الماء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فتطهرين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[رواه مسلم في كتاب الحيض, باب حكم ضفائر المغتسلة ص149, </w:t>
      </w:r>
      <w:r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330].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b/>
          <w:bCs/>
          <w:sz w:val="32"/>
          <w:szCs w:val="32"/>
          <w:rtl/>
        </w:rPr>
      </w:pP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وجه الدلالة</w:t>
      </w: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: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أن النبي </w:t>
      </w:r>
      <w:r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>
        <w:rPr>
          <w:rFonts w:ascii="Traditional Arabic" w:eastAsia="Calibri" w:cs="Traditional Arabic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بين لها الغسل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 لم يذكر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النية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 فلو كانت النية شرطا ل</w:t>
      </w:r>
      <w:r>
        <w:rPr>
          <w:rFonts w:ascii="Traditional Arabic" w:eastAsia="Calibri" w:cs="Traditional Arabic" w:hint="cs"/>
          <w:sz w:val="32"/>
          <w:szCs w:val="32"/>
          <w:rtl/>
        </w:rPr>
        <w:t>ذكرها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.ينظر:</w:t>
      </w:r>
      <w:r>
        <w:rPr>
          <w:rFonts w:ascii="Traditional Arabic" w:eastAsia="Calibri" w:cs="Traditional Arabic" w:hint="cs"/>
          <w:sz w:val="32"/>
          <w:szCs w:val="32"/>
          <w:rtl/>
        </w:rPr>
        <w:t>[شرح مختصر الطحاوي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1/306</w:t>
      </w:r>
      <w:r>
        <w:rPr>
          <w:rFonts w:ascii="Traditional Arabic" w:eastAsia="Calibri" w:cs="Traditional Arabic" w:hint="cs"/>
          <w:sz w:val="32"/>
          <w:szCs w:val="32"/>
          <w:rtl/>
        </w:rPr>
        <w:t>, وللباب للمنبجي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1/100]. 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القول الثاني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: إذا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نوى بالغسل الطهارة الكبرى أجزأه عن الطهارة الصغرى, وهو مذهب المالكية والشافعية.</w:t>
      </w:r>
      <w:r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[القوانين الفقهية ص23, </w:t>
      </w:r>
      <w:r>
        <w:rPr>
          <w:rFonts w:ascii="Traditional Arabic" w:eastAsia="Calibri" w:cs="Traditional Arabic" w:hint="cs"/>
          <w:sz w:val="32"/>
          <w:szCs w:val="32"/>
          <w:rtl/>
        </w:rPr>
        <w:t>والذخيرة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1/307, </w:t>
      </w:r>
      <w:r>
        <w:rPr>
          <w:rFonts w:ascii="Traditional Arabic" w:eastAsia="Calibri" w:cs="Traditional Arabic" w:hint="cs"/>
          <w:sz w:val="32"/>
          <w:szCs w:val="32"/>
          <w:rtl/>
        </w:rPr>
        <w:t>والتاج والإكليل1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/464, </w:t>
      </w:r>
      <w:r>
        <w:rPr>
          <w:rFonts w:ascii="Traditional Arabic" w:eastAsia="Calibri" w:cs="Traditional Arabic" w:hint="cs"/>
          <w:sz w:val="32"/>
          <w:szCs w:val="32"/>
          <w:rtl/>
        </w:rPr>
        <w:t>ومنح الجليل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1/132, </w:t>
      </w:r>
      <w:r>
        <w:rPr>
          <w:rFonts w:ascii="Traditional Arabic" w:eastAsia="Calibri" w:cs="Traditional Arabic" w:hint="cs"/>
          <w:sz w:val="32"/>
          <w:szCs w:val="32"/>
          <w:rtl/>
        </w:rPr>
        <w:t>وحاشية الدسوقي1/140,والأم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2/89</w:t>
      </w:r>
      <w:r>
        <w:rPr>
          <w:rFonts w:ascii="Traditional Arabic" w:eastAsia="Calibri" w:cs="Traditional Arabic" w:hint="cs"/>
          <w:sz w:val="32"/>
          <w:szCs w:val="32"/>
          <w:rtl/>
        </w:rPr>
        <w:t>, والحاوي الكبير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1/188, </w:t>
      </w:r>
      <w:r>
        <w:rPr>
          <w:rFonts w:ascii="Traditional Arabic" w:eastAsia="Calibri" w:cs="Traditional Arabic" w:hint="cs"/>
          <w:sz w:val="32"/>
          <w:szCs w:val="32"/>
          <w:rtl/>
        </w:rPr>
        <w:t>والبيان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1/261,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والمجموع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2/225].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ومن أدلة هذا القول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</w:t>
      </w:r>
    </w:p>
    <w:p w:rsidR="005A37DD" w:rsidRPr="007D3F61" w:rsidRDefault="005A37DD" w:rsidP="0097318E">
      <w:pPr>
        <w:pStyle w:val="af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</w:rPr>
      </w:pP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عائشة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رضي الله 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عنها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يتوضأ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الغسل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رواه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أبو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داود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 كتاب الطهارة,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باب الوضوء بعد الغسل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1/127,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والترمذي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أبواب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الطهارة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باب الوضوء بعد الغسل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1/150,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والنسائي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 كتبا الطهارة, باب ترك الوضوء  من بعد الغسل1/150,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وابن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ماجه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في كتاب الطهارى وسننها, باب في الوضوء بعد الغسل ص191, 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وأحمد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40/454,  وصححه الألباني في صحيح سنن أبي داود1/446].</w:t>
      </w:r>
    </w:p>
    <w:p w:rsidR="005A37DD" w:rsidRPr="007D3F61" w:rsidRDefault="005A37DD" w:rsidP="0097318E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Times New Roman" w:hAnsi="Times New Roman" w:cs="Traditional Arabic"/>
          <w:sz w:val="32"/>
          <w:szCs w:val="32"/>
        </w:rPr>
      </w:pPr>
      <w:r w:rsidRPr="007D3F61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>وجه الدلالة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:أن النبي</w:t>
      </w:r>
      <w:r>
        <w:rPr>
          <w:rFonts w:ascii="Traditional Arabic" w:eastAsia="Times New Roman" w:hAnsi="Times New Roman" w:cs="Traditional Arabic" w:hint="cs"/>
          <w:sz w:val="32"/>
          <w:szCs w:val="32"/>
        </w:rPr>
        <w:sym w:font="AGA Arabesque" w:char="F072"/>
      </w:r>
      <w:r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إنم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ا اكتفى بالغسل عن الوضوء ونيته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 لأنه لم يُذكر في الحديث أنه نوى للوضو</w:t>
      </w:r>
      <w:r>
        <w:rPr>
          <w:rFonts w:ascii="Traditional Arabic" w:eastAsia="Times New Roman" w:hAnsi="Times New Roman" w:cs="Traditional Arabic" w:hint="cs"/>
          <w:sz w:val="32"/>
          <w:szCs w:val="32"/>
          <w:rtl/>
        </w:rPr>
        <w:t>ء أيضا.[ مجموع فتاوى ابن تيمية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21/397].</w:t>
      </w:r>
    </w:p>
    <w:p w:rsidR="005A37DD" w:rsidRDefault="005A37DD" w:rsidP="0097318E">
      <w:pPr>
        <w:pStyle w:val="af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</w:rPr>
      </w:pP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ولأنهما عبادتان من جنس </w:t>
      </w:r>
      <w:r>
        <w:rPr>
          <w:rFonts w:ascii="Traditional Arabic" w:eastAsia="Calibri" w:cs="Traditional Arabic" w:hint="cs"/>
          <w:sz w:val="32"/>
          <w:szCs w:val="32"/>
          <w:rtl/>
        </w:rPr>
        <w:t>واحد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 فتداخلت الصغرى في الكبري. ينظر:</w:t>
      </w:r>
      <w:r>
        <w:rPr>
          <w:rFonts w:ascii="Traditional Arabic" w:eastAsia="Calibri" w:cs="Traditional Arabic" w:hint="cs"/>
          <w:sz w:val="32"/>
          <w:szCs w:val="32"/>
          <w:rtl/>
        </w:rPr>
        <w:t>[الذخيرة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1/307, </w:t>
      </w:r>
    </w:p>
    <w:p w:rsidR="005A37DD" w:rsidRPr="007D3F61" w:rsidRDefault="005A37DD" w:rsidP="007F0AD9">
      <w:pPr>
        <w:pStyle w:val="afc"/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مجموع فتاوى ابن تيمية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21/397].</w:t>
      </w:r>
    </w:p>
    <w:p w:rsidR="005A37DD" w:rsidRPr="007D3F61" w:rsidRDefault="005A37DD" w:rsidP="007F0AD9">
      <w:pPr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القول الثالث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 يجزئ الطهارة الكبرى عن الصغرى إذا نواهما جميعا,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وهو المذهب عند الحنابلة, و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قول ابن حزم</w:t>
      </w:r>
      <w:r>
        <w:rPr>
          <w:rFonts w:ascii="Traditional Arabic" w:eastAsia="Calibri" w:cs="Traditional Arabic" w:hint="cs"/>
          <w:sz w:val="32"/>
          <w:szCs w:val="32"/>
          <w:rtl/>
        </w:rPr>
        <w:t>.ينظر: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[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المغني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والشرح الكبير مع المقنع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2/149,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والمبدع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1/173</w:t>
      </w:r>
      <w:r>
        <w:rPr>
          <w:rFonts w:ascii="Traditional Arabic" w:eastAsia="Calibri" w:cs="Traditional Arabic" w:hint="cs"/>
          <w:sz w:val="32"/>
          <w:szCs w:val="32"/>
          <w:rtl/>
        </w:rPr>
        <w:t>, والإنصاف مع المقنع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2/149, </w:t>
      </w:r>
      <w:r>
        <w:rPr>
          <w:rFonts w:ascii="Traditional Arabic" w:eastAsia="Calibri" w:cs="Traditional Arabic" w:hint="cs"/>
          <w:sz w:val="32"/>
          <w:szCs w:val="32"/>
          <w:rtl/>
        </w:rPr>
        <w:t>وكشاف القناع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1/146, </w:t>
      </w:r>
      <w:r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2/8].</w:t>
      </w:r>
    </w:p>
    <w:p w:rsidR="005A37DD" w:rsidRPr="007D3F61" w:rsidRDefault="005A37DD" w:rsidP="007F0AD9">
      <w:pPr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ومن أدلة هذا القول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</w:t>
      </w:r>
    </w:p>
    <w:p w:rsidR="005A37DD" w:rsidRPr="007D3F61" w:rsidRDefault="005A37DD" w:rsidP="007F0AD9">
      <w:pPr>
        <w:pStyle w:val="afc"/>
        <w:numPr>
          <w:ilvl w:val="0"/>
          <w:numId w:val="5"/>
        </w:num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 xml:space="preserve">قوله </w:t>
      </w:r>
      <w:r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"إنما الأعمال با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لنيات, وإنما لكل امرئ ما نوى"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متفق عليه. </w:t>
      </w:r>
    </w:p>
    <w:p w:rsidR="005A37DD" w:rsidRPr="007D3F61" w:rsidRDefault="005A37DD" w:rsidP="007F0AD9">
      <w:pPr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وجه الدلالة</w:t>
      </w: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: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أنه لا بد لكل عمل مأمور به من القصد إلى تأديته ك</w:t>
      </w:r>
      <w:r>
        <w:rPr>
          <w:rFonts w:ascii="Traditional Arabic" w:eastAsia="Calibri" w:cs="Traditional Arabic" w:hint="cs"/>
          <w:sz w:val="32"/>
          <w:szCs w:val="32"/>
          <w:rtl/>
        </w:rPr>
        <w:t>ما أمره الله تعالى, وهناك عملان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 الوضوء والغسل, فيلزم أن ينويهما</w:t>
      </w: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.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ينظر: [و</w:t>
      </w:r>
      <w:r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2/8</w:t>
      </w:r>
      <w:r>
        <w:rPr>
          <w:rFonts w:ascii="Traditional Arabic" w:eastAsia="Calibri" w:cs="Traditional Arabic" w:hint="cs"/>
          <w:sz w:val="32"/>
          <w:szCs w:val="32"/>
          <w:rtl/>
        </w:rPr>
        <w:t>, وشرح الزركشي1/313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].</w:t>
      </w:r>
    </w:p>
    <w:p w:rsidR="005A37DD" w:rsidRPr="007D3F61" w:rsidRDefault="005A37DD" w:rsidP="007F0AD9">
      <w:pPr>
        <w:autoSpaceDE w:val="0"/>
        <w:autoSpaceDN w:val="0"/>
        <w:adjustRightInd w:val="0"/>
        <w:spacing w:after="0" w:line="226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والراجح من بين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هذه الأقوال والله أعلم بالصواب هو القول الثاني؛ لدخول الصغرى في الكبرى. </w:t>
      </w:r>
      <w:r w:rsidRPr="007D3F61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11">
    <w:p w:rsidR="00CD4E55" w:rsidRPr="007D3F61" w:rsidRDefault="00CD4E55" w:rsidP="007F0AD9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061411" w:rsidRPr="007D3F61">
        <w:rPr>
          <w:rFonts w:ascii="Traditional Arabic" w:eastAsia="Calibri" w:cs="Traditional Arabic" w:hint="cs"/>
          <w:sz w:val="32"/>
          <w:szCs w:val="32"/>
          <w:rtl/>
        </w:rPr>
        <w:t>البيان للعمراني 1/254, و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2/215,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C0037" w:rsidRPr="007D3F61">
        <w:rPr>
          <w:rFonts w:ascii="Traditional Arabic" w:eastAsia="Calibri" w:cs="Traditional Arabic" w:hint="cs"/>
          <w:sz w:val="32"/>
          <w:szCs w:val="32"/>
          <w:rtl/>
        </w:rPr>
        <w:t>والبحر الرائق 1/52, 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فتح الباري 1/469.</w:t>
      </w:r>
      <w:r w:rsidR="00601910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2">
    <w:p w:rsidR="00A33CC2" w:rsidRPr="007D3F61" w:rsidRDefault="00A33CC2" w:rsidP="007F0AD9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064B2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528AA" w:rsidRPr="007D3F61">
        <w:rPr>
          <w:rFonts w:ascii="Traditional Arabic" w:eastAsia="Calibri" w:cs="Traditional Arabic" w:hint="cs"/>
          <w:sz w:val="32"/>
          <w:szCs w:val="32"/>
          <w:rtl/>
        </w:rPr>
        <w:t>هذا من اجتمع عليه الحدثان</w:t>
      </w:r>
      <w:r w:rsidR="00E549F4" w:rsidRPr="007D3F6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8F7446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الأصغر والأكبر</w:t>
      </w:r>
      <w:r w:rsidR="008528AA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سواء تقدم الحدث</w:t>
      </w:r>
      <w:r w:rsidR="008F7446" w:rsidRPr="007D3F61">
        <w:rPr>
          <w:rFonts w:ascii="Traditional Arabic" w:eastAsia="Calibri" w:cs="Traditional Arabic" w:hint="cs"/>
          <w:sz w:val="32"/>
          <w:szCs w:val="32"/>
          <w:rtl/>
        </w:rPr>
        <w:t>ُ</w:t>
      </w:r>
      <w:r w:rsidR="008528AA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الجنابة</w:t>
      </w:r>
      <w:r w:rsidR="008F7446" w:rsidRPr="007D3F61">
        <w:rPr>
          <w:rFonts w:ascii="Traditional Arabic" w:eastAsia="Calibri" w:cs="Traditional Arabic" w:hint="cs"/>
          <w:sz w:val="32"/>
          <w:szCs w:val="32"/>
          <w:rtl/>
        </w:rPr>
        <w:t>َ</w:t>
      </w:r>
      <w:r w:rsidR="008528AA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أو تأخر</w:t>
      </w:r>
      <w:r w:rsidR="008F7446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عنها</w:t>
      </w:r>
      <w:r w:rsidR="00064B22"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ونسب ابن رشد في البداية (ص</w:t>
      </w:r>
      <w:r w:rsidR="00E549F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286) القول باشتراط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الوضوء للغسل إلى الإمام الشافعي</w:t>
      </w:r>
      <w:r w:rsidR="00E549F4" w:rsidRPr="007D3F61">
        <w:rPr>
          <w:rFonts w:ascii="Traditional Arabic" w:eastAsia="Calibri" w:cs="Traditional Arabic" w:hint="cs"/>
          <w:sz w:val="32"/>
          <w:szCs w:val="32"/>
          <w:rtl/>
        </w:rPr>
        <w:t>, وكذلك نسب الموفق ابن قدامة في المغني (1/289) القول بوجوب الوضو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ء في الغسل, وليس هذا قول الإمام,</w:t>
      </w:r>
      <w:r w:rsidR="00E549F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بل هو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وجه من الأوجه في مذهب الشافعية, وأما النسبة ففيه نظر</w:t>
      </w:r>
      <w:r w:rsidR="00E549F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؛ إذ لم ينص أحد من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أئمة الشافعية على ذلك</w:t>
      </w:r>
      <w:r w:rsidR="00E549F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بل </w:t>
      </w:r>
      <w:r w:rsidR="006477C6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ما نص عليه الشافعي هو مخالف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لما نُسِبَ إليه حيث قال الشافعي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6477C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A539C4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فكان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فرض</w:t>
      </w:r>
      <w:r w:rsidR="00A539C4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ُ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الغسل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مطلقا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يذكر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شيئا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يبدأ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قبل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شيء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فإذا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جاء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المغتسل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بالغسل</w:t>
      </w:r>
      <w:r w:rsidR="006477C6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477C6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أجزأه</w:t>
      </w:r>
      <w:r w:rsidR="004A6241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E1103F">
        <w:rPr>
          <w:rFonts w:ascii="Traditional Arabic" w:eastAsia="Times New Roman" w:hAnsi="Times New Roman" w:cs="Traditional Arabic" w:hint="cs"/>
          <w:sz w:val="32"/>
          <w:szCs w:val="32"/>
          <w:rtl/>
        </w:rPr>
        <w:t>[الأم للشافعي</w:t>
      </w:r>
      <w:r w:rsidR="004A624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A37DD">
        <w:rPr>
          <w:rFonts w:ascii="Traditional Arabic" w:eastAsia="Times New Roman" w:hAnsi="Times New Roman" w:cs="Traditional Arabic" w:hint="cs"/>
          <w:sz w:val="32"/>
          <w:szCs w:val="32"/>
          <w:rtl/>
        </w:rPr>
        <w:t>2/85]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4062E1" w:rsidRPr="007D3F61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الحاوي الكبير1/187, والمجموع</w:t>
      </w:r>
      <w:r w:rsidR="003B603C" w:rsidRPr="007D3F61">
        <w:rPr>
          <w:rFonts w:ascii="Traditional Arabic" w:eastAsia="Calibri" w:cs="Traditional Arabic" w:hint="cs"/>
          <w:sz w:val="32"/>
          <w:szCs w:val="32"/>
          <w:rtl/>
        </w:rPr>
        <w:t>2/225,</w:t>
      </w:r>
      <w:r w:rsidR="00064B2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>روضة الطالبين</w:t>
      </w:r>
      <w:r w:rsidR="004062E1" w:rsidRPr="007D3F61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E1103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062E1" w:rsidRPr="007D3F61">
        <w:rPr>
          <w:rFonts w:ascii="Traditional Arabic" w:eastAsia="Calibri" w:cs="Traditional Arabic" w:hint="cs"/>
          <w:sz w:val="32"/>
          <w:szCs w:val="32"/>
          <w:rtl/>
        </w:rPr>
        <w:t>/165].</w:t>
      </w:r>
    </w:p>
  </w:footnote>
  <w:footnote w:id="13">
    <w:p w:rsidR="001B7000" w:rsidRPr="007D3F61" w:rsidRDefault="001B7000" w:rsidP="007F0AD9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 w:rsidR="00D02A8B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46DF2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1/269, </w:t>
      </w:r>
      <w:r w:rsidR="00BD0797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المبدع</w:t>
      </w:r>
      <w:r w:rsidR="00BD079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1/173, </w:t>
      </w:r>
      <w:r w:rsidR="00AE2D1D" w:rsidRPr="007D3F61">
        <w:rPr>
          <w:rFonts w:ascii="Traditional Arabic" w:eastAsia="Calibri" w:cs="Traditional Arabic" w:hint="cs"/>
          <w:sz w:val="32"/>
          <w:szCs w:val="32"/>
          <w:rtl/>
        </w:rPr>
        <w:t>والإنصاف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 xml:space="preserve"> مع المقنع</w:t>
      </w:r>
      <w:r w:rsidR="00AE2D1D" w:rsidRPr="007D3F61">
        <w:rPr>
          <w:rFonts w:ascii="Traditional Arabic" w:eastAsia="Calibri" w:cs="Traditional Arabic" w:hint="cs"/>
          <w:sz w:val="32"/>
          <w:szCs w:val="32"/>
          <w:rtl/>
        </w:rPr>
        <w:t>2/149.</w:t>
      </w:r>
    </w:p>
  </w:footnote>
  <w:footnote w:id="14">
    <w:p w:rsidR="003A2B9B" w:rsidRPr="007D3F61" w:rsidRDefault="003A2B9B" w:rsidP="007F0AD9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55B30" w:rsidRPr="007D3F61">
        <w:rPr>
          <w:rFonts w:ascii="Traditional Arabic" w:eastAsia="Calibri" w:cs="Traditional Arabic" w:hint="cs"/>
          <w:b/>
          <w:bCs/>
          <w:sz w:val="32"/>
          <w:szCs w:val="32"/>
          <w:rtl/>
        </w:rPr>
        <w:t>توجيه ذلك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: أن القياس يقتضي أن يكون ال</w:t>
      </w:r>
      <w:r w:rsidR="00B54E33" w:rsidRPr="007D3F61">
        <w:rPr>
          <w:rFonts w:ascii="Traditional Arabic" w:eastAsia="Calibri" w:cs="Traditional Arabic" w:hint="cs"/>
          <w:sz w:val="32"/>
          <w:szCs w:val="32"/>
          <w:rtl/>
        </w:rPr>
        <w:t>غسل شرطا لصحة الوضوء في الجنابة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؛ لأن الوضوء قبل الغسل في الجنابة لا يرفع حدثا</w:t>
      </w:r>
      <w:r w:rsidR="00664DDF" w:rsidRPr="007D3F61">
        <w:rPr>
          <w:rFonts w:ascii="Traditional Arabic" w:eastAsia="Calibri" w:cs="Traditional Arabic" w:hint="cs"/>
          <w:sz w:val="32"/>
          <w:szCs w:val="32"/>
          <w:rtl/>
        </w:rPr>
        <w:t>ً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ولا ي</w:t>
      </w:r>
      <w:r w:rsidR="00423BE3" w:rsidRPr="007D3F61">
        <w:rPr>
          <w:rFonts w:ascii="Traditional Arabic" w:eastAsia="Calibri" w:cs="Traditional Arabic" w:hint="cs"/>
          <w:sz w:val="32"/>
          <w:szCs w:val="32"/>
          <w:rtl/>
        </w:rPr>
        <w:t>ُ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ك</w:t>
      </w:r>
      <w:r w:rsidR="00423BE3" w:rsidRPr="007D3F61">
        <w:rPr>
          <w:rFonts w:ascii="Traditional Arabic" w:eastAsia="Calibri" w:cs="Traditional Arabic" w:hint="cs"/>
          <w:sz w:val="32"/>
          <w:szCs w:val="32"/>
          <w:rtl/>
        </w:rPr>
        <w:t>ْ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س</w:t>
      </w:r>
      <w:r w:rsidR="00423BE3" w:rsidRPr="007D3F61">
        <w:rPr>
          <w:rFonts w:ascii="Traditional Arabic" w:eastAsia="Calibri" w:cs="Traditional Arabic" w:hint="cs"/>
          <w:sz w:val="32"/>
          <w:szCs w:val="32"/>
          <w:rtl/>
        </w:rPr>
        <w:t>ِ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ب</w:t>
      </w:r>
      <w:r w:rsidR="00423BE3" w:rsidRPr="007D3F61">
        <w:rPr>
          <w:rFonts w:ascii="Traditional Arabic" w:eastAsia="Calibri" w:cs="Traditional Arabic" w:hint="cs"/>
          <w:sz w:val="32"/>
          <w:szCs w:val="32"/>
          <w:rtl/>
        </w:rPr>
        <w:t>ُ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طهارة</w:t>
      </w:r>
      <w:r w:rsidR="00FD51B8" w:rsidRPr="007D3F61">
        <w:rPr>
          <w:rFonts w:ascii="Traditional Arabic" w:eastAsia="Calibri" w:cs="Traditional Arabic" w:hint="cs"/>
          <w:sz w:val="32"/>
          <w:szCs w:val="32"/>
          <w:rtl/>
        </w:rPr>
        <w:t>ً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وهذا يوجب أن يكون الوضوء بعد الغسل إلا أن حديثي عائشة وميمونة </w:t>
      </w:r>
      <w:r w:rsidR="004E7B32">
        <w:rPr>
          <w:rFonts w:ascii="Traditional Arabic" w:eastAsia="Calibri" w:cs="Traditional Arabic" w:hint="cs"/>
          <w:sz w:val="32"/>
          <w:szCs w:val="32"/>
          <w:rtl/>
        </w:rPr>
        <w:t xml:space="preserve">رضي الله 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عنهما فيها أن النبي</w:t>
      </w:r>
      <w:r w:rsidR="004E7B32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4E7B32">
        <w:rPr>
          <w:rFonts w:ascii="Traditional Arabic" w:eastAsia="Calibri" w:cs="Traditional Arabic"/>
          <w:sz w:val="32"/>
          <w:szCs w:val="32"/>
          <w:rtl/>
        </w:rPr>
        <w:t xml:space="preserve"> 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كان يتوضأ قبل الغسل, فبذلك تعارض القياس بظاهر حديث عائ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شة وميمونة</w:t>
      </w:r>
      <w:r w:rsidR="004A624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036E13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5A37DD">
        <w:rPr>
          <w:rFonts w:ascii="Traditional Arabic" w:eastAsia="Calibri" w:cs="Traditional Arabic" w:hint="cs"/>
          <w:sz w:val="32"/>
          <w:szCs w:val="32"/>
          <w:rtl/>
        </w:rPr>
        <w:t>:[بداية المجتهد</w:t>
      </w:r>
      <w:r w:rsidR="00036E13">
        <w:rPr>
          <w:rFonts w:ascii="Traditional Arabic" w:eastAsia="Calibri" w:cs="Traditional Arabic" w:hint="cs"/>
          <w:sz w:val="32"/>
          <w:szCs w:val="32"/>
          <w:rtl/>
        </w:rPr>
        <w:t xml:space="preserve">.تحقيق الدكتور: 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عبد الله الزاحم</w:t>
      </w:r>
      <w:r w:rsidR="008D3BE1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55B30" w:rsidRPr="007D3F61">
        <w:rPr>
          <w:rFonts w:ascii="Traditional Arabic" w:eastAsia="Calibri" w:cs="Traditional Arabic" w:hint="cs"/>
          <w:sz w:val="32"/>
          <w:szCs w:val="32"/>
          <w:rtl/>
        </w:rPr>
        <w:t>ص287].</w:t>
      </w:r>
    </w:p>
  </w:footnote>
  <w:footnote w:id="15">
    <w:p w:rsidR="000F63BC" w:rsidRPr="007D3F61" w:rsidRDefault="000F63BC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سورة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النساء الآية [43].</w:t>
      </w:r>
    </w:p>
  </w:footnote>
  <w:footnote w:id="16">
    <w:p w:rsidR="000F63BC" w:rsidRPr="007D3F61" w:rsidRDefault="000F63BC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: الأم للشافعي</w:t>
      </w:r>
      <w:r w:rsidR="00397ACC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2/45, 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="00397ACC"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 xml:space="preserve"> والمبدع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1/173.</w:t>
      </w:r>
      <w:r w:rsidR="00397ACC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7">
    <w:p w:rsidR="00E42CC9" w:rsidRPr="007D3F61" w:rsidRDefault="00E42CC9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سورة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المائدة الآية [6].</w:t>
      </w:r>
    </w:p>
  </w:footnote>
  <w:footnote w:id="18">
    <w:p w:rsidR="001A1FB2" w:rsidRPr="007D3F61" w:rsidRDefault="001A1FB2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التمهيد8/174, </w:t>
      </w:r>
      <w:r w:rsidR="00AE5F19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="00A753DC" w:rsidRPr="007D3F61">
        <w:rPr>
          <w:rFonts w:ascii="Traditional Arabic" w:eastAsia="Calibri" w:cs="Traditional Arabic" w:hint="cs"/>
          <w:sz w:val="32"/>
          <w:szCs w:val="32"/>
          <w:rtl/>
        </w:rPr>
        <w:t>1/304,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 xml:space="preserve"> وبدائع الصنائع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1/141,</w:t>
      </w:r>
      <w:r w:rsidR="00A753DC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 w:rsidR="001D65B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70FEB" w:rsidRPr="007D3F61">
        <w:rPr>
          <w:rFonts w:ascii="Traditional Arabic" w:eastAsia="Calibri" w:cs="Traditional Arabic" w:hint="cs"/>
          <w:sz w:val="32"/>
          <w:szCs w:val="32"/>
          <w:rtl/>
        </w:rPr>
        <w:t>والمبدع 1/</w:t>
      </w:r>
      <w:r w:rsidR="00D35E5B" w:rsidRPr="007D3F61">
        <w:rPr>
          <w:rFonts w:ascii="Traditional Arabic" w:eastAsia="Calibri" w:cs="Traditional Arabic" w:hint="cs"/>
          <w:sz w:val="32"/>
          <w:szCs w:val="32"/>
          <w:rtl/>
        </w:rPr>
        <w:t>173</w:t>
      </w:r>
      <w:r w:rsidR="00270FEB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وكشاف القناع</w:t>
      </w:r>
      <w:r w:rsidR="00726EE7" w:rsidRPr="007D3F61">
        <w:rPr>
          <w:rFonts w:ascii="Traditional Arabic" w:eastAsia="Calibri" w:cs="Traditional Arabic" w:hint="cs"/>
          <w:sz w:val="32"/>
          <w:szCs w:val="32"/>
          <w:rtl/>
        </w:rPr>
        <w:t>1/146.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9">
    <w:p w:rsidR="00EC3FF6" w:rsidRPr="007D3F61" w:rsidRDefault="00EC3FF6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6516D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أخرجه البخاري</w:t>
      </w:r>
      <w:r w:rsidR="00573369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في صحيحه في كتاب التيمم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 باب الصعيد الطيب و</w:t>
      </w:r>
      <w:r w:rsidR="00573369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ضوء المسلم يكفيه من 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الماء 1/129, برقم</w:t>
      </w:r>
      <w:r w:rsidR="00573369" w:rsidRPr="007D3F61">
        <w:rPr>
          <w:rFonts w:ascii="Traditional Arabic" w:eastAsia="Calibri" w:cs="Traditional Arabic" w:hint="cs"/>
          <w:sz w:val="32"/>
          <w:szCs w:val="32"/>
          <w:rtl/>
        </w:rPr>
        <w:t>343.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0">
    <w:p w:rsidR="004E7FE2" w:rsidRPr="007D3F61" w:rsidRDefault="004E7FE2" w:rsidP="009E2520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6516D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30E28" w:rsidRPr="00D65008">
        <w:rPr>
          <w:rFonts w:ascii="Traditional Arabic" w:eastAsia="Calibri" w:cs="Traditional Arabic" w:hint="cs"/>
          <w:sz w:val="32"/>
          <w:szCs w:val="32"/>
          <w:rtl/>
        </w:rPr>
        <w:t xml:space="preserve">تقدم تخريجه في </w:t>
      </w:r>
      <w:r w:rsidR="009E2520" w:rsidRPr="00D65008">
        <w:rPr>
          <w:rFonts w:ascii="Traditional Arabic" w:eastAsia="Calibri" w:cs="Traditional Arabic" w:hint="cs"/>
          <w:sz w:val="32"/>
          <w:szCs w:val="32"/>
          <w:rtl/>
        </w:rPr>
        <w:t>ص (104).</w:t>
      </w:r>
    </w:p>
  </w:footnote>
  <w:footnote w:id="21">
    <w:p w:rsidR="00184EDE" w:rsidRPr="007D3F61" w:rsidRDefault="00184EDE" w:rsidP="00DD61F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6516D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ينظر: شرح مختصر الطحاوي</w:t>
      </w:r>
      <w:r w:rsidR="00573369" w:rsidRPr="007D3F61">
        <w:rPr>
          <w:rFonts w:ascii="Traditional Arabic" w:eastAsia="Calibri" w:cs="Traditional Arabic" w:hint="cs"/>
          <w:sz w:val="32"/>
          <w:szCs w:val="32"/>
          <w:rtl/>
        </w:rPr>
        <w:t>1/410.</w:t>
      </w:r>
    </w:p>
  </w:footnote>
  <w:footnote w:id="22">
    <w:p w:rsidR="003107B3" w:rsidRPr="007D3F61" w:rsidRDefault="003107B3" w:rsidP="00DD61F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الضَّفْرُ</w:t>
      </w:r>
      <w:r w:rsidR="00BD0797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نَسْجُ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الشعر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وغيرِه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عَرِيضاً</w:t>
      </w:r>
      <w:r w:rsidR="00FB70BE"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وقد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ضَفَر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الشعر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ونحوَه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ويَضْفِرُه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ضَفْراً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نسجَ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بعضَه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بعض</w:t>
      </w:r>
      <w:r w:rsidR="00524C5D">
        <w:rPr>
          <w:rFonts w:ascii="Traditional Arabic" w:eastAsia="Times New Roman" w:hAnsi="Times New Roman" w:cs="Traditional Arabic" w:hint="cs"/>
          <w:sz w:val="32"/>
          <w:szCs w:val="32"/>
          <w:rtl/>
        </w:rPr>
        <w:t>, ومعنى الحديث:</w:t>
      </w:r>
      <w:r w:rsidR="00FB70BE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أنها كانت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تَعْملُ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شَعرها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ضَفَائر</w:t>
      </w:r>
      <w:r w:rsidR="00443F82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وهي</w:t>
      </w:r>
      <w:r w:rsidR="00BD0797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الذوائبُ</w:t>
      </w:r>
      <w:r w:rsidR="00FB70BE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FB70BE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المضْفُورَةُ</w:t>
      </w:r>
      <w:r w:rsidR="006D5E9F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443F82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</w:t>
      </w:r>
      <w:r w:rsidR="006D5E9F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BD0797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النهاية لابن الأثير3/92</w:t>
      </w:r>
      <w:r w:rsidR="00BD0797">
        <w:rPr>
          <w:rFonts w:ascii="Traditional Arabic" w:eastAsia="Times New Roman" w:hAnsi="Times New Roman" w:cs="Traditional Arabic" w:hint="cs"/>
          <w:sz w:val="32"/>
          <w:szCs w:val="32"/>
          <w:rtl/>
        </w:rPr>
        <w:t>, و</w:t>
      </w:r>
      <w:r w:rsidR="00443F82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لسان العرب</w:t>
      </w:r>
      <w:r w:rsidR="00BD0797">
        <w:rPr>
          <w:rFonts w:ascii="Traditional Arabic" w:eastAsia="Times New Roman" w:hAnsi="Times New Roman" w:cs="Traditional Arabic" w:hint="cs"/>
          <w:sz w:val="32"/>
          <w:szCs w:val="32"/>
          <w:rtl/>
        </w:rPr>
        <w:t>5/512</w:t>
      </w:r>
      <w:r w:rsidR="00443F82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].</w:t>
      </w:r>
      <w:r w:rsidR="0008106F" w:rsidRPr="007D3F61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23">
    <w:p w:rsidR="008D5FC2" w:rsidRPr="007D3F61" w:rsidRDefault="008D5FC2" w:rsidP="00DD61F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6516D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B31F4" w:rsidRPr="007D3F61">
        <w:rPr>
          <w:rFonts w:ascii="Traditional Arabic" w:eastAsia="Calibri" w:cs="Traditional Arabic" w:hint="cs"/>
          <w:sz w:val="32"/>
          <w:szCs w:val="32"/>
          <w:rtl/>
        </w:rPr>
        <w:t>أخرجه مسلم</w:t>
      </w:r>
      <w:r w:rsidR="00107D28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في صحيحه في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كتاب الحيض,</w:t>
      </w:r>
      <w:r w:rsidR="00107D28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ب</w:t>
      </w:r>
      <w:r w:rsidR="00BD0797">
        <w:rPr>
          <w:rFonts w:ascii="Traditional Arabic" w:eastAsia="Calibri" w:cs="Traditional Arabic" w:hint="cs"/>
          <w:sz w:val="32"/>
          <w:szCs w:val="32"/>
          <w:rtl/>
        </w:rPr>
        <w:t>اب حكم ضفائر المغتسلة ص149,برقم</w:t>
      </w:r>
      <w:r w:rsidR="00107D28" w:rsidRPr="007D3F61">
        <w:rPr>
          <w:rFonts w:ascii="Traditional Arabic" w:eastAsia="Calibri" w:cs="Traditional Arabic" w:hint="cs"/>
          <w:sz w:val="32"/>
          <w:szCs w:val="32"/>
          <w:rtl/>
        </w:rPr>
        <w:t>330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24">
    <w:p w:rsidR="009A4F23" w:rsidRPr="007D3F61" w:rsidRDefault="009A4F23" w:rsidP="00DD61F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 ينظر</w:t>
      </w:r>
      <w:r w:rsidR="00107D28" w:rsidRPr="007D3F61">
        <w:rPr>
          <w:rFonts w:ascii="Traditional Arabic" w:eastAsia="Calibri" w:cs="Traditional Arabic" w:hint="cs"/>
          <w:sz w:val="32"/>
          <w:szCs w:val="32"/>
          <w:rtl/>
        </w:rPr>
        <w:t>: شرح مختصر الطحاوي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1/410, و</w:t>
      </w:r>
      <w:r w:rsidR="00107D28" w:rsidRPr="007D3F61">
        <w:rPr>
          <w:rFonts w:ascii="Traditional Arabic" w:eastAsia="Calibri" w:cs="Traditional Arabic" w:hint="cs"/>
          <w:sz w:val="32"/>
          <w:szCs w:val="32"/>
          <w:rtl/>
        </w:rPr>
        <w:t>البيان للعمراني</w:t>
      </w:r>
      <w:r w:rsidR="00F84A2B" w:rsidRPr="007D3F61">
        <w:rPr>
          <w:rFonts w:ascii="Traditional Arabic" w:eastAsia="Calibri" w:cs="Traditional Arabic" w:hint="cs"/>
          <w:sz w:val="32"/>
          <w:szCs w:val="32"/>
          <w:rtl/>
        </w:rPr>
        <w:t>1/254.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5">
    <w:p w:rsidR="00310863" w:rsidRPr="007D3F61" w:rsidRDefault="00310863" w:rsidP="00DD61F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هو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جبير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مطعم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عدي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القرشي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النوفلي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صحابي جليل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قدم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4E7B32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فداء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أسارى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بدر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فسمعه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يقرأ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الطور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524C5D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فكان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ذلك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أول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دخل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الإيمان</w:t>
      </w:r>
      <w:r w:rsidR="000D067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قلبي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وأسلم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بين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الحديبية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والفتح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الفتح</w:t>
      </w:r>
      <w:r w:rsidR="000D067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أكابر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وعلماء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النسب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لقريش</w:t>
      </w:r>
      <w:r w:rsidR="000D067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والعرب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قاطبة</w:t>
      </w:r>
      <w:r w:rsidR="000D0676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524C5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روى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الصحابة</w:t>
      </w:r>
      <w:r w:rsidR="000D067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سليمان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صرد</w:t>
      </w:r>
      <w:r w:rsidR="000D067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524C5D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وغيره, </w:t>
      </w:r>
      <w:r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ومن التابعين: ا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المسيب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24C5D">
        <w:rPr>
          <w:rFonts w:ascii="Traditional Arabic" w:eastAsia="Calibri" w:cs="Traditional Arabic" w:hint="cs"/>
          <w:sz w:val="32"/>
          <w:szCs w:val="32"/>
          <w:rtl/>
        </w:rPr>
        <w:t xml:space="preserve"> وغيره</w:t>
      </w:r>
      <w:r w:rsidR="000D0676"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 xml:space="preserve"> توفي سنة 57, قيل غير</w:t>
      </w:r>
      <w:r w:rsidR="00524C5D">
        <w:rPr>
          <w:rFonts w:ascii="Traditional Arabic" w:eastAsia="Calibri" w:cs="Traditional Arabic" w:hint="cs"/>
          <w:sz w:val="32"/>
          <w:szCs w:val="32"/>
          <w:rtl/>
        </w:rPr>
        <w:t xml:space="preserve"> ذلك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, ينظر: [</w:t>
      </w:r>
      <w:r w:rsidR="00605BD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الاستيعاب ص119,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وأسد الغابة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0D0676" w:rsidRPr="007D3F61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515, </w:t>
      </w:r>
      <w:r w:rsidR="000D0676" w:rsidRPr="007D3F61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24C5D">
        <w:rPr>
          <w:rFonts w:ascii="Traditional Arabic" w:eastAsia="Calibri" w:cs="Traditional Arabic" w:hint="cs"/>
          <w:sz w:val="32"/>
          <w:szCs w:val="32"/>
          <w:rtl/>
        </w:rPr>
        <w:t>الإصابة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1/235]. </w:t>
      </w:r>
    </w:p>
  </w:footnote>
  <w:footnote w:id="26">
    <w:p w:rsidR="001A0835" w:rsidRPr="007D3F61" w:rsidRDefault="001A0835" w:rsidP="0036504C">
      <w:pPr>
        <w:autoSpaceDE w:val="0"/>
        <w:autoSpaceDN w:val="0"/>
        <w:adjustRightInd w:val="0"/>
        <w:spacing w:after="0" w:line="233" w:lineRule="auto"/>
        <w:ind w:left="425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متف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>ق عليه دون لفظ</w:t>
      </w:r>
      <w:r w:rsidR="00524C5D">
        <w:rPr>
          <w:rFonts w:ascii="Traditional Arabic" w:eastAsia="Calibri" w:cs="Traditional Arabic" w:hint="cs"/>
          <w:sz w:val="32"/>
          <w:szCs w:val="32"/>
          <w:rtl/>
        </w:rPr>
        <w:t>ة"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>فإذا أنا قد طهرت</w:t>
      </w:r>
      <w:r w:rsidR="00524C5D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 أخرجه البخاري في كتاب الغسل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>باب من أفاض على رأسه ثلاثا1/102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>254,</w:t>
      </w:r>
      <w:r w:rsidR="003C2C75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ومسلم في كتاب الحيض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, باب استحباب إفاضة الماء على الرأس وغيره ثلاثا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 xml:space="preserve"> ص148, برقم</w:t>
      </w:r>
      <w:r w:rsidR="000D0676" w:rsidRPr="007D3F61">
        <w:rPr>
          <w:rFonts w:ascii="Traditional Arabic" w:eastAsia="Calibri" w:cs="Traditional Arabic" w:hint="cs"/>
          <w:sz w:val="32"/>
          <w:szCs w:val="32"/>
          <w:rtl/>
        </w:rPr>
        <w:t>327, وأما الجملة الأخيرة</w:t>
      </w:r>
      <w:r w:rsidR="006910B5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وهو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قوله</w:t>
      </w:r>
      <w:r w:rsidR="00605BDE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فإذا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طهرت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6910B5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قال عنه ابن حجر في التلخيص1/97: "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أصل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صحيح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="006910B5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نعم</w:t>
      </w:r>
      <w:r w:rsidR="000D0676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!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وقع</w:t>
      </w:r>
      <w:r w:rsidR="007F0A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ما معناه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سلمة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سؤالها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للنبي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E7B32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4E7B32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نفض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الرأس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لغسل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الجنابة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فقال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لها</w:t>
      </w:r>
      <w:r w:rsidR="00605BDE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إنما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يكفيك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تحثي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رأسك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ثلاث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حثيات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تفيضين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عليك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الماء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فإذا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أنت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قد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910B5" w:rsidRPr="007D3F61">
        <w:rPr>
          <w:rFonts w:ascii="Traditional Arabic" w:eastAsia="Times New Roman" w:hAnsi="Times New Roman" w:cs="Traditional Arabic" w:hint="eastAsia"/>
          <w:sz w:val="32"/>
          <w:szCs w:val="32"/>
          <w:rtl/>
        </w:rPr>
        <w:t>طهرت</w:t>
      </w:r>
      <w:r w:rsidR="006910B5" w:rsidRPr="007D3F61">
        <w:rPr>
          <w:rFonts w:ascii="Traditional Arabic" w:eastAsia="Times New Roman" w:hAnsi="Times New Roman" w:cs="Traditional Arabic"/>
          <w:sz w:val="32"/>
          <w:szCs w:val="32"/>
          <w:rtl/>
        </w:rPr>
        <w:t>"</w:t>
      </w:r>
      <w:r w:rsidR="006910B5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وهو في مسلم</w:t>
      </w:r>
      <w:r w:rsidR="007F0AD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كما سبق</w:t>
      </w:r>
      <w:r w:rsidR="006910B5" w:rsidRPr="007D3F61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</w:p>
  </w:footnote>
  <w:footnote w:id="27">
    <w:p w:rsidR="00C06D7E" w:rsidRPr="007D3F61" w:rsidRDefault="00C06D7E" w:rsidP="00DD61F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ينظر: الحاوي الكبير1/188, والمغني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 w:rsidR="00903419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والمبدع</w:t>
      </w:r>
      <w:r w:rsidR="00E260B7" w:rsidRPr="007D3F61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5352F8" w:rsidRPr="007D3F61">
        <w:rPr>
          <w:rFonts w:ascii="Traditional Arabic" w:eastAsia="Calibri" w:cs="Traditional Arabic" w:hint="cs"/>
          <w:sz w:val="32"/>
          <w:szCs w:val="32"/>
          <w:rtl/>
        </w:rPr>
        <w:t>173</w:t>
      </w:r>
      <w:r w:rsidR="00E260B7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وكشاف القناع</w:t>
      </w:r>
      <w:r w:rsidR="005374F2" w:rsidRPr="007D3F61">
        <w:rPr>
          <w:rFonts w:ascii="Traditional Arabic" w:eastAsia="Calibri" w:cs="Traditional Arabic" w:hint="cs"/>
          <w:sz w:val="32"/>
          <w:szCs w:val="32"/>
          <w:rtl/>
        </w:rPr>
        <w:t>1/146.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8">
    <w:p w:rsidR="0041796F" w:rsidRPr="007D3F61" w:rsidRDefault="0041796F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316B37">
        <w:rPr>
          <w:rFonts w:cs="Traditional Arabic" w:hint="cs"/>
          <w:sz w:val="32"/>
          <w:szCs w:val="32"/>
          <w:rtl/>
        </w:rPr>
        <w:t xml:space="preserve">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متفق عليه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 أخرجه البخاري في</w:t>
      </w:r>
      <w:r w:rsidR="00023AB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صيحيحه في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كتاب الغسل</w:t>
      </w:r>
      <w:r w:rsidR="00023AB4"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باب الوضوء قبل الغسل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782EBF" w:rsidRPr="007D3F61">
        <w:rPr>
          <w:rFonts w:ascii="Traditional Arabic" w:eastAsia="Calibri" w:cs="Traditional Arabic" w:hint="cs"/>
          <w:sz w:val="32"/>
          <w:szCs w:val="32"/>
          <w:rtl/>
        </w:rPr>
        <w:t>100,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023AB4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248,</w:t>
      </w:r>
      <w:r w:rsidR="00782EB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ومسلم في كتاب </w:t>
      </w:r>
      <w:r w:rsidR="00023AB4" w:rsidRPr="007D3F61">
        <w:rPr>
          <w:rFonts w:ascii="Traditional Arabic" w:eastAsia="Calibri" w:cs="Traditional Arabic" w:hint="cs"/>
          <w:sz w:val="32"/>
          <w:szCs w:val="32"/>
          <w:rtl/>
        </w:rPr>
        <w:t>الحيض,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 xml:space="preserve"> باب صفة غسل الجنابة ص145, برقم</w:t>
      </w:r>
      <w:r w:rsidR="00023AB4" w:rsidRPr="007D3F61">
        <w:rPr>
          <w:rFonts w:ascii="Traditional Arabic" w:eastAsia="Calibri" w:cs="Traditional Arabic" w:hint="cs"/>
          <w:sz w:val="32"/>
          <w:szCs w:val="32"/>
          <w:rtl/>
        </w:rPr>
        <w:t>316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29">
    <w:p w:rsidR="0041796F" w:rsidRPr="007D3F61" w:rsidRDefault="0041796F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="00577782"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>متفق عليه: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أخرجه البخاري في 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صحيحه في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كتاب الغسل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 xml:space="preserve"> باب الوضوء قبل الغسل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782EBF" w:rsidRPr="007D3F61">
        <w:rPr>
          <w:rFonts w:ascii="Traditional Arabic" w:eastAsia="Calibri" w:cs="Traditional Arabic" w:hint="cs"/>
          <w:sz w:val="32"/>
          <w:szCs w:val="32"/>
          <w:rtl/>
        </w:rPr>
        <w:t>100,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برقم </w:t>
      </w:r>
      <w:r w:rsidR="00577782" w:rsidRPr="007D3F61">
        <w:rPr>
          <w:rFonts w:ascii="Traditional Arabic" w:eastAsia="Calibri" w:cs="Traditional Arabic"/>
          <w:sz w:val="32"/>
          <w:szCs w:val="32"/>
          <w:rtl/>
        </w:rPr>
        <w:t>249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782EBF" w:rsidRPr="007D3F61">
        <w:rPr>
          <w:rFonts w:ascii="Traditional Arabic" w:eastAsia="Calibri" w:cs="Traditional Arabic" w:hint="cs"/>
          <w:sz w:val="32"/>
          <w:szCs w:val="32"/>
          <w:rtl/>
        </w:rPr>
        <w:t>ومسلم في كتاب الحيض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باب صفة غسل الجنابة ص146,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782EBF" w:rsidRPr="007D3F61">
        <w:rPr>
          <w:rFonts w:ascii="Traditional Arabic" w:eastAsia="Calibri" w:cs="Traditional Arabic" w:hint="cs"/>
          <w:sz w:val="32"/>
          <w:szCs w:val="32"/>
          <w:rtl/>
        </w:rPr>
        <w:t>317.</w:t>
      </w:r>
    </w:p>
  </w:footnote>
  <w:footnote w:id="30">
    <w:p w:rsidR="00495339" w:rsidRPr="007D3F61" w:rsidRDefault="00495339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>: المغني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1/289,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والمبدع</w:t>
      </w:r>
      <w:r w:rsidR="00770245" w:rsidRPr="007D3F61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C87227" w:rsidRPr="007D3F61">
        <w:rPr>
          <w:rFonts w:ascii="Traditional Arabic" w:eastAsia="Calibri" w:cs="Traditional Arabic" w:hint="cs"/>
          <w:sz w:val="32"/>
          <w:szCs w:val="32"/>
          <w:rtl/>
        </w:rPr>
        <w:t>173</w:t>
      </w:r>
      <w:r w:rsidR="00770245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ومرعاة المفاتيح</w:t>
      </w:r>
      <w:r w:rsidR="005C2E5B" w:rsidRPr="007D3F61">
        <w:rPr>
          <w:rFonts w:ascii="Traditional Arabic" w:eastAsia="Calibri" w:cs="Traditional Arabic" w:hint="cs"/>
          <w:sz w:val="32"/>
          <w:szCs w:val="32"/>
          <w:rtl/>
        </w:rPr>
        <w:t>2/132.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1">
    <w:p w:rsidR="00731AE2" w:rsidRPr="007D3F61" w:rsidRDefault="00731AE2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>1/187, والمغني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1/289,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والمبدع</w:t>
      </w:r>
      <w:r w:rsidR="005C2E5B" w:rsidRPr="007D3F61">
        <w:rPr>
          <w:rFonts w:ascii="Traditional Arabic" w:eastAsia="Calibri" w:cs="Traditional Arabic" w:hint="cs"/>
          <w:sz w:val="32"/>
          <w:szCs w:val="32"/>
          <w:rtl/>
        </w:rPr>
        <w:t>1/173.</w:t>
      </w:r>
      <w:r w:rsidR="00FE057F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2">
    <w:p w:rsidR="006906C4" w:rsidRPr="007D3F61" w:rsidRDefault="006906C4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 بداية المجتهد ص287.</w:t>
      </w:r>
    </w:p>
  </w:footnote>
  <w:footnote w:id="33">
    <w:p w:rsidR="00114CCC" w:rsidRPr="007D3F61" w:rsidRDefault="00114CCC" w:rsidP="0097318E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D3F61">
        <w:rPr>
          <w:rFonts w:cs="Traditional Arabic" w:hint="cs"/>
          <w:sz w:val="32"/>
          <w:szCs w:val="32"/>
          <w:rtl/>
        </w:rPr>
        <w:t>(</w:t>
      </w:r>
      <w:r w:rsidRPr="007D3F61">
        <w:rPr>
          <w:rFonts w:cs="Traditional Arabic"/>
          <w:sz w:val="32"/>
          <w:szCs w:val="32"/>
          <w:rtl/>
        </w:rPr>
        <w:footnoteRef/>
      </w:r>
      <w:r w:rsidRPr="007D3F61">
        <w:rPr>
          <w:rFonts w:cs="Traditional Arabic" w:hint="cs"/>
          <w:sz w:val="32"/>
          <w:szCs w:val="32"/>
          <w:rtl/>
        </w:rPr>
        <w:t>)</w:t>
      </w:r>
      <w:r w:rsidR="00E24C7E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77782" w:rsidRPr="007D3F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05BDE">
        <w:rPr>
          <w:rFonts w:ascii="Traditional Arabic" w:eastAsia="Calibri" w:cs="Traditional Arabic" w:hint="cs"/>
          <w:sz w:val="32"/>
          <w:szCs w:val="32"/>
          <w:rtl/>
        </w:rPr>
        <w:t>المجموع للنووي</w:t>
      </w:r>
      <w:r w:rsidRPr="007D3F61">
        <w:rPr>
          <w:rFonts w:ascii="Traditional Arabic" w:eastAsia="Calibri" w:cs="Traditional Arabic" w:hint="cs"/>
          <w:sz w:val="32"/>
          <w:szCs w:val="32"/>
          <w:rtl/>
        </w:rPr>
        <w:t>2/215.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  <w:rtl/>
      </w:rPr>
      <w:alias w:val="العنوان"/>
      <w:id w:val="77738743"/>
      <w:placeholder>
        <w:docPart w:val="70684D3170FC4D7EAE3B867AF992E88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E7B32" w:rsidRPr="00D02173" w:rsidRDefault="004E7B32" w:rsidP="00D02173">
        <w:pPr>
          <w:pStyle w:val="a8"/>
          <w:pBdr>
            <w:bottom w:val="thickThinSmallGap" w:sz="24" w:space="1" w:color="622423" w:themeColor="accent2" w:themeShade="7F"/>
          </w:pBdr>
          <w:bidi/>
          <w:jc w:val="center"/>
          <w:rPr>
            <w:rFonts w:asciiTheme="majorHAnsi" w:eastAsiaTheme="majorEastAsia" w:hAnsiTheme="majorHAnsi" w:cs="mohammad bold art 1"/>
            <w:sz w:val="28"/>
            <w:szCs w:val="28"/>
          </w:rPr>
        </w:pPr>
        <w:r w:rsidRPr="00D0217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D02173" w:rsidRPr="00D0217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الثاني: </w:t>
        </w:r>
        <w:r w:rsidRPr="00D0217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يجب الوضوء مع الغسل؟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B092E23"/>
    <w:multiLevelType w:val="hybridMultilevel"/>
    <w:tmpl w:val="AFF609A6"/>
    <w:lvl w:ilvl="0" w:tplc="9F949F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74CB5"/>
    <w:multiLevelType w:val="hybridMultilevel"/>
    <w:tmpl w:val="530C8320"/>
    <w:lvl w:ilvl="0" w:tplc="CCE02BB4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87C56BC"/>
    <w:multiLevelType w:val="hybridMultilevel"/>
    <w:tmpl w:val="BE2C478A"/>
    <w:lvl w:ilvl="0" w:tplc="D2661B8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C6821"/>
    <w:multiLevelType w:val="hybridMultilevel"/>
    <w:tmpl w:val="C3F66096"/>
    <w:lvl w:ilvl="0" w:tplc="55400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6725BA"/>
    <w:multiLevelType w:val="hybridMultilevel"/>
    <w:tmpl w:val="2F540A58"/>
    <w:lvl w:ilvl="0" w:tplc="E7880D0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6082"/>
    <o:shapelayout v:ext="edit">
      <o:idmap v:ext="edit" data="4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1014A"/>
    <w:rsid w:val="00002F64"/>
    <w:rsid w:val="00004640"/>
    <w:rsid w:val="00004E2B"/>
    <w:rsid w:val="000062B9"/>
    <w:rsid w:val="00011C36"/>
    <w:rsid w:val="00020F5C"/>
    <w:rsid w:val="00023AB4"/>
    <w:rsid w:val="00036E13"/>
    <w:rsid w:val="00044B55"/>
    <w:rsid w:val="000459D3"/>
    <w:rsid w:val="00047A51"/>
    <w:rsid w:val="00051AF1"/>
    <w:rsid w:val="0005797D"/>
    <w:rsid w:val="00060191"/>
    <w:rsid w:val="00061411"/>
    <w:rsid w:val="00064B22"/>
    <w:rsid w:val="000655BD"/>
    <w:rsid w:val="000716C2"/>
    <w:rsid w:val="00075B92"/>
    <w:rsid w:val="000762B5"/>
    <w:rsid w:val="0008106F"/>
    <w:rsid w:val="00095BEB"/>
    <w:rsid w:val="000B49AF"/>
    <w:rsid w:val="000C1F34"/>
    <w:rsid w:val="000D0676"/>
    <w:rsid w:val="000E69A9"/>
    <w:rsid w:val="000F15CA"/>
    <w:rsid w:val="000F63BC"/>
    <w:rsid w:val="000F66E4"/>
    <w:rsid w:val="0010043E"/>
    <w:rsid w:val="00107D28"/>
    <w:rsid w:val="00112356"/>
    <w:rsid w:val="00114CCC"/>
    <w:rsid w:val="00121666"/>
    <w:rsid w:val="00136936"/>
    <w:rsid w:val="00144EC9"/>
    <w:rsid w:val="00146F29"/>
    <w:rsid w:val="00151989"/>
    <w:rsid w:val="001565A6"/>
    <w:rsid w:val="00156C6B"/>
    <w:rsid w:val="001575A5"/>
    <w:rsid w:val="00183EED"/>
    <w:rsid w:val="00184718"/>
    <w:rsid w:val="00184809"/>
    <w:rsid w:val="00184EDE"/>
    <w:rsid w:val="001A0835"/>
    <w:rsid w:val="001A1FB2"/>
    <w:rsid w:val="001A4DCE"/>
    <w:rsid w:val="001A69A4"/>
    <w:rsid w:val="001B19A6"/>
    <w:rsid w:val="001B3220"/>
    <w:rsid w:val="001B3597"/>
    <w:rsid w:val="001B7000"/>
    <w:rsid w:val="001C63AB"/>
    <w:rsid w:val="001D37B2"/>
    <w:rsid w:val="001D39C8"/>
    <w:rsid w:val="001D65B4"/>
    <w:rsid w:val="001E777C"/>
    <w:rsid w:val="001F182A"/>
    <w:rsid w:val="002061B4"/>
    <w:rsid w:val="0021045F"/>
    <w:rsid w:val="00211079"/>
    <w:rsid w:val="00215EE3"/>
    <w:rsid w:val="00247F6A"/>
    <w:rsid w:val="00262256"/>
    <w:rsid w:val="002639A9"/>
    <w:rsid w:val="00270FEB"/>
    <w:rsid w:val="0027331B"/>
    <w:rsid w:val="0028262E"/>
    <w:rsid w:val="0028337C"/>
    <w:rsid w:val="00287AD5"/>
    <w:rsid w:val="002B6071"/>
    <w:rsid w:val="002C171F"/>
    <w:rsid w:val="002C2890"/>
    <w:rsid w:val="002C46BD"/>
    <w:rsid w:val="002C7164"/>
    <w:rsid w:val="002C7D03"/>
    <w:rsid w:val="002F256B"/>
    <w:rsid w:val="003021C0"/>
    <w:rsid w:val="00305526"/>
    <w:rsid w:val="00306EB7"/>
    <w:rsid w:val="00306FC9"/>
    <w:rsid w:val="0031079B"/>
    <w:rsid w:val="003107B3"/>
    <w:rsid w:val="00310863"/>
    <w:rsid w:val="00316B37"/>
    <w:rsid w:val="0032618F"/>
    <w:rsid w:val="00332B0E"/>
    <w:rsid w:val="003354B8"/>
    <w:rsid w:val="00336EC0"/>
    <w:rsid w:val="003507B1"/>
    <w:rsid w:val="0036504C"/>
    <w:rsid w:val="00371FA2"/>
    <w:rsid w:val="0037342C"/>
    <w:rsid w:val="00380210"/>
    <w:rsid w:val="00382456"/>
    <w:rsid w:val="003834BA"/>
    <w:rsid w:val="00385DEF"/>
    <w:rsid w:val="0039188F"/>
    <w:rsid w:val="0039386C"/>
    <w:rsid w:val="00397ACC"/>
    <w:rsid w:val="003A2B9B"/>
    <w:rsid w:val="003B603C"/>
    <w:rsid w:val="003C2C75"/>
    <w:rsid w:val="003D7B61"/>
    <w:rsid w:val="003F1975"/>
    <w:rsid w:val="004003AC"/>
    <w:rsid w:val="004062E1"/>
    <w:rsid w:val="004079A2"/>
    <w:rsid w:val="00407A59"/>
    <w:rsid w:val="0041796F"/>
    <w:rsid w:val="00423088"/>
    <w:rsid w:val="00423BE3"/>
    <w:rsid w:val="00433E24"/>
    <w:rsid w:val="004350ED"/>
    <w:rsid w:val="004412C1"/>
    <w:rsid w:val="004416E8"/>
    <w:rsid w:val="00442383"/>
    <w:rsid w:val="00443F82"/>
    <w:rsid w:val="004445F8"/>
    <w:rsid w:val="00452A23"/>
    <w:rsid w:val="00453BA9"/>
    <w:rsid w:val="00456532"/>
    <w:rsid w:val="004717BD"/>
    <w:rsid w:val="00495339"/>
    <w:rsid w:val="004971DE"/>
    <w:rsid w:val="004A6241"/>
    <w:rsid w:val="004B6030"/>
    <w:rsid w:val="004D7E02"/>
    <w:rsid w:val="004E2A9F"/>
    <w:rsid w:val="004E7B32"/>
    <w:rsid w:val="004E7FE2"/>
    <w:rsid w:val="004F3E15"/>
    <w:rsid w:val="004F7B73"/>
    <w:rsid w:val="00524C5D"/>
    <w:rsid w:val="0053032B"/>
    <w:rsid w:val="005311EA"/>
    <w:rsid w:val="005352F8"/>
    <w:rsid w:val="005374F2"/>
    <w:rsid w:val="00573369"/>
    <w:rsid w:val="00573DC8"/>
    <w:rsid w:val="00577782"/>
    <w:rsid w:val="005867EB"/>
    <w:rsid w:val="005A25A9"/>
    <w:rsid w:val="005A37DD"/>
    <w:rsid w:val="005B3188"/>
    <w:rsid w:val="005B31F4"/>
    <w:rsid w:val="005C2E5B"/>
    <w:rsid w:val="005C7D9D"/>
    <w:rsid w:val="005D6774"/>
    <w:rsid w:val="005E1CF3"/>
    <w:rsid w:val="005F0609"/>
    <w:rsid w:val="005F3F31"/>
    <w:rsid w:val="00601910"/>
    <w:rsid w:val="00605BDE"/>
    <w:rsid w:val="0061605B"/>
    <w:rsid w:val="00630E28"/>
    <w:rsid w:val="0063150C"/>
    <w:rsid w:val="00641483"/>
    <w:rsid w:val="00643A9D"/>
    <w:rsid w:val="006477C6"/>
    <w:rsid w:val="006516D2"/>
    <w:rsid w:val="00664DDF"/>
    <w:rsid w:val="00672DF8"/>
    <w:rsid w:val="006838E4"/>
    <w:rsid w:val="0068596A"/>
    <w:rsid w:val="006906C4"/>
    <w:rsid w:val="006910B5"/>
    <w:rsid w:val="006B4E1F"/>
    <w:rsid w:val="006C0174"/>
    <w:rsid w:val="006C26B3"/>
    <w:rsid w:val="006D5E9F"/>
    <w:rsid w:val="006E074F"/>
    <w:rsid w:val="006E4390"/>
    <w:rsid w:val="006E6B72"/>
    <w:rsid w:val="006E6BA2"/>
    <w:rsid w:val="006F4CA7"/>
    <w:rsid w:val="00711AB2"/>
    <w:rsid w:val="0071228F"/>
    <w:rsid w:val="007211AB"/>
    <w:rsid w:val="00721E00"/>
    <w:rsid w:val="007223B7"/>
    <w:rsid w:val="00725BF4"/>
    <w:rsid w:val="00726EE7"/>
    <w:rsid w:val="00727230"/>
    <w:rsid w:val="00731AE2"/>
    <w:rsid w:val="007340EE"/>
    <w:rsid w:val="00744AD0"/>
    <w:rsid w:val="00752C8F"/>
    <w:rsid w:val="00767CF8"/>
    <w:rsid w:val="00770245"/>
    <w:rsid w:val="00773A38"/>
    <w:rsid w:val="00777673"/>
    <w:rsid w:val="00782EBF"/>
    <w:rsid w:val="007864E3"/>
    <w:rsid w:val="007A65B0"/>
    <w:rsid w:val="007B25A3"/>
    <w:rsid w:val="007B449C"/>
    <w:rsid w:val="007B5D2B"/>
    <w:rsid w:val="007C3476"/>
    <w:rsid w:val="007D3F61"/>
    <w:rsid w:val="007D58F8"/>
    <w:rsid w:val="007F0AD9"/>
    <w:rsid w:val="007F1299"/>
    <w:rsid w:val="008003E5"/>
    <w:rsid w:val="00814F6A"/>
    <w:rsid w:val="0082155E"/>
    <w:rsid w:val="008452E1"/>
    <w:rsid w:val="008528AA"/>
    <w:rsid w:val="00875E98"/>
    <w:rsid w:val="0087764D"/>
    <w:rsid w:val="00884F87"/>
    <w:rsid w:val="00896FA6"/>
    <w:rsid w:val="008B42E7"/>
    <w:rsid w:val="008B703C"/>
    <w:rsid w:val="008D3BE1"/>
    <w:rsid w:val="008D5FC2"/>
    <w:rsid w:val="008E207B"/>
    <w:rsid w:val="008E7A10"/>
    <w:rsid w:val="008F7446"/>
    <w:rsid w:val="00903419"/>
    <w:rsid w:val="009040F3"/>
    <w:rsid w:val="00904AE7"/>
    <w:rsid w:val="00904EF4"/>
    <w:rsid w:val="009057F1"/>
    <w:rsid w:val="009061C4"/>
    <w:rsid w:val="0091014A"/>
    <w:rsid w:val="009109B0"/>
    <w:rsid w:val="00914F01"/>
    <w:rsid w:val="0091691E"/>
    <w:rsid w:val="009258B8"/>
    <w:rsid w:val="00931316"/>
    <w:rsid w:val="00934134"/>
    <w:rsid w:val="009411F1"/>
    <w:rsid w:val="00952992"/>
    <w:rsid w:val="00955F4F"/>
    <w:rsid w:val="009619DA"/>
    <w:rsid w:val="0096349B"/>
    <w:rsid w:val="0097318E"/>
    <w:rsid w:val="00973723"/>
    <w:rsid w:val="00983966"/>
    <w:rsid w:val="00991E40"/>
    <w:rsid w:val="009A20ED"/>
    <w:rsid w:val="009A4F23"/>
    <w:rsid w:val="009A7160"/>
    <w:rsid w:val="009A7ACE"/>
    <w:rsid w:val="009B682D"/>
    <w:rsid w:val="009B7238"/>
    <w:rsid w:val="009D779E"/>
    <w:rsid w:val="009E2520"/>
    <w:rsid w:val="009F5BCE"/>
    <w:rsid w:val="00A01C42"/>
    <w:rsid w:val="00A243C3"/>
    <w:rsid w:val="00A33CC2"/>
    <w:rsid w:val="00A364E8"/>
    <w:rsid w:val="00A36B8A"/>
    <w:rsid w:val="00A42B32"/>
    <w:rsid w:val="00A44C74"/>
    <w:rsid w:val="00A47812"/>
    <w:rsid w:val="00A5151F"/>
    <w:rsid w:val="00A51C41"/>
    <w:rsid w:val="00A539C4"/>
    <w:rsid w:val="00A55B30"/>
    <w:rsid w:val="00A647B9"/>
    <w:rsid w:val="00A73677"/>
    <w:rsid w:val="00A753DC"/>
    <w:rsid w:val="00A90572"/>
    <w:rsid w:val="00AA1DD3"/>
    <w:rsid w:val="00AE2D1D"/>
    <w:rsid w:val="00AE5F19"/>
    <w:rsid w:val="00AF5C37"/>
    <w:rsid w:val="00B16AEB"/>
    <w:rsid w:val="00B23228"/>
    <w:rsid w:val="00B234AB"/>
    <w:rsid w:val="00B41705"/>
    <w:rsid w:val="00B42604"/>
    <w:rsid w:val="00B432B8"/>
    <w:rsid w:val="00B46DF2"/>
    <w:rsid w:val="00B53353"/>
    <w:rsid w:val="00B54E33"/>
    <w:rsid w:val="00B6325A"/>
    <w:rsid w:val="00B6440E"/>
    <w:rsid w:val="00B65E35"/>
    <w:rsid w:val="00B66F6F"/>
    <w:rsid w:val="00B70DCB"/>
    <w:rsid w:val="00B72163"/>
    <w:rsid w:val="00B7236F"/>
    <w:rsid w:val="00B76C94"/>
    <w:rsid w:val="00B805FA"/>
    <w:rsid w:val="00B80A20"/>
    <w:rsid w:val="00B87816"/>
    <w:rsid w:val="00B87B77"/>
    <w:rsid w:val="00BA14ED"/>
    <w:rsid w:val="00BC0037"/>
    <w:rsid w:val="00BC48A7"/>
    <w:rsid w:val="00BC4B2F"/>
    <w:rsid w:val="00BD0797"/>
    <w:rsid w:val="00BD332E"/>
    <w:rsid w:val="00BD5DF0"/>
    <w:rsid w:val="00BD6B8E"/>
    <w:rsid w:val="00BF1412"/>
    <w:rsid w:val="00BF74C7"/>
    <w:rsid w:val="00C053A8"/>
    <w:rsid w:val="00C05904"/>
    <w:rsid w:val="00C0689F"/>
    <w:rsid w:val="00C06D7E"/>
    <w:rsid w:val="00C126BD"/>
    <w:rsid w:val="00C1339E"/>
    <w:rsid w:val="00C33A1A"/>
    <w:rsid w:val="00C360D4"/>
    <w:rsid w:val="00C5563F"/>
    <w:rsid w:val="00C77C21"/>
    <w:rsid w:val="00C80E40"/>
    <w:rsid w:val="00C82111"/>
    <w:rsid w:val="00C82179"/>
    <w:rsid w:val="00C8673C"/>
    <w:rsid w:val="00C8707C"/>
    <w:rsid w:val="00C87227"/>
    <w:rsid w:val="00C94D0A"/>
    <w:rsid w:val="00CA2C6D"/>
    <w:rsid w:val="00CB4C11"/>
    <w:rsid w:val="00CB5DB4"/>
    <w:rsid w:val="00CC260F"/>
    <w:rsid w:val="00CC4B0A"/>
    <w:rsid w:val="00CC5020"/>
    <w:rsid w:val="00CC59DC"/>
    <w:rsid w:val="00CD2256"/>
    <w:rsid w:val="00CD3654"/>
    <w:rsid w:val="00CD4E55"/>
    <w:rsid w:val="00CD6742"/>
    <w:rsid w:val="00D02173"/>
    <w:rsid w:val="00D02A8B"/>
    <w:rsid w:val="00D077A5"/>
    <w:rsid w:val="00D13083"/>
    <w:rsid w:val="00D26095"/>
    <w:rsid w:val="00D32C37"/>
    <w:rsid w:val="00D35E5B"/>
    <w:rsid w:val="00D404E6"/>
    <w:rsid w:val="00D43634"/>
    <w:rsid w:val="00D452B7"/>
    <w:rsid w:val="00D51E24"/>
    <w:rsid w:val="00D56535"/>
    <w:rsid w:val="00D603D6"/>
    <w:rsid w:val="00D65008"/>
    <w:rsid w:val="00D74F32"/>
    <w:rsid w:val="00D771C9"/>
    <w:rsid w:val="00D929C3"/>
    <w:rsid w:val="00DA0835"/>
    <w:rsid w:val="00DC058D"/>
    <w:rsid w:val="00DC1714"/>
    <w:rsid w:val="00DC3874"/>
    <w:rsid w:val="00DC6DA0"/>
    <w:rsid w:val="00DC7304"/>
    <w:rsid w:val="00DD61F5"/>
    <w:rsid w:val="00DD6C7F"/>
    <w:rsid w:val="00DD7B4A"/>
    <w:rsid w:val="00DF53B3"/>
    <w:rsid w:val="00DF70EE"/>
    <w:rsid w:val="00E00E9E"/>
    <w:rsid w:val="00E01F08"/>
    <w:rsid w:val="00E1103F"/>
    <w:rsid w:val="00E11D81"/>
    <w:rsid w:val="00E1395E"/>
    <w:rsid w:val="00E143F7"/>
    <w:rsid w:val="00E17E51"/>
    <w:rsid w:val="00E21D17"/>
    <w:rsid w:val="00E24C7E"/>
    <w:rsid w:val="00E260B7"/>
    <w:rsid w:val="00E30BB0"/>
    <w:rsid w:val="00E330EB"/>
    <w:rsid w:val="00E40ACF"/>
    <w:rsid w:val="00E42CC9"/>
    <w:rsid w:val="00E549F4"/>
    <w:rsid w:val="00E579D7"/>
    <w:rsid w:val="00E658C4"/>
    <w:rsid w:val="00E65DFC"/>
    <w:rsid w:val="00E97D2E"/>
    <w:rsid w:val="00EC3FF6"/>
    <w:rsid w:val="00ED6969"/>
    <w:rsid w:val="00ED6FE4"/>
    <w:rsid w:val="00EE0FE9"/>
    <w:rsid w:val="00EE4ADB"/>
    <w:rsid w:val="00EE51F2"/>
    <w:rsid w:val="00F004B7"/>
    <w:rsid w:val="00F06F1D"/>
    <w:rsid w:val="00F37161"/>
    <w:rsid w:val="00F46819"/>
    <w:rsid w:val="00F558DF"/>
    <w:rsid w:val="00F65237"/>
    <w:rsid w:val="00F65AC5"/>
    <w:rsid w:val="00F70AF8"/>
    <w:rsid w:val="00F743A1"/>
    <w:rsid w:val="00F777FE"/>
    <w:rsid w:val="00F83C6F"/>
    <w:rsid w:val="00F840C5"/>
    <w:rsid w:val="00F84A2B"/>
    <w:rsid w:val="00F905FA"/>
    <w:rsid w:val="00F907DC"/>
    <w:rsid w:val="00F94BAF"/>
    <w:rsid w:val="00F97628"/>
    <w:rsid w:val="00FB70BE"/>
    <w:rsid w:val="00FC2836"/>
    <w:rsid w:val="00FC3B3E"/>
    <w:rsid w:val="00FC4420"/>
    <w:rsid w:val="00FD51B8"/>
    <w:rsid w:val="00FE057F"/>
    <w:rsid w:val="00FE5538"/>
    <w:rsid w:val="00FF22AA"/>
    <w:rsid w:val="00FF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14A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727230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CC59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d"/>
    <w:uiPriority w:val="99"/>
    <w:rsid w:val="00CC59DC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4E7B3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684D3170FC4D7EAE3B867AF992E88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632F60E-B96A-458D-A281-51015EED3D5E}"/>
      </w:docPartPr>
      <w:docPartBody>
        <w:p w:rsidR="00A356B2" w:rsidRDefault="004155CB" w:rsidP="004155CB">
          <w:pPr>
            <w:pStyle w:val="70684D3170FC4D7EAE3B867AF992E88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155CB"/>
    <w:rsid w:val="0026093A"/>
    <w:rsid w:val="004155CB"/>
    <w:rsid w:val="008726E2"/>
    <w:rsid w:val="009A11D2"/>
    <w:rsid w:val="00A356B2"/>
    <w:rsid w:val="00A375DF"/>
    <w:rsid w:val="00AA473E"/>
    <w:rsid w:val="00B51275"/>
    <w:rsid w:val="00E8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6B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0684D3170FC4D7EAE3B867AF992E883">
    <w:name w:val="70684D3170FC4D7EAE3B867AF992E883"/>
    <w:rsid w:val="004155C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87005-1865-4821-8629-DA3F9F2C0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7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الثاني, المبحث الثاني, هل يجب الوضوء مع الغسل؟</vt:lpstr>
    </vt:vector>
  </TitlesOfParts>
  <Company>Almutamaiz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هل يجب الوضوء مع الغسل؟</dc:title>
  <dc:subject/>
  <dc:creator>Almutamaiz</dc:creator>
  <cp:keywords/>
  <dc:description/>
  <cp:lastModifiedBy>Almutamaiz</cp:lastModifiedBy>
  <cp:revision>156</cp:revision>
  <dcterms:created xsi:type="dcterms:W3CDTF">2011-07-24T16:57:00Z</dcterms:created>
  <dcterms:modified xsi:type="dcterms:W3CDTF">2012-08-22T16:46:00Z</dcterms:modified>
</cp:coreProperties>
</file>