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DEE" w:rsidRPr="00A760D1" w:rsidRDefault="00F96DEE" w:rsidP="004C5759">
      <w:pPr>
        <w:spacing w:after="0" w:line="240" w:lineRule="auto"/>
        <w:jc w:val="center"/>
        <w:rPr>
          <w:rFonts w:ascii="Traditional Arabic" w:eastAsia="Calibri" w:hAnsi="Traditional Arabic" w:cs="AL-Mateen"/>
          <w:b/>
          <w:bCs/>
          <w:sz w:val="36"/>
          <w:szCs w:val="36"/>
          <w:rtl/>
        </w:rPr>
      </w:pPr>
      <w:r w:rsidRPr="00A760D1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>المطلب الأول : حكم صلاة الجنازة</w:t>
      </w:r>
      <w:r w:rsidR="000A49DD" w:rsidRPr="00A760D1">
        <w:rPr>
          <w:rFonts w:ascii="Traditional Arabic" w:hAnsi="Traditional Arabic" w:cs="AL-Mateen" w:hint="cs"/>
          <w:sz w:val="36"/>
          <w:szCs w:val="36"/>
          <w:rtl/>
        </w:rPr>
        <w:t xml:space="preserve"> </w:t>
      </w:r>
      <w:r w:rsidR="000A49DD" w:rsidRPr="00A760D1">
        <w:rPr>
          <w:rStyle w:val="a4"/>
          <w:rFonts w:ascii="Traditional Arabic" w:hAnsi="Traditional Arabic" w:cs="AL-Mateen"/>
          <w:sz w:val="36"/>
          <w:szCs w:val="36"/>
          <w:rtl/>
        </w:rPr>
        <w:t>(</w:t>
      </w:r>
      <w:r w:rsidR="000A49DD" w:rsidRPr="00A760D1">
        <w:rPr>
          <w:rStyle w:val="a4"/>
          <w:rFonts w:ascii="Traditional Arabic" w:hAnsi="Traditional Arabic" w:cs="AL-Mateen"/>
          <w:sz w:val="36"/>
          <w:szCs w:val="36"/>
          <w:rtl/>
        </w:rPr>
        <w:footnoteReference w:id="2"/>
      </w:r>
      <w:r w:rsidR="000A49DD" w:rsidRPr="00A760D1">
        <w:rPr>
          <w:rStyle w:val="a4"/>
          <w:rFonts w:ascii="Traditional Arabic" w:hAnsi="Traditional Arabic" w:cs="AL-Mateen"/>
          <w:sz w:val="36"/>
          <w:szCs w:val="36"/>
          <w:rtl/>
        </w:rPr>
        <w:t>)</w:t>
      </w:r>
      <w:r w:rsidRPr="00A760D1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 xml:space="preserve"> في المسجد</w:t>
      </w:r>
      <w:r w:rsidR="00A760D1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 xml:space="preserve"> .</w:t>
      </w:r>
    </w:p>
    <w:p w:rsidR="00F96DEE" w:rsidRPr="009E30FE" w:rsidRDefault="00F96DEE" w:rsidP="004C575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9E30F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أولاً : رأي الشيخ المباركفوري ـ رحمه الله ـ في المسألة :</w:t>
      </w:r>
    </w:p>
    <w:p w:rsidR="00F96DEE" w:rsidRPr="004C5759" w:rsidRDefault="00F96DEE" w:rsidP="004C575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9E30F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قال ـ رحمه الله ـ  :</w:t>
      </w:r>
      <w:r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" والحق أنه يجوز الصلاة على الجنائز في المسجد من غير كراهة , والأفضل الصلاة عليها خارج المسجد , لأن أكثر صلاته صلى الله عليه وسلم على الجنائز كان في المصلى " </w:t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9E30F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3"/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F96DEE" w:rsidRPr="009E30FE" w:rsidRDefault="00F96DEE" w:rsidP="004C575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9E30F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ثانياً : أقوال العلماء في المسألة :</w:t>
      </w:r>
    </w:p>
    <w:p w:rsidR="00F96DEE" w:rsidRPr="009E30FE" w:rsidRDefault="00F96DEE" w:rsidP="004C575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9E30F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اختلف العلماء ـ رحمهم الله ـ في حكم الصلاة على الجنازة في المسجد على قولين :</w:t>
      </w:r>
    </w:p>
    <w:p w:rsidR="00F96DEE" w:rsidRPr="00B14DF5" w:rsidRDefault="00F96DEE" w:rsidP="004C575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9E30F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القول الأول :</w:t>
      </w:r>
      <w:r w:rsidR="00B14DF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أنّ </w:t>
      </w:r>
      <w:r w:rsidR="00BA1702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>ال</w:t>
      </w:r>
      <w:r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صلاة على الجنازة في المسجد مكروهة , وبه قال الأحناف </w:t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9E30F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4"/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C24C1C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والمالكية </w:t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9E30F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5"/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F96DEE" w:rsidRPr="00B14DF5" w:rsidRDefault="004C5759" w:rsidP="004C575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القول الثاني</w:t>
      </w:r>
      <w:r w:rsidR="00F96DEE" w:rsidRPr="009E30F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:</w:t>
      </w:r>
      <w:r w:rsidR="00BA1702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>أنّ الص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لاة على الجنازة في المسجد جائزة</w:t>
      </w:r>
      <w:r w:rsidR="00BA1702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>, وبه قال الشافعية</w:t>
      </w:r>
      <w:r w:rsidR="00C24C1C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9E30F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6"/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BA1702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والحنابلة </w:t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9E30F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7"/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BA1702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BA1702" w:rsidRPr="009E30FE" w:rsidRDefault="00BA1702" w:rsidP="004C575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9E30F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ثالثاً : الأدلة :</w:t>
      </w:r>
    </w:p>
    <w:p w:rsidR="00BA1702" w:rsidRPr="004C5759" w:rsidRDefault="00BA1702" w:rsidP="004C5759">
      <w:pPr>
        <w:pStyle w:val="a5"/>
        <w:numPr>
          <w:ilvl w:val="0"/>
          <w:numId w:val="1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B14DF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أدلة أصحاب القول الأول :</w:t>
      </w:r>
      <w:r w:rsidRPr="004C5759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استدلوا بما يلي :</w:t>
      </w:r>
    </w:p>
    <w:p w:rsidR="00BA1702" w:rsidRPr="009E30FE" w:rsidRDefault="00B14DF5" w:rsidP="004C5759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B14DF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 :</w:t>
      </w:r>
      <w:r w:rsidR="00BA1702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أبي هريرة ـ رضي الله عنه ـ قال : قال رسول الله صلى الله عليه وسلم : (( من صلى على جنازة في المسجد فلا شيء له ))</w:t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9E30F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8"/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BA1702" w:rsidRPr="004C5759" w:rsidRDefault="00BA1702" w:rsidP="004C575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u w:val="single"/>
          <w:rtl/>
        </w:rPr>
      </w:pPr>
      <w:r w:rsidRPr="00B14DF5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lastRenderedPageBreak/>
        <w:t>وجه الدلالة :</w:t>
      </w:r>
      <w:r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>قوله " فلا شيء له " دل على كراهية الصلاة على الجنازة في المسجد .</w:t>
      </w:r>
    </w:p>
    <w:p w:rsidR="00BA1702" w:rsidRPr="009E30FE" w:rsidRDefault="00B14DF5" w:rsidP="009F22C8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B14DF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الثاني :</w:t>
      </w:r>
      <w:r w:rsidR="00BA1702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أبي هريرة ـ رضي الله عنه ـ : </w:t>
      </w:r>
      <w:r w:rsidR="009F22C8">
        <w:rPr>
          <w:rFonts w:ascii="Traditional Arabic" w:eastAsia="Calibri" w:hAnsi="Traditional Arabic" w:cs="Traditional Arabic" w:hint="cs"/>
          <w:sz w:val="36"/>
          <w:szCs w:val="36"/>
          <w:rtl/>
        </w:rPr>
        <w:t>((</w:t>
      </w:r>
      <w:r w:rsidR="00BA1702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أنّ رسول الله صلى الله عليه وسلم نعى</w:t>
      </w:r>
      <w:r w:rsidR="00EE0FF1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9E30F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9"/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BA1702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النجاشي في اليوم الذي مات فيه ؛ خرج إلى المصلى فصفّ بهم وكبر ثم خرج بالمسلمين إلى المصلى </w:t>
      </w:r>
      <w:r w:rsidR="009F22C8">
        <w:rPr>
          <w:rFonts w:ascii="Traditional Arabic" w:eastAsia="Calibri" w:hAnsi="Traditional Arabic" w:cs="Traditional Arabic" w:hint="cs"/>
          <w:sz w:val="36"/>
          <w:szCs w:val="36"/>
          <w:rtl/>
        </w:rPr>
        <w:t>))</w:t>
      </w:r>
      <w:r w:rsidR="00BA1702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9E30F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0"/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2B0F5C" w:rsidRPr="004C5759" w:rsidRDefault="002B0F5C" w:rsidP="004C575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u w:val="single"/>
          <w:rtl/>
        </w:rPr>
      </w:pPr>
      <w:r w:rsidRPr="00B14DF5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>وجه الدلالة :</w:t>
      </w:r>
      <w:r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دلّ الحديث على أنّه لا يُصلّى على الجنازة في المسجد ؛ لأن النبي صلى الله عليه وسلم أخبر بموته في المسجد , ثم خرج بالمسلمين إلى المصلى </w:t>
      </w:r>
      <w:r w:rsidR="00216FD8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9E30F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1"/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B14DF5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2B0F5C" w:rsidRPr="009E30FE" w:rsidRDefault="00B14DF5" w:rsidP="004C5759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B14DF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الثالث :</w:t>
      </w:r>
      <w:r w:rsidR="002B0F5C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أنّ المساجد إنما بُنيت للصلاة المكتوبة , وتوابعها من النوافل والذّكر وتدريس العلم , لا لأن تُحمل إليها الجنائز ؛ ليُصلى عليها فيها , والرسول صلى الله عليه وسلم قد جعل للجنائز مُصلى خاصاً بها , ولأنه ربما يخرج من الميت خارجٌ فيتلوث المسجد</w:t>
      </w:r>
      <w:r w:rsidR="00D60C6D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9E30F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2"/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2B0F5C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</w:t>
      </w:r>
    </w:p>
    <w:p w:rsidR="002B0F5C" w:rsidRPr="00B14DF5" w:rsidRDefault="002B0F5C" w:rsidP="004C5759">
      <w:pPr>
        <w:pStyle w:val="a5"/>
        <w:numPr>
          <w:ilvl w:val="0"/>
          <w:numId w:val="1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B14DF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lastRenderedPageBreak/>
        <w:t>أدلة أصحاب القول الثاني :</w:t>
      </w:r>
    </w:p>
    <w:p w:rsidR="002B0F5C" w:rsidRPr="009E30FE" w:rsidRDefault="00B14DF5" w:rsidP="004C5759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B14DF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 :</w:t>
      </w:r>
      <w:r w:rsidR="002B0F5C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أبي سلمة بن عبد الرحمن , أن</w:t>
      </w:r>
      <w:r w:rsidR="009F22C8">
        <w:rPr>
          <w:rFonts w:ascii="Traditional Arabic" w:eastAsia="Calibri" w:hAnsi="Traditional Arabic" w:cs="Traditional Arabic" w:hint="cs"/>
          <w:sz w:val="36"/>
          <w:szCs w:val="36"/>
          <w:rtl/>
        </w:rPr>
        <w:t>َّ</w:t>
      </w:r>
      <w:r w:rsidR="002B0F5C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عائشة ـ رضي الله عنها ـ  لما توفي سعد بن أبي وقاص ـ رضي الله عنه ـ قالت : (( ادخلوا به المسجد حتى أُصلي عليه , فأُنكر</w:t>
      </w:r>
      <w:r w:rsidR="002B0F5C" w:rsidRPr="009E30F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2B0F5C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>ذلك عليها , فقالت : والله لقد صلى رسول الله صلى الله عليه وسلم على ابني بيضاء في المسجد , سهيل وأخيه ))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9E30F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3"/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2B0F5C" w:rsidRPr="004C5759" w:rsidRDefault="002B0F5C" w:rsidP="004C575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u w:val="single"/>
          <w:rtl/>
        </w:rPr>
      </w:pPr>
      <w:r w:rsidRPr="00B14DF5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>وجه الدلالة :</w:t>
      </w:r>
      <w:r w:rsidRPr="009E30F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قال الإمام الشوكاني ـ رحمه الله ـ :</w:t>
      </w:r>
      <w:r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والحديث يدل على جواز إدخال الميت إلى المسجد , والصلاة عليه فيه " </w:t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9E30F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4"/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652760" w:rsidRPr="009E30FE" w:rsidRDefault="00B14DF5" w:rsidP="004C5759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B14DF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الثاني :</w:t>
      </w:r>
      <w:r w:rsidR="00652760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عروة بن الزبير </w:t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9E30F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5"/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652760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>ـ : " أنّ</w:t>
      </w:r>
      <w:r w:rsidR="009F22C8">
        <w:rPr>
          <w:rFonts w:ascii="Traditional Arabic" w:eastAsia="Calibri" w:hAnsi="Traditional Arabic" w:cs="Traditional Arabic" w:hint="cs"/>
          <w:sz w:val="36"/>
          <w:szCs w:val="36"/>
          <w:rtl/>
        </w:rPr>
        <w:t>َ</w:t>
      </w:r>
      <w:r w:rsidR="00652760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أبا بكر ـ رضي الله عنه ـ صُلِّي عليه في المسجد , ودفن ليلاً إلى جنب رسول الله صلى الله عليه وسلم في حجرة عائشة ـ رضي الله عنها ـ " </w:t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9E30F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6"/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652760" w:rsidRPr="009E30FE" w:rsidRDefault="00B14DF5" w:rsidP="004C5759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B14DF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الثالث :</w:t>
      </w:r>
      <w:r w:rsidR="00652760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ابن عمر ـ رضي الله عنهما ـ : " أنّ عمر صُلِّي عليه في المسجد , صلّى عليه صهيب ـ رضي الله عنه ـ "</w:t>
      </w:r>
      <w:r w:rsidR="00D87427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9E30FE" w:rsidRPr="003D503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7"/>
      </w:r>
      <w:r w:rsidR="009E30FE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652760" w:rsidRPr="00F72A6F" w:rsidRDefault="00652760" w:rsidP="004C575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u w:val="single"/>
          <w:rtl/>
        </w:rPr>
      </w:pPr>
      <w:r w:rsidRPr="00F72A6F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lastRenderedPageBreak/>
        <w:t>وجه الدلالة من الأثرين :</w:t>
      </w:r>
    </w:p>
    <w:p w:rsidR="00652760" w:rsidRPr="009E30FE" w:rsidRDefault="00652760" w:rsidP="004C5759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>دل الأثران على جواز الصلاة على الجنازة في المسجد .</w:t>
      </w:r>
    </w:p>
    <w:p w:rsidR="00652760" w:rsidRPr="009E30FE" w:rsidRDefault="00652760" w:rsidP="004C5759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9E30FE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رابعاً : الرأي الراجح :</w:t>
      </w:r>
    </w:p>
    <w:p w:rsidR="00652760" w:rsidRPr="009E30FE" w:rsidRDefault="00652760" w:rsidP="004C5759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>الذي يظهر</w:t>
      </w:r>
      <w:r w:rsidR="00B9763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لي رجحانه</w:t>
      </w:r>
      <w:r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ـ والعلم عند الله تعالى ـ  هو القول بجواز الصلاة على الجنازة في المسجد , وذلك لما يلي :</w:t>
      </w:r>
    </w:p>
    <w:p w:rsidR="00652760" w:rsidRPr="009E30FE" w:rsidRDefault="00B14DF5" w:rsidP="004C5759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ـ </w:t>
      </w:r>
      <w:r w:rsidR="00652760" w:rsidRPr="009E30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لقوة ما استدل به أصحاب القول الثاني من الأدلة الصريحة التي بينت ووضحت جواز الصلاة على الجنازة في المسجد .</w:t>
      </w:r>
    </w:p>
    <w:sectPr w:rsidR="00652760" w:rsidRPr="009E30FE" w:rsidSect="00891731">
      <w:headerReference w:type="default" r:id="rId8"/>
      <w:footerReference w:type="default" r:id="rId9"/>
      <w:footnotePr>
        <w:numRestart w:val="eachPage"/>
      </w:footnotePr>
      <w:pgSz w:w="11906" w:h="16838"/>
      <w:pgMar w:top="1245" w:right="1800" w:bottom="1440" w:left="1800" w:header="708" w:footer="708" w:gutter="0"/>
      <w:pgNumType w:fmt="numberInDash" w:start="69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D87" w:rsidRDefault="00757D87" w:rsidP="00F96DEE">
      <w:pPr>
        <w:spacing w:after="0" w:line="240" w:lineRule="auto"/>
      </w:pPr>
      <w:r>
        <w:separator/>
      </w:r>
    </w:p>
  </w:endnote>
  <w:endnote w:type="continuationSeparator" w:id="1">
    <w:p w:rsidR="00757D87" w:rsidRDefault="00757D87" w:rsidP="00F96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8601391"/>
      <w:docPartObj>
        <w:docPartGallery w:val="Page Numbers (Bottom of Page)"/>
        <w:docPartUnique/>
      </w:docPartObj>
    </w:sdtPr>
    <w:sdtContent>
      <w:p w:rsidR="00A760D1" w:rsidRDefault="00847C14" w:rsidP="00A760D1">
        <w:pPr>
          <w:pStyle w:val="a7"/>
          <w:jc w:val="center"/>
        </w:pPr>
        <w:fldSimple w:instr=" PAGE   \* MERGEFORMAT ">
          <w:r w:rsidR="00F72A6F">
            <w:rPr>
              <w:noProof/>
              <w:rtl/>
            </w:rPr>
            <w:t xml:space="preserve">- </w:t>
          </w:r>
          <w:r w:rsidR="00F72A6F" w:rsidRPr="00F72A6F">
            <w:rPr>
              <w:b/>
              <w:bCs/>
              <w:noProof/>
              <w:rtl/>
            </w:rPr>
            <w:t>702</w:t>
          </w:r>
          <w:r w:rsidR="00F72A6F">
            <w:rPr>
              <w:noProof/>
              <w:rtl/>
            </w:rPr>
            <w:t xml:space="preserve"> -</w:t>
          </w:r>
        </w:fldSimple>
      </w:p>
    </w:sdtContent>
  </w:sdt>
  <w:p w:rsidR="00A760D1" w:rsidRDefault="00A760D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D87" w:rsidRDefault="00757D87" w:rsidP="004C5759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757D87" w:rsidRDefault="00757D87" w:rsidP="004C5759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0A49DD" w:rsidRPr="004A25C1" w:rsidRDefault="000A49DD" w:rsidP="004C5759">
      <w:pPr>
        <w:pStyle w:val="a3"/>
        <w:ind w:left="368" w:hanging="426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4A25C1">
        <w:rPr>
          <w:rStyle w:val="a4"/>
          <w:rFonts w:ascii="Traditional Arabic" w:hAnsi="Traditional Arabic" w:cs="Traditional Arabic"/>
          <w:sz w:val="32"/>
          <w:szCs w:val="32"/>
          <w:rtl/>
        </w:rPr>
        <w:t>(</w:t>
      </w:r>
      <w:r w:rsidRPr="004A25C1">
        <w:rPr>
          <w:rStyle w:val="a4"/>
          <w:rFonts w:ascii="Traditional Arabic" w:hAnsi="Traditional Arabic" w:cs="Traditional Arabic"/>
          <w:sz w:val="32"/>
          <w:szCs w:val="32"/>
          <w:rtl/>
        </w:rPr>
        <w:footnoteRef/>
      </w:r>
      <w:r w:rsidRPr="004A25C1">
        <w:rPr>
          <w:rStyle w:val="a4"/>
          <w:rFonts w:ascii="Traditional Arabic" w:hAnsi="Traditional Arabic" w:cs="Traditional Arabic"/>
          <w:sz w:val="32"/>
          <w:szCs w:val="32"/>
          <w:rtl/>
        </w:rPr>
        <w:t>)</w:t>
      </w:r>
      <w:r w:rsidRPr="004A25C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الجنازة بكسر الجيم , وفتحها لغتان مشهورتان , وقيل بالفتح للميت , وبالكسر للنعش , وعليه الميت , وقيل عكسه , حكاه صاحب مطالع الأنوار , والجمع جنائز بفتح الجيم لا غير , وهو مشتق من جنز بفتح الجيم ـ يجنز ـ بكسر النون , إذا ستر , قاله ابن فارس . </w:t>
      </w:r>
    </w:p>
    <w:p w:rsidR="000A49DD" w:rsidRPr="003D5033" w:rsidRDefault="000A49DD" w:rsidP="004C5759">
      <w:pPr>
        <w:pStyle w:val="a3"/>
        <w:ind w:left="368"/>
        <w:jc w:val="lowKashida"/>
        <w:rPr>
          <w:rFonts w:ascii="Traditional Arabic" w:hAnsi="Traditional Arabic" w:cs="Traditional Arabic"/>
          <w:sz w:val="32"/>
          <w:szCs w:val="32"/>
        </w:rPr>
      </w:pPr>
      <w:r w:rsidRPr="004A25C1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المجموع ( 5/94)</w:t>
      </w:r>
      <w:r>
        <w:rPr>
          <w:rFonts w:hint="cs"/>
          <w:rtl/>
        </w:rPr>
        <w:t xml:space="preserve"> .  </w:t>
      </w:r>
    </w:p>
  </w:footnote>
  <w:footnote w:id="3">
    <w:p w:rsidR="009E30FE" w:rsidRPr="003D5033" w:rsidRDefault="009E30FE" w:rsidP="00B97638">
      <w:pPr>
        <w:pStyle w:val="a3"/>
        <w:ind w:left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>انظر : مرعاة المفاتيح ( 5 / 374 ) .</w:t>
      </w:r>
    </w:p>
  </w:footnote>
  <w:footnote w:id="4">
    <w:p w:rsidR="00153209" w:rsidRDefault="009E30FE" w:rsidP="004C5759">
      <w:pPr>
        <w:pStyle w:val="a3"/>
        <w:ind w:left="368" w:hanging="426"/>
        <w:jc w:val="lowKashida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انظر : </w:t>
      </w:r>
      <w:r w:rsidR="00153209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الجامع الصغير مع شرحه النافع الكبير (1/482) , المبسوط (2/68) , 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البحر الرائق </w:t>
      </w:r>
    </w:p>
    <w:p w:rsidR="009E30FE" w:rsidRPr="009E30FE" w:rsidRDefault="009E30FE" w:rsidP="00B97638">
      <w:pPr>
        <w:pStyle w:val="a3"/>
        <w:ind w:left="368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>(2 / 201 ) , فتح القدير ( 2 / 128 )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الفتاوى الهندية </w:t>
      </w:r>
      <w:r w:rsidR="00153209">
        <w:rPr>
          <w:rFonts w:ascii="Traditional Arabic" w:eastAsia="Calibri" w:hAnsi="Traditional Arabic" w:cs="Traditional Arabic" w:hint="cs"/>
          <w:sz w:val="32"/>
          <w:szCs w:val="32"/>
          <w:rtl/>
        </w:rPr>
        <w:t>(1/165) .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</w:p>
  </w:footnote>
  <w:footnote w:id="5">
    <w:p w:rsidR="009E30FE" w:rsidRPr="00153209" w:rsidRDefault="009E30FE" w:rsidP="004C5759">
      <w:pPr>
        <w:pStyle w:val="a3"/>
        <w:ind w:left="368" w:hanging="426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انظر :</w:t>
      </w:r>
      <w:r w:rsidR="00153209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المدونة (1/254) , البيان والتحصيل (2/230) ,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التمهيد ( 21/220 ) , مواهب الجليل ( 2 / 239 ) , حاشية الدسوقي ( 2 / 137 ) .</w:t>
      </w:r>
      <w:r w:rsidRPr="003D503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</w:footnote>
  <w:footnote w:id="6">
    <w:p w:rsidR="009E30FE" w:rsidRPr="003D5033" w:rsidRDefault="009E30FE" w:rsidP="004C575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الأم ( 1 / 211 ) ,</w:t>
      </w:r>
      <w:r w:rsidR="00153209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المجموع (5/ 167) , مغني المحتا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>ج (1 / 361 ) .</w:t>
      </w:r>
    </w:p>
  </w:footnote>
  <w:footnote w:id="7">
    <w:p w:rsidR="009E30FE" w:rsidRPr="003D5033" w:rsidRDefault="009E30FE" w:rsidP="004C575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>انظر: المغني (3/421) , المبدع (2 / 263 ) , الإنصاف ( 2 / 538 ) .</w:t>
      </w:r>
    </w:p>
  </w:footnote>
  <w:footnote w:id="8">
    <w:p w:rsidR="004C5759" w:rsidRDefault="009E30FE" w:rsidP="004C5759">
      <w:pPr>
        <w:pStyle w:val="a3"/>
        <w:ind w:left="368" w:hanging="426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>أخرجه أحمد في المسند (15/454)</w:t>
      </w:r>
      <w:r w:rsidR="00153209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(9865)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وأبو داود في سننه , </w:t>
      </w:r>
      <w:r w:rsidR="00153209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في كتاب الجنائز , </w:t>
      </w:r>
    </w:p>
    <w:p w:rsidR="009E30FE" w:rsidRDefault="009E30FE" w:rsidP="004C5759">
      <w:pPr>
        <w:pStyle w:val="a3"/>
        <w:ind w:left="368"/>
        <w:rPr>
          <w:rtl/>
        </w:rPr>
      </w:pP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>باب الصلاة على الجنازة في المسجد (3/207)</w:t>
      </w:r>
      <w:r w:rsidR="00153209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(3191)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والبيهقي في السنن الكبرى ,</w:t>
      </w:r>
      <w:r w:rsidR="00153209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الصلاة على الجنازة في المسجد (4/86)</w:t>
      </w:r>
      <w:r w:rsidR="00153209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(7040)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وقال " فهذا حديث رواه جماعة عن ابن أبي ذئب صالح ـ مولى التوأمة ـ , وهو يُعد في أفراد صالح , وحديث عائشة ـ رضي الله عنها ـ أصح منه , وصالح ـ مولى التوأمة ـ مختلف في عدالته , كان مالك بن أنس يجرحه والله أعلم " .</w:t>
      </w:r>
      <w:r>
        <w:rPr>
          <w:rFonts w:hint="cs"/>
          <w:rtl/>
        </w:rPr>
        <w:t xml:space="preserve"> </w:t>
      </w:r>
    </w:p>
    <w:p w:rsidR="009E30FE" w:rsidRPr="009E30FE" w:rsidRDefault="009E30FE" w:rsidP="00B97638">
      <w:pPr>
        <w:pStyle w:val="a3"/>
        <w:ind w:left="368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قال ابن عبد البر : " .... وصالح مولى التوأمة من أهل العلم بالحديث , منهم من لا يقبل شيئاً منه لضعفه , ومنهم من يقبل من حديثه ما رواه ابن أبي ذئب عنه خاصة ؛ لأنه سمع منه قبل الاختلاط , ولا خلاف أنه اختلط , فكان لا يضبط ولا يعرف ما يأتي به , ومثل هذا ليس بحجة فيما انفرد به , وليس يُعرف هذا الحديث من غير رواته البتة " . انظر : التمهيد (21/222) .  </w:t>
      </w:r>
    </w:p>
    <w:p w:rsidR="009E30FE" w:rsidRPr="009E30FE" w:rsidRDefault="009E30FE" w:rsidP="00B97638">
      <w:pPr>
        <w:pStyle w:val="a3"/>
        <w:ind w:left="368"/>
      </w:pP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>وقال عنه الأرناؤوط في تحقيق المسند (15/454) : إسناده ضعيف .</w:t>
      </w:r>
    </w:p>
  </w:footnote>
  <w:footnote w:id="9">
    <w:p w:rsidR="009E30FE" w:rsidRPr="003D5033" w:rsidRDefault="009E30FE" w:rsidP="004C575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>النّعي : ينعى نعياً , وجاءنا نعي فلان , وهو خبر موته , والنعي بوزن فعيل , نداء الناعي , والنعي أيضاً هو الرجل الذي ينعى . انظر : تهذيب اللغة (3/138) .</w:t>
      </w:r>
      <w:r>
        <w:rPr>
          <w:rFonts w:hint="cs"/>
          <w:rtl/>
        </w:rPr>
        <w:t xml:space="preserve"> </w:t>
      </w:r>
      <w:r w:rsidRPr="003D503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</w:footnote>
  <w:footnote w:id="10">
    <w:p w:rsidR="009E30FE" w:rsidRPr="003D5033" w:rsidRDefault="009E30FE" w:rsidP="004C575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="00B14DF5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متفق عليه , 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البخاري في صحيحه , في كتاب الجنائز , باب الرجل ينعى إلى أهل الميت بنفسه (2/72) برقم (1245) , ومسلم في صحيحه , في كتاب الجنائز , باب في التكبير في الجنازة (2/656) برقم (951) .</w:t>
      </w:r>
    </w:p>
  </w:footnote>
  <w:footnote w:id="11">
    <w:p w:rsidR="009E30FE" w:rsidRPr="003D5033" w:rsidRDefault="009E30FE" w:rsidP="004C575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>انظر : عمدة القاري (8 / 20) .</w:t>
      </w:r>
    </w:p>
  </w:footnote>
  <w:footnote w:id="12">
    <w:p w:rsidR="009E30FE" w:rsidRPr="003D5033" w:rsidRDefault="009E30FE" w:rsidP="004C575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البحر الرائق (2 / 201 ) , فتح القدير (2 / 128 ) .</w:t>
      </w:r>
    </w:p>
  </w:footnote>
  <w:footnote w:id="13">
    <w:p w:rsidR="009E30FE" w:rsidRPr="003D5033" w:rsidRDefault="009E30FE" w:rsidP="004C575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>أخرجه مسلم في صحيحه , في كتاب الجنائز , باب الصلاة على الجنازة في المسجد (2/669) برقم (973) .</w:t>
      </w:r>
    </w:p>
  </w:footnote>
  <w:footnote w:id="14">
    <w:p w:rsidR="009E30FE" w:rsidRPr="003D5033" w:rsidRDefault="009E30FE" w:rsidP="004C575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>انظر : نيل الأوطار (7 / 380)  .</w:t>
      </w:r>
    </w:p>
  </w:footnote>
  <w:footnote w:id="15">
    <w:p w:rsidR="009E30FE" w:rsidRPr="003D5033" w:rsidRDefault="009E30FE" w:rsidP="004C575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>أبو عبد الله عروة بن الزبير بن العوام , الأسدي المدني الفقيه الحافظ , ولد سنة 29 هـ , وحفظ عن والده , وكان صواماً قواماً , ومما اشتهر عنه أنه قطعت رجلاه وهو في الصلاة ؛ لآكلة وقعت به , ولم يشعر بذلك , قال الزهري : رأيت عروة بحراً لا ينزف , توفي سنة 94 هـ , وهذه السنة تسمى بسنة الفقهاء ؛ لأنه مات فيها جماعة منهم . انظر : أسد الغابة ( 3/ 567) .</w:t>
      </w:r>
    </w:p>
  </w:footnote>
  <w:footnote w:id="16">
    <w:p w:rsidR="009E30FE" w:rsidRPr="009E30FE" w:rsidRDefault="009E30FE" w:rsidP="004C5759">
      <w:pPr>
        <w:pStyle w:val="a3"/>
        <w:ind w:left="368" w:hanging="426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153209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البيهقي في السنن الكبرى ,</w:t>
      </w:r>
      <w:r w:rsidR="00153209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الصلاة على الجنازة في المسجد (4/86)</w:t>
      </w:r>
      <w:r w:rsidR="00153209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(7038)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وعبد الرزاق في المصنف , </w:t>
      </w:r>
      <w:r w:rsidR="00C3381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في كتاب الجنائز , 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>باب الصلاة على الجنازة في المسجد (3/526)</w:t>
      </w:r>
      <w:r w:rsidR="00C3381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(6567)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وابن أبي شيبة في المصنف ,</w:t>
      </w:r>
      <w:r w:rsidR="00C3381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في الصلاة على الميت في المسجد من لم ير به بأساً (3/44)</w:t>
      </w:r>
      <w:r w:rsidR="00C3381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(11967)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</w:p>
    <w:p w:rsidR="009E30FE" w:rsidRPr="003D5033" w:rsidRDefault="009E30FE" w:rsidP="004C5759">
      <w:pPr>
        <w:pStyle w:val="a3"/>
        <w:ind w:left="368"/>
        <w:jc w:val="lowKashida"/>
        <w:rPr>
          <w:rFonts w:ascii="Traditional Arabic" w:hAnsi="Traditional Arabic" w:cs="Traditional Arabic"/>
          <w:sz w:val="32"/>
          <w:szCs w:val="32"/>
        </w:rPr>
      </w:pP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والأثر صحيح صححه ابن </w:t>
      </w:r>
      <w:r w:rsidR="00C3381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حجر في 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تلخيص الحبير (2/ 295) .</w:t>
      </w:r>
    </w:p>
  </w:footnote>
  <w:footnote w:id="17">
    <w:p w:rsidR="004C5759" w:rsidRDefault="009E30FE" w:rsidP="004C5759">
      <w:pPr>
        <w:pStyle w:val="a3"/>
        <w:ind w:left="368" w:hanging="426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3D503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153209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="00C3381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أخرجه 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>البيهقي في السنن الكبرى ,</w:t>
      </w:r>
      <w:r w:rsidR="00C3381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,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الصلاة على الجنازة في المسجد </w:t>
      </w:r>
    </w:p>
    <w:p w:rsidR="004C5759" w:rsidRDefault="009E30FE" w:rsidP="004C5759">
      <w:pPr>
        <w:pStyle w:val="a3"/>
        <w:ind w:left="368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>(4/86)</w:t>
      </w:r>
      <w:r w:rsidR="00C3381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(7039)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وابن أبي شيبة في المصنف ,</w:t>
      </w:r>
      <w:r w:rsidR="00C3381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الجنائز .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في الصلاة </w:t>
      </w:r>
    </w:p>
    <w:p w:rsidR="009E30FE" w:rsidRPr="009E30FE" w:rsidRDefault="009E30FE" w:rsidP="004C5759">
      <w:pPr>
        <w:pStyle w:val="a3"/>
        <w:ind w:left="368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>على الميت في المسجد من لم ير به بأساً (3/44)</w:t>
      </w:r>
      <w:r w:rsidR="00C3381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(11969)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</w:p>
    <w:p w:rsidR="009E30FE" w:rsidRDefault="009E30FE" w:rsidP="004C5759">
      <w:pPr>
        <w:pStyle w:val="a3"/>
        <w:ind w:left="368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والأثر صحيح صححه النووي في خلاصة </w:t>
      </w:r>
      <w:r w:rsidR="00C3381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الأحكام (2/965) , وابن حجر في </w:t>
      </w: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تلخيص الحبير </w:t>
      </w:r>
    </w:p>
    <w:p w:rsidR="009E30FE" w:rsidRPr="009E30FE" w:rsidRDefault="009E30FE" w:rsidP="004C5759">
      <w:pPr>
        <w:pStyle w:val="a3"/>
        <w:ind w:left="368" w:hanging="426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9E30F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(2/ 295) .  </w:t>
      </w:r>
    </w:p>
    <w:p w:rsidR="009E30FE" w:rsidRPr="003D5033" w:rsidRDefault="009E30FE" w:rsidP="004C5759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3D503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raditional Arabic" w:eastAsia="Calibri" w:hAnsi="Traditional Arabic" w:cs="mohammad bold art 1"/>
        <w:sz w:val="24"/>
        <w:szCs w:val="24"/>
        <w:rtl/>
      </w:rPr>
      <w:alias w:val="العنوان"/>
      <w:id w:val="77738743"/>
      <w:placeholder>
        <w:docPart w:val="6708C91595E64BFC988BEB6CE4E67B0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C5759" w:rsidRPr="004C5759" w:rsidRDefault="004C5759" w:rsidP="004C5759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4C5759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المطلب</w:t>
        </w:r>
        <w:r w:rsidRPr="004C5759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4C5759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الأول</w:t>
        </w:r>
        <w:r w:rsidRPr="004C5759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: </w:t>
        </w:r>
        <w:r w:rsidRPr="004C5759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حكم</w:t>
        </w:r>
        <w:r w:rsidRPr="004C5759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4C5759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صلاة</w:t>
        </w:r>
        <w:r w:rsidRPr="004C5759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4C5759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الجنازة</w:t>
        </w:r>
        <w:r w:rsidRPr="004C5759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4C5759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في</w:t>
        </w:r>
        <w:r w:rsidRPr="004C5759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4C5759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المسجد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0516E"/>
    <w:multiLevelType w:val="hybridMultilevel"/>
    <w:tmpl w:val="12E8C566"/>
    <w:lvl w:ilvl="0" w:tplc="53789D60">
      <w:numFmt w:val="bullet"/>
      <w:lvlText w:val=""/>
      <w:lvlJc w:val="left"/>
      <w:pPr>
        <w:ind w:left="720" w:hanging="360"/>
      </w:pPr>
      <w:rPr>
        <w:rFonts w:ascii="Symbol" w:eastAsia="Calibr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F96DEE"/>
    <w:rsid w:val="000A49DD"/>
    <w:rsid w:val="00153209"/>
    <w:rsid w:val="00201390"/>
    <w:rsid w:val="0021144A"/>
    <w:rsid w:val="00216FD8"/>
    <w:rsid w:val="0026407E"/>
    <w:rsid w:val="002A4471"/>
    <w:rsid w:val="002B0F5C"/>
    <w:rsid w:val="002F43A5"/>
    <w:rsid w:val="003321D9"/>
    <w:rsid w:val="003C7851"/>
    <w:rsid w:val="003F6C7F"/>
    <w:rsid w:val="004C5759"/>
    <w:rsid w:val="004E7610"/>
    <w:rsid w:val="005570FB"/>
    <w:rsid w:val="0056473E"/>
    <w:rsid w:val="005C4282"/>
    <w:rsid w:val="00631702"/>
    <w:rsid w:val="00652760"/>
    <w:rsid w:val="00662DB0"/>
    <w:rsid w:val="006E5BE8"/>
    <w:rsid w:val="00757D87"/>
    <w:rsid w:val="00785486"/>
    <w:rsid w:val="007A58D6"/>
    <w:rsid w:val="007C42DB"/>
    <w:rsid w:val="00811A64"/>
    <w:rsid w:val="0083758E"/>
    <w:rsid w:val="00842E41"/>
    <w:rsid w:val="00847C14"/>
    <w:rsid w:val="00891731"/>
    <w:rsid w:val="009C38DB"/>
    <w:rsid w:val="009E30FE"/>
    <w:rsid w:val="009F22C8"/>
    <w:rsid w:val="00A760D1"/>
    <w:rsid w:val="00AD092D"/>
    <w:rsid w:val="00B14DF5"/>
    <w:rsid w:val="00B97638"/>
    <w:rsid w:val="00BA1702"/>
    <w:rsid w:val="00BD5164"/>
    <w:rsid w:val="00C24C1C"/>
    <w:rsid w:val="00C33811"/>
    <w:rsid w:val="00C4225A"/>
    <w:rsid w:val="00D16BE9"/>
    <w:rsid w:val="00D55F2D"/>
    <w:rsid w:val="00D60C6D"/>
    <w:rsid w:val="00D741AF"/>
    <w:rsid w:val="00D87427"/>
    <w:rsid w:val="00DA1775"/>
    <w:rsid w:val="00DB177C"/>
    <w:rsid w:val="00E8462B"/>
    <w:rsid w:val="00EE0FF1"/>
    <w:rsid w:val="00F038DD"/>
    <w:rsid w:val="00F72A6F"/>
    <w:rsid w:val="00F96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16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F96DEE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F96DEE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F96DEE"/>
    <w:rPr>
      <w:vertAlign w:val="superscript"/>
    </w:rPr>
  </w:style>
  <w:style w:type="paragraph" w:styleId="a5">
    <w:name w:val="List Paragraph"/>
    <w:basedOn w:val="a"/>
    <w:uiPriority w:val="34"/>
    <w:qFormat/>
    <w:rsid w:val="00B14DF5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4C575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4C5759"/>
  </w:style>
  <w:style w:type="paragraph" w:styleId="a7">
    <w:name w:val="footer"/>
    <w:basedOn w:val="a"/>
    <w:link w:val="Char1"/>
    <w:uiPriority w:val="99"/>
    <w:unhideWhenUsed/>
    <w:rsid w:val="004C575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4C5759"/>
  </w:style>
  <w:style w:type="paragraph" w:styleId="a8">
    <w:name w:val="Balloon Text"/>
    <w:basedOn w:val="a"/>
    <w:link w:val="Char2"/>
    <w:uiPriority w:val="99"/>
    <w:semiHidden/>
    <w:unhideWhenUsed/>
    <w:rsid w:val="004C5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4C57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08C91595E64BFC988BEB6CE4E67B0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F4498F3-36DF-4444-ACA7-7DD55B04F71B}"/>
      </w:docPartPr>
      <w:docPartBody>
        <w:p w:rsidR="00651ED5" w:rsidRDefault="006B3755" w:rsidP="006B3755">
          <w:pPr>
            <w:pStyle w:val="6708C91595E64BFC988BEB6CE4E67B08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B3755"/>
    <w:rsid w:val="001D36DF"/>
    <w:rsid w:val="005B407E"/>
    <w:rsid w:val="00651ED5"/>
    <w:rsid w:val="006A0D40"/>
    <w:rsid w:val="006B3755"/>
    <w:rsid w:val="009F7855"/>
    <w:rsid w:val="00B12070"/>
    <w:rsid w:val="00F34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D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708C91595E64BFC988BEB6CE4E67B08">
    <w:name w:val="6708C91595E64BFC988BEB6CE4E67B08"/>
    <w:rsid w:val="006B375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9077B-A9B1-4AE0-B460-83A8BEF59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الأول : حكم صلاة الجنازة في المسجد</dc:title>
  <dc:creator>toshiba</dc:creator>
  <cp:lastModifiedBy>xp</cp:lastModifiedBy>
  <cp:revision>14</cp:revision>
  <dcterms:created xsi:type="dcterms:W3CDTF">2012-07-31T11:48:00Z</dcterms:created>
  <dcterms:modified xsi:type="dcterms:W3CDTF">2012-09-23T23:51:00Z</dcterms:modified>
</cp:coreProperties>
</file>