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5C" w:rsidRPr="00A07B3E" w:rsidRDefault="00180C6D" w:rsidP="00DF1D48">
      <w:pPr>
        <w:spacing w:after="0" w:line="240" w:lineRule="auto"/>
        <w:jc w:val="center"/>
        <w:rPr>
          <w:rStyle w:val="a5"/>
          <w:rFonts w:ascii="Traditional Arabic" w:eastAsiaTheme="majorEastAsia" w:hAnsi="Traditional Arabic" w:cs="AL-Mateen"/>
          <w:b/>
          <w:bCs/>
          <w:i w:val="0"/>
          <w:iCs w:val="0"/>
          <w:noProof/>
          <w:sz w:val="36"/>
          <w:szCs w:val="36"/>
          <w:rtl/>
        </w:rPr>
      </w:pPr>
      <w:r w:rsidRPr="00A07B3E">
        <w:rPr>
          <w:rStyle w:val="a5"/>
          <w:rFonts w:ascii="Traditional Arabic" w:eastAsiaTheme="majorEastAsia" w:hAnsi="Traditional Arabic" w:cs="AL-Mateen" w:hint="cs"/>
          <w:b/>
          <w:bCs/>
          <w:i w:val="0"/>
          <w:iCs w:val="0"/>
          <w:noProof/>
          <w:sz w:val="36"/>
          <w:szCs w:val="36"/>
          <w:rtl/>
        </w:rPr>
        <w:t>المطلب السابع : صلاة الكسوف منفرداً</w:t>
      </w:r>
      <w:r w:rsidR="00A07B3E">
        <w:rPr>
          <w:rStyle w:val="a5"/>
          <w:rFonts w:ascii="Traditional Arabic" w:eastAsiaTheme="majorEastAsia" w:hAnsi="Traditional Arabic" w:cs="AL-Mateen" w:hint="cs"/>
          <w:b/>
          <w:bCs/>
          <w:i w:val="0"/>
          <w:iCs w:val="0"/>
          <w:noProof/>
          <w:sz w:val="36"/>
          <w:szCs w:val="36"/>
          <w:rtl/>
        </w:rPr>
        <w:t xml:space="preserve"> .</w:t>
      </w:r>
    </w:p>
    <w:p w:rsidR="00180C6D" w:rsidRPr="00DF1D48" w:rsidRDefault="00180C6D" w:rsidP="00DF1D48">
      <w:pPr>
        <w:spacing w:after="0" w:line="240" w:lineRule="auto"/>
        <w:rPr>
          <w:rStyle w:val="a5"/>
          <w:rFonts w:ascii="Traditional Arabic" w:eastAsiaTheme="majorEastAsia" w:hAnsi="Traditional Arabic" w:cs="Traditional Arabic"/>
          <w:b/>
          <w:bCs/>
          <w:i w:val="0"/>
          <w:iCs w:val="0"/>
          <w:noProof/>
          <w:sz w:val="36"/>
          <w:szCs w:val="36"/>
          <w:rtl/>
        </w:rPr>
      </w:pPr>
      <w:r w:rsidRPr="00DF1D48">
        <w:rPr>
          <w:rStyle w:val="a5"/>
          <w:rFonts w:ascii="Traditional Arabic" w:eastAsiaTheme="majorEastAsia" w:hAnsi="Traditional Arabic" w:cs="Traditional Arabic" w:hint="cs"/>
          <w:b/>
          <w:bCs/>
          <w:i w:val="0"/>
          <w:iCs w:val="0"/>
          <w:noProof/>
          <w:sz w:val="36"/>
          <w:szCs w:val="36"/>
          <w:rtl/>
        </w:rPr>
        <w:t>أولاً : رأي الشيخ المباركفوري ـ رحمه الله ـ في المسألة :</w:t>
      </w:r>
    </w:p>
    <w:p w:rsidR="00180C6D" w:rsidRPr="00DF1D48" w:rsidRDefault="00180C6D" w:rsidP="00DF1D48">
      <w:pPr>
        <w:spacing w:after="0" w:line="240" w:lineRule="auto"/>
        <w:rPr>
          <w:rStyle w:val="a5"/>
          <w:rFonts w:ascii="Traditional Arabic" w:eastAsiaTheme="majorEastAsia" w:hAnsi="Traditional Arabic" w:cs="Traditional Arabic"/>
          <w:b/>
          <w:bCs/>
          <w:i w:val="0"/>
          <w:iCs w:val="0"/>
          <w:noProof/>
          <w:sz w:val="36"/>
          <w:szCs w:val="36"/>
          <w:rtl/>
        </w:rPr>
      </w:pPr>
      <w:r w:rsidRPr="00DF1D48">
        <w:rPr>
          <w:rStyle w:val="a5"/>
          <w:rFonts w:ascii="Traditional Arabic" w:eastAsiaTheme="majorEastAsia" w:hAnsi="Traditional Arabic" w:cs="Traditional Arabic" w:hint="cs"/>
          <w:b/>
          <w:bCs/>
          <w:i w:val="0"/>
          <w:iCs w:val="0"/>
          <w:noProof/>
          <w:sz w:val="36"/>
          <w:szCs w:val="36"/>
          <w:rtl/>
        </w:rPr>
        <w:t xml:space="preserve">قال ـ رحمه الله ـ : 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noProof/>
          <w:sz w:val="36"/>
          <w:szCs w:val="36"/>
          <w:rtl/>
        </w:rPr>
        <w:t xml:space="preserve">" </w:t>
      </w:r>
      <w:r w:rsidR="005322D1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noProof/>
          <w:sz w:val="36"/>
          <w:szCs w:val="36"/>
          <w:rtl/>
        </w:rPr>
        <w:t xml:space="preserve">والراجح عندي أنه يجوز الأمران الانفراد والتجميع فيهما " </w:t>
      </w:r>
      <w:r w:rsidR="00AD636D"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t>(</w:t>
      </w:r>
      <w:r w:rsidR="00AD636D"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footnoteReference w:id="2"/>
      </w:r>
      <w:r w:rsidR="00AD636D"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t>)</w:t>
      </w:r>
      <w:r w:rsidR="005322D1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noProof/>
          <w:sz w:val="36"/>
          <w:szCs w:val="36"/>
          <w:rtl/>
        </w:rPr>
        <w:t>.</w:t>
      </w:r>
    </w:p>
    <w:p w:rsidR="005322D1" w:rsidRPr="00DF1D48" w:rsidRDefault="005322D1" w:rsidP="00DF1D48">
      <w:pPr>
        <w:spacing w:after="0" w:line="240" w:lineRule="auto"/>
        <w:rPr>
          <w:rStyle w:val="a5"/>
          <w:rFonts w:ascii="Traditional Arabic" w:eastAsiaTheme="majorEastAsia" w:hAnsi="Traditional Arabic" w:cs="Traditional Arabic"/>
          <w:b/>
          <w:bCs/>
          <w:i w:val="0"/>
          <w:iCs w:val="0"/>
          <w:noProof/>
          <w:sz w:val="36"/>
          <w:szCs w:val="36"/>
          <w:rtl/>
        </w:rPr>
      </w:pPr>
      <w:r w:rsidRPr="00DF1D48">
        <w:rPr>
          <w:rStyle w:val="a5"/>
          <w:rFonts w:ascii="Traditional Arabic" w:eastAsiaTheme="majorEastAsia" w:hAnsi="Traditional Arabic" w:cs="Traditional Arabic" w:hint="cs"/>
          <w:b/>
          <w:bCs/>
          <w:i w:val="0"/>
          <w:iCs w:val="0"/>
          <w:noProof/>
          <w:sz w:val="36"/>
          <w:szCs w:val="36"/>
          <w:rtl/>
        </w:rPr>
        <w:t>ثانياً : أقوال العلماء في المسالة :</w:t>
      </w:r>
    </w:p>
    <w:p w:rsidR="005322D1" w:rsidRPr="00DF1D48" w:rsidRDefault="005322D1" w:rsidP="00DF1D48">
      <w:pPr>
        <w:pStyle w:val="a6"/>
        <w:jc w:val="both"/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</w:pP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لا خلاف بين أهل العلم – رحمهم الله- في مشروعية الجماعة لصلاة الكسوف. وهو مذهب الحنفية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3"/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, والمالكية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4"/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, والشافعية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5"/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, والحنابلة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6"/>
      </w: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Pr="00DF1D48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 xml:space="preserve"> .</w:t>
      </w:r>
    </w:p>
    <w:p w:rsidR="005322D1" w:rsidRPr="00DF1D48" w:rsidRDefault="005322D1" w:rsidP="00DF1D48">
      <w:pPr>
        <w:pStyle w:val="a6"/>
        <w:jc w:val="both"/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</w:pPr>
      <w:r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واستدلوا على ذلك بما يأتي:</w:t>
      </w:r>
    </w:p>
    <w:p w:rsidR="005322D1" w:rsidRPr="00DF1D48" w:rsidRDefault="00573112" w:rsidP="00DF1D48">
      <w:pPr>
        <w:pStyle w:val="a6"/>
        <w:jc w:val="both"/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</w:pPr>
      <w:r w:rsidRPr="00DF1D48">
        <w:rPr>
          <w:rStyle w:val="a5"/>
          <w:rFonts w:ascii="Traditional Arabic" w:hAnsi="Traditional Arabic" w:cs="Traditional Arabic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>الدليل الأول :</w:t>
      </w:r>
      <w:r w:rsidRPr="00DF1D48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 xml:space="preserve">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عن عائشة – رضي الله عنها- زوج النبي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  <w:sym w:font="AGA Arabesque" w:char="F072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 قالت: (( خسفت الشمس في حياة النبي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  <w:sym w:font="AGA Arabesque" w:char="F072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, فخرج إلى المسجد فصف الناس وراءه فكبر, فاقترأ رسول الله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  <w:sym w:font="AGA Arabesque" w:char="F072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 قراءة طويلة, ثم كبر فركع ركوعا طويلا, ثم قال: سمع الله لمن حمده, فقام ولم يسجد, وقرأ قراءة طويلة هي أدنى من القراءة الأولى, ثم كبر وركع ركوعا طويلا, وهو أدنى من الركوع الأول, ثم قال: سمع الله لمن حمده, ربنا ولك الحمد, ثم سجد, ثم قال في الركعة الأخرة مثل ذلك, فاستكمل أربع ركعات في أربع سجدات))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7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.</w:t>
      </w:r>
    </w:p>
    <w:p w:rsidR="005322D1" w:rsidRPr="00DF1D48" w:rsidRDefault="00573112" w:rsidP="00DF1D48">
      <w:pPr>
        <w:pStyle w:val="a6"/>
        <w:jc w:val="both"/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</w:pPr>
      <w:r w:rsidRPr="00DF1D48">
        <w:rPr>
          <w:rStyle w:val="a5"/>
          <w:rFonts w:ascii="Traditional Arabic" w:hAnsi="Traditional Arabic" w:cs="Traditional Arabic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>الدليل الثاني :</w:t>
      </w:r>
      <w:r w:rsidRPr="00DF1D48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 xml:space="preserve">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عن جابر بن عبد الله – رضي الله عنهما-, قال: </w:t>
      </w:r>
      <w:r w:rsidR="008078CC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>(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(كسفت الشمس على عهد رسول الله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  <w:sym w:font="AGA Arabesque" w:char="F072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 في يوم شديد الحر, فصلى رسول الله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</w:rPr>
        <w:sym w:font="AGA Arabesque" w:char="F072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 xml:space="preserve"> بأصحابه فأطال القيام حتى 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lastRenderedPageBreak/>
        <w:t>جعلوا يخرون, ثم ركع فأطال, ثم رفع فأطال, ثم ركع فأطال, ثم رفع فأطال, ثم سجد سجدتين, ثم قام فصنع نحواً من ذاك, فكانت أربع ركعات وأربع سجدات)</w:t>
      </w:r>
      <w:r w:rsidR="008078CC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>)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(</w:t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footnoteReference w:id="8"/>
      </w:r>
      <w:r w:rsidR="005322D1" w:rsidRPr="00DF1D48">
        <w:rPr>
          <w:rStyle w:val="a5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vertAlign w:val="superscript"/>
          <w:rtl/>
        </w:rPr>
        <w:t>)</w:t>
      </w:r>
      <w:r w:rsidR="00223A23" w:rsidRPr="00DF1D48">
        <w:rPr>
          <w:rStyle w:val="a5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 xml:space="preserve"> .</w:t>
      </w:r>
    </w:p>
    <w:p w:rsidR="00264DD9" w:rsidRPr="00DF1D48" w:rsidRDefault="00264DD9" w:rsidP="00DF1D48">
      <w:pPr>
        <w:spacing w:after="0" w:line="240" w:lineRule="auto"/>
        <w:rPr>
          <w:rStyle w:val="a5"/>
          <w:rFonts w:ascii="Traditional Arabic" w:eastAsiaTheme="majorEastAsia" w:hAnsi="Traditional Arabic" w:cs="Traditional Arabic"/>
          <w:i w:val="0"/>
          <w:iCs w:val="0"/>
          <w:noProof/>
          <w:sz w:val="36"/>
          <w:szCs w:val="36"/>
        </w:rPr>
      </w:pP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noProof/>
          <w:sz w:val="36"/>
          <w:szCs w:val="36"/>
          <w:rtl/>
        </w:rPr>
        <w:t>وكذلك لا خلاف بين أهل العلم في جواز صلاة الكسوف منفرداً , لأنها نافلة من النوافل</w:t>
      </w:r>
      <w:r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t>(</w:t>
      </w:r>
      <w:r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footnoteReference w:id="9"/>
      </w:r>
      <w:r w:rsidRPr="00DF1D48">
        <w:rPr>
          <w:rStyle w:val="a5"/>
          <w:rFonts w:ascii="Traditional Arabic" w:hAnsi="Traditional Arabic" w:cs="Traditional Arabic"/>
          <w:i w:val="0"/>
          <w:iCs w:val="0"/>
          <w:sz w:val="36"/>
          <w:szCs w:val="36"/>
          <w:vertAlign w:val="superscript"/>
          <w:rtl/>
        </w:rPr>
        <w:t>)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noProof/>
          <w:sz w:val="36"/>
          <w:szCs w:val="36"/>
          <w:rtl/>
        </w:rPr>
        <w:t xml:space="preserve">. </w:t>
      </w:r>
    </w:p>
    <w:p w:rsidR="005322D1" w:rsidRPr="00DF1D48" w:rsidRDefault="005322D1" w:rsidP="00DF1D48">
      <w:pPr>
        <w:spacing w:after="0" w:line="240" w:lineRule="auto"/>
        <w:rPr>
          <w:sz w:val="32"/>
          <w:szCs w:val="32"/>
          <w:rtl/>
        </w:rPr>
      </w:pPr>
    </w:p>
    <w:p w:rsidR="00180C6D" w:rsidRPr="00DF1D48" w:rsidRDefault="00180C6D" w:rsidP="00DF1D48">
      <w:pPr>
        <w:spacing w:after="0" w:line="240" w:lineRule="auto"/>
        <w:rPr>
          <w:sz w:val="32"/>
          <w:szCs w:val="32"/>
        </w:rPr>
      </w:pPr>
    </w:p>
    <w:sectPr w:rsidR="00180C6D" w:rsidRPr="00DF1D48" w:rsidSect="0021203F">
      <w:headerReference w:type="default" r:id="rId7"/>
      <w:footerReference w:type="default" r:id="rId8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6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A5E" w:rsidRDefault="00472A5E" w:rsidP="005322D1">
      <w:pPr>
        <w:spacing w:after="0" w:line="240" w:lineRule="auto"/>
      </w:pPr>
      <w:r>
        <w:separator/>
      </w:r>
    </w:p>
  </w:endnote>
  <w:endnote w:type="continuationSeparator" w:id="1">
    <w:p w:rsidR="00472A5E" w:rsidRDefault="00472A5E" w:rsidP="0053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803360"/>
      <w:docPartObj>
        <w:docPartGallery w:val="Page Numbers (Bottom of Page)"/>
        <w:docPartUnique/>
      </w:docPartObj>
    </w:sdtPr>
    <w:sdtContent>
      <w:p w:rsidR="00A07B3E" w:rsidRDefault="0005101C" w:rsidP="00A07B3E">
        <w:pPr>
          <w:pStyle w:val="a8"/>
          <w:jc w:val="center"/>
        </w:pPr>
        <w:fldSimple w:instr=" PAGE   \* MERGEFORMAT ">
          <w:r w:rsidR="0021203F">
            <w:rPr>
              <w:noProof/>
              <w:rtl/>
            </w:rPr>
            <w:t xml:space="preserve">- </w:t>
          </w:r>
          <w:r w:rsidR="0021203F" w:rsidRPr="0021203F">
            <w:rPr>
              <w:b/>
              <w:bCs/>
              <w:noProof/>
              <w:rtl/>
            </w:rPr>
            <w:t>665</w:t>
          </w:r>
          <w:r w:rsidR="0021203F">
            <w:rPr>
              <w:noProof/>
              <w:rtl/>
            </w:rPr>
            <w:t xml:space="preserve"> -</w:t>
          </w:r>
        </w:fldSimple>
      </w:p>
    </w:sdtContent>
  </w:sdt>
  <w:p w:rsidR="00A07B3E" w:rsidRDefault="00A07B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A5E" w:rsidRDefault="00472A5E" w:rsidP="005322D1">
      <w:pPr>
        <w:spacing w:after="0" w:line="240" w:lineRule="auto"/>
      </w:pPr>
      <w:r>
        <w:separator/>
      </w:r>
    </w:p>
  </w:footnote>
  <w:footnote w:type="continuationSeparator" w:id="1">
    <w:p w:rsidR="00472A5E" w:rsidRDefault="00472A5E" w:rsidP="005322D1">
      <w:pPr>
        <w:spacing w:after="0" w:line="240" w:lineRule="auto"/>
      </w:pPr>
      <w:r>
        <w:continuationSeparator/>
      </w:r>
    </w:p>
  </w:footnote>
  <w:footnote w:id="2">
    <w:p w:rsidR="00AD636D" w:rsidRPr="00DF1D48" w:rsidRDefault="00AD636D" w:rsidP="00DF1D48">
      <w:pPr>
        <w:pStyle w:val="a3"/>
        <w:ind w:left="368" w:hanging="426"/>
        <w:rPr>
          <w:rFonts w:eastAsia="Calibri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)</w:t>
      </w:r>
      <w:r w:rsidRPr="00DF1D48">
        <w:rPr>
          <w:rFonts w:eastAsia="Calibri" w:cs="Traditional Arabic" w:hint="cs"/>
          <w:sz w:val="32"/>
          <w:szCs w:val="32"/>
          <w:rtl/>
        </w:rPr>
        <w:t xml:space="preserve"> انظر : مرعاة المفاتيح (5/124) .</w:t>
      </w:r>
      <w:r w:rsidRPr="00DF1D48">
        <w:rPr>
          <w:rFonts w:eastAsia="Calibri" w:hint="cs"/>
          <w:sz w:val="32"/>
          <w:szCs w:val="32"/>
          <w:rtl/>
        </w:rPr>
        <w:t xml:space="preserve"> </w:t>
      </w:r>
    </w:p>
  </w:footnote>
  <w:footnote w:id="3">
    <w:p w:rsidR="005322D1" w:rsidRPr="00DF1D48" w:rsidRDefault="005322D1" w:rsidP="00DF1D48">
      <w:pPr>
        <w:pStyle w:val="a3"/>
        <w:ind w:left="368" w:hanging="426"/>
        <w:rPr>
          <w:rFonts w:eastAsia="Calibri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)</w:t>
      </w:r>
      <w:r w:rsidR="0081221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</w:t>
      </w:r>
      <w:r w:rsidRPr="00DF1D48">
        <w:rPr>
          <w:rFonts w:eastAsia="Calibri" w:cs="Traditional Arabic"/>
          <w:sz w:val="32"/>
          <w:szCs w:val="32"/>
          <w:rtl/>
        </w:rPr>
        <w:t xml:space="preserve">انظر: المبسوط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5/75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, </w:t>
      </w:r>
      <w:r w:rsidRPr="00DF1D48">
        <w:rPr>
          <w:rFonts w:eastAsia="Calibri" w:cs="Traditional Arabic"/>
          <w:sz w:val="32"/>
          <w:szCs w:val="32"/>
          <w:rtl/>
        </w:rPr>
        <w:t xml:space="preserve">بدائع الصنائع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1/281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="00264DD9" w:rsidRPr="00DF1D48">
        <w:rPr>
          <w:rFonts w:eastAsia="Calibri" w:cs="Traditional Arabic"/>
          <w:sz w:val="32"/>
          <w:szCs w:val="32"/>
          <w:rtl/>
        </w:rPr>
        <w:t>,</w:t>
      </w:r>
      <w:r w:rsidR="00264DD9" w:rsidRPr="00DF1D48">
        <w:rPr>
          <w:rFonts w:eastAsia="Calibri" w:cs="Traditional Arabic" w:hint="cs"/>
          <w:sz w:val="32"/>
          <w:szCs w:val="32"/>
          <w:rtl/>
        </w:rPr>
        <w:t xml:space="preserve"> </w:t>
      </w:r>
      <w:r w:rsidRPr="00DF1D48">
        <w:rPr>
          <w:rFonts w:eastAsia="Calibri" w:cs="Traditional Arabic"/>
          <w:sz w:val="32"/>
          <w:szCs w:val="32"/>
          <w:rtl/>
        </w:rPr>
        <w:t xml:space="preserve">والهداية شرح البداية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1/88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Pr="00DF1D48">
        <w:rPr>
          <w:rFonts w:eastAsia="Calibri" w:cs="Traditional Arabic"/>
          <w:sz w:val="32"/>
          <w:szCs w:val="32"/>
          <w:rtl/>
        </w:rPr>
        <w:t>.</w:t>
      </w:r>
    </w:p>
  </w:footnote>
  <w:footnote w:id="4">
    <w:p w:rsidR="005322D1" w:rsidRPr="00DF1D48" w:rsidRDefault="005322D1" w:rsidP="00DF1D48">
      <w:pPr>
        <w:pStyle w:val="a3"/>
        <w:ind w:left="368" w:hanging="426"/>
        <w:rPr>
          <w:rFonts w:eastAsia="Calibri" w:cs="Traditional Arabic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="00812218">
        <w:rPr>
          <w:rStyle w:val="a5"/>
          <w:rFonts w:eastAsiaTheme="majorEastAsia" w:cs="Traditional Arabic"/>
          <w:i w:val="0"/>
          <w:iCs w:val="0"/>
          <w:sz w:val="32"/>
          <w:szCs w:val="32"/>
        </w:rPr>
        <w:t xml:space="preserve"> 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Fonts w:eastAsia="Calibri" w:cs="Traditional Arabic"/>
          <w:sz w:val="32"/>
          <w:szCs w:val="32"/>
          <w:rtl/>
        </w:rPr>
        <w:t>انظر:</w:t>
      </w:r>
      <w:r w:rsidR="001D4771" w:rsidRPr="00DF1D48">
        <w:rPr>
          <w:rFonts w:eastAsia="Calibri" w:cs="Traditional Arabic" w:hint="cs"/>
          <w:sz w:val="32"/>
          <w:szCs w:val="32"/>
          <w:rtl/>
        </w:rPr>
        <w:t xml:space="preserve"> الذخيرة (2/430) ,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 الكافي (ص: 79), التلقين (ص:137), </w:t>
      </w:r>
      <w:r w:rsidRPr="00DF1D48">
        <w:rPr>
          <w:rFonts w:eastAsia="Calibri" w:cs="Traditional Arabic"/>
          <w:sz w:val="32"/>
          <w:szCs w:val="32"/>
          <w:rtl/>
        </w:rPr>
        <w:t xml:space="preserve">التاج والإكليل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2/201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Pr="00DF1D48">
        <w:rPr>
          <w:rFonts w:eastAsia="Calibri" w:cs="Traditional Arabic"/>
          <w:sz w:val="32"/>
          <w:szCs w:val="32"/>
          <w:rtl/>
        </w:rPr>
        <w:t xml:space="preserve">, والشرح الكبير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1/401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Pr="00DF1D48">
        <w:rPr>
          <w:rFonts w:eastAsia="Calibri" w:cs="Traditional Arabic"/>
          <w:sz w:val="32"/>
          <w:szCs w:val="32"/>
          <w:rtl/>
        </w:rPr>
        <w:t>.</w:t>
      </w:r>
    </w:p>
  </w:footnote>
  <w:footnote w:id="5">
    <w:p w:rsidR="005322D1" w:rsidRPr="00DF1D48" w:rsidRDefault="005322D1" w:rsidP="00DF1D48">
      <w:pPr>
        <w:pStyle w:val="a3"/>
        <w:ind w:left="368" w:hanging="426"/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)</w:t>
      </w:r>
      <w:r w:rsidR="00812218">
        <w:rPr>
          <w:rFonts w:eastAsia="Calibri" w:cs="Traditional Arabic" w:hint="cs"/>
          <w:sz w:val="32"/>
          <w:szCs w:val="32"/>
          <w:rtl/>
        </w:rPr>
        <w:t xml:space="preserve"> </w:t>
      </w:r>
      <w:r w:rsidRPr="00DF1D48">
        <w:rPr>
          <w:rFonts w:eastAsia="Calibri" w:cs="Traditional Arabic"/>
          <w:sz w:val="32"/>
          <w:szCs w:val="32"/>
          <w:rtl/>
        </w:rPr>
        <w:t xml:space="preserve">انظر: الأم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1/242</w:t>
      </w:r>
      <w:r w:rsidR="00264DD9" w:rsidRPr="00DF1D48">
        <w:rPr>
          <w:rFonts w:eastAsia="Calibri" w:cs="Traditional Arabic" w:hint="cs"/>
          <w:sz w:val="32"/>
          <w:szCs w:val="32"/>
          <w:rtl/>
        </w:rPr>
        <w:t xml:space="preserve">) 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, </w:t>
      </w:r>
      <w:r w:rsidRPr="00DF1D48">
        <w:rPr>
          <w:rFonts w:eastAsia="Calibri" w:cs="Traditional Arabic"/>
          <w:sz w:val="32"/>
          <w:szCs w:val="32"/>
          <w:rtl/>
        </w:rPr>
        <w:t>المه</w:t>
      </w:r>
      <w:r w:rsidRPr="00DF1D48">
        <w:rPr>
          <w:rFonts w:eastAsia="Calibri" w:cs="Traditional Arabic" w:hint="cs"/>
          <w:sz w:val="32"/>
          <w:szCs w:val="32"/>
          <w:rtl/>
        </w:rPr>
        <w:t>ذ</w:t>
      </w:r>
      <w:r w:rsidRPr="00DF1D48">
        <w:rPr>
          <w:rFonts w:eastAsia="Calibri" w:cs="Traditional Arabic"/>
          <w:sz w:val="32"/>
          <w:szCs w:val="32"/>
          <w:rtl/>
        </w:rPr>
        <w:t xml:space="preserve">ب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1/122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, </w:t>
      </w:r>
      <w:r w:rsidRPr="00DF1D48">
        <w:rPr>
          <w:rFonts w:eastAsia="Calibri" w:cs="Traditional Arabic"/>
          <w:sz w:val="32"/>
          <w:szCs w:val="32"/>
          <w:rtl/>
        </w:rPr>
        <w:t xml:space="preserve">التنبيه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1/46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Pr="00DF1D48">
        <w:rPr>
          <w:rFonts w:eastAsia="Calibri" w:cs="Traditional Arabic" w:hint="cs"/>
          <w:sz w:val="32"/>
          <w:szCs w:val="32"/>
          <w:rtl/>
        </w:rPr>
        <w:t xml:space="preserve"> .</w:t>
      </w:r>
    </w:p>
  </w:footnote>
  <w:footnote w:id="6">
    <w:p w:rsidR="005322D1" w:rsidRPr="00DF1D48" w:rsidRDefault="005322D1" w:rsidP="00DF1D48">
      <w:pPr>
        <w:pStyle w:val="a3"/>
        <w:ind w:left="368" w:hanging="426"/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)</w:t>
      </w:r>
      <w:r w:rsidR="0081221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</w:t>
      </w:r>
      <w:r w:rsidRPr="00DF1D48">
        <w:rPr>
          <w:rFonts w:eastAsia="Calibri" w:cs="Traditional Arabic"/>
          <w:sz w:val="32"/>
          <w:szCs w:val="32"/>
          <w:rtl/>
        </w:rPr>
        <w:t xml:space="preserve">انظر: الكافي لابن قدامة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1/237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, </w:t>
      </w:r>
      <w:r w:rsidRPr="00DF1D48">
        <w:rPr>
          <w:rFonts w:eastAsia="Calibri" w:cs="Traditional Arabic"/>
          <w:sz w:val="32"/>
          <w:szCs w:val="32"/>
          <w:rtl/>
        </w:rPr>
        <w:t xml:space="preserve">الفروع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2/119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="00264DD9" w:rsidRPr="00DF1D48">
        <w:rPr>
          <w:rFonts w:eastAsia="Calibri" w:cs="Traditional Arabic"/>
          <w:sz w:val="32"/>
          <w:szCs w:val="32"/>
          <w:rtl/>
        </w:rPr>
        <w:t xml:space="preserve">, </w:t>
      </w:r>
      <w:r w:rsidRPr="00DF1D48">
        <w:rPr>
          <w:rFonts w:eastAsia="Calibri" w:cs="Traditional Arabic"/>
          <w:sz w:val="32"/>
          <w:szCs w:val="32"/>
          <w:rtl/>
        </w:rPr>
        <w:t xml:space="preserve">الإنصاف </w:t>
      </w:r>
      <w:r w:rsidR="00264DD9" w:rsidRPr="00DF1D48">
        <w:rPr>
          <w:rFonts w:eastAsia="Calibri" w:cs="Traditional Arabic" w:hint="cs"/>
          <w:sz w:val="32"/>
          <w:szCs w:val="32"/>
          <w:rtl/>
        </w:rPr>
        <w:t>(</w:t>
      </w:r>
      <w:r w:rsidRPr="00DF1D48">
        <w:rPr>
          <w:rFonts w:eastAsia="Calibri" w:cs="Traditional Arabic"/>
          <w:sz w:val="32"/>
          <w:szCs w:val="32"/>
          <w:rtl/>
        </w:rPr>
        <w:t>2/442</w:t>
      </w:r>
      <w:r w:rsidR="00264DD9" w:rsidRPr="00DF1D48">
        <w:rPr>
          <w:rFonts w:eastAsia="Calibri" w:cs="Traditional Arabic" w:hint="cs"/>
          <w:sz w:val="32"/>
          <w:szCs w:val="32"/>
          <w:rtl/>
        </w:rPr>
        <w:t>)</w:t>
      </w:r>
      <w:r w:rsidRPr="00DF1D48">
        <w:rPr>
          <w:rFonts w:eastAsia="Calibri" w:cs="Traditional Arabic"/>
          <w:sz w:val="32"/>
          <w:szCs w:val="32"/>
          <w:rtl/>
        </w:rPr>
        <w:t>.</w:t>
      </w:r>
    </w:p>
  </w:footnote>
  <w:footnote w:id="7">
    <w:p w:rsidR="005322D1" w:rsidRPr="00DF1D48" w:rsidRDefault="005322D1" w:rsidP="00DF1D48">
      <w:pPr>
        <w:pStyle w:val="a3"/>
        <w:ind w:left="368" w:hanging="426"/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)</w:t>
      </w:r>
      <w:r w:rsidR="00223A23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متفق عليه ,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أخرجه البخاري في</w:t>
      </w:r>
      <w:r w:rsidR="00223A23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صحيحه , في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كتاب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الكسوف, باب خطبة الإمام في الكسوف, (1/355) 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برقم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(999), ومسلم في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كتاب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الكسوف, باب صلاة الكسوف (2/619)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برقم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(901).</w:t>
      </w:r>
    </w:p>
  </w:footnote>
  <w:footnote w:id="8">
    <w:p w:rsidR="005322D1" w:rsidRPr="00DF1D48" w:rsidRDefault="005322D1" w:rsidP="00DF1D48">
      <w:pPr>
        <w:pStyle w:val="a3"/>
        <w:ind w:left="368" w:hanging="426"/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) </w:t>
      </w:r>
      <w:r w:rsidR="00223A23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أخرجه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مسلم في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 صحيحه </w:t>
      </w:r>
      <w:r w:rsidR="00223A23"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 xml:space="preserve">, 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في كتاب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الكسوف, باب: ما عرض على النبي 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sym w:font="AGA Arabesque" w:char="F072"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في صلاة الكسوف من أمر الجنة والنار, (2/622), 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برقم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 (904).</w:t>
      </w:r>
    </w:p>
  </w:footnote>
  <w:footnote w:id="9">
    <w:p w:rsidR="00264DD9" w:rsidRPr="00DF1D48" w:rsidRDefault="00264DD9" w:rsidP="00DF1D48">
      <w:pPr>
        <w:pStyle w:val="a3"/>
        <w:ind w:left="368" w:hanging="426"/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</w:pP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>(</w:t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</w:rPr>
        <w:footnoteRef/>
      </w:r>
      <w:r w:rsidRPr="00DF1D48">
        <w:rPr>
          <w:rStyle w:val="a5"/>
          <w:rFonts w:ascii="Traditional Arabic" w:eastAsiaTheme="majorEastAsia" w:hAnsi="Traditional Arabic" w:cs="Traditional Arabic"/>
          <w:i w:val="0"/>
          <w:iCs w:val="0"/>
          <w:sz w:val="32"/>
          <w:szCs w:val="32"/>
          <w:rtl/>
        </w:rPr>
        <w:t xml:space="preserve">) </w:t>
      </w:r>
      <w:r w:rsidRPr="00DF1D48">
        <w:rPr>
          <w:rStyle w:val="a5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انظر : الميسوط (1/444) , الحجة على أهل المدينة (1/322) , الاختيار لتعليل المختار (1/71) , البيان والتحصيل (1/333) , الذخيرة (2/428) , الفواكه الدواني (1/276) , القوانين الفقهية ص(61) , الأم (1/281) , البيان (2/662) , المغني (3/322) , الإقناع (1/203) , المبدع (2/197) , الإنصاف (2/442)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Theme="majorEastAsia" w:hAnsi="Traditional Arabic" w:cs="mohammad bold art 1"/>
        <w:noProof/>
        <w:spacing w:val="15"/>
        <w:sz w:val="24"/>
        <w:szCs w:val="24"/>
        <w:rtl/>
      </w:rPr>
      <w:alias w:val="العنوان"/>
      <w:id w:val="77738743"/>
      <w:placeholder>
        <w:docPart w:val="E36E4AAFCEDC421B850A0CF71F60906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F1D48" w:rsidRPr="00DF1D48" w:rsidRDefault="00DF1D48" w:rsidP="00DF1D48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DF1D48">
          <w:rPr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المطلب</w:t>
        </w:r>
        <w:r w:rsidRPr="00DF1D48">
          <w:rPr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DF1D48">
          <w:rPr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السابع</w:t>
        </w:r>
        <w:r w:rsidRPr="00DF1D48">
          <w:rPr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: </w:t>
        </w:r>
        <w:r w:rsidRPr="00DF1D48">
          <w:rPr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صلاة</w:t>
        </w:r>
        <w:r w:rsidRPr="00DF1D48">
          <w:rPr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DF1D48">
          <w:rPr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الكسوف</w:t>
        </w:r>
        <w:r w:rsidRPr="00DF1D48">
          <w:rPr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DF1D48">
          <w:rPr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منفرداً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80C6D"/>
    <w:rsid w:val="0005101C"/>
    <w:rsid w:val="000B0FD7"/>
    <w:rsid w:val="00180C6D"/>
    <w:rsid w:val="001C7A85"/>
    <w:rsid w:val="001D4771"/>
    <w:rsid w:val="001F374F"/>
    <w:rsid w:val="0021203F"/>
    <w:rsid w:val="00223A23"/>
    <w:rsid w:val="00264DD9"/>
    <w:rsid w:val="003359B0"/>
    <w:rsid w:val="003D3CD6"/>
    <w:rsid w:val="00472A5E"/>
    <w:rsid w:val="005322D1"/>
    <w:rsid w:val="00573112"/>
    <w:rsid w:val="006F10F4"/>
    <w:rsid w:val="00703281"/>
    <w:rsid w:val="008078CC"/>
    <w:rsid w:val="00812218"/>
    <w:rsid w:val="00817766"/>
    <w:rsid w:val="008F6C21"/>
    <w:rsid w:val="00990632"/>
    <w:rsid w:val="009A0DB8"/>
    <w:rsid w:val="00A07B3E"/>
    <w:rsid w:val="00A514E7"/>
    <w:rsid w:val="00AD636D"/>
    <w:rsid w:val="00BB504C"/>
    <w:rsid w:val="00BC62F3"/>
    <w:rsid w:val="00BE3CAC"/>
    <w:rsid w:val="00D52D5C"/>
    <w:rsid w:val="00D77A52"/>
    <w:rsid w:val="00DA5DBF"/>
    <w:rsid w:val="00DB652D"/>
    <w:rsid w:val="00DF1D48"/>
    <w:rsid w:val="00E4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5322D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5322D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5322D1"/>
    <w:rPr>
      <w:vertAlign w:val="superscript"/>
    </w:rPr>
  </w:style>
  <w:style w:type="character" w:styleId="a5">
    <w:name w:val="Emphasis"/>
    <w:basedOn w:val="a0"/>
    <w:qFormat/>
    <w:rsid w:val="005322D1"/>
    <w:rPr>
      <w:i/>
      <w:iCs/>
    </w:rPr>
  </w:style>
  <w:style w:type="paragraph" w:styleId="a6">
    <w:name w:val="Subtitle"/>
    <w:basedOn w:val="a"/>
    <w:next w:val="a"/>
    <w:link w:val="Char0"/>
    <w:qFormat/>
    <w:rsid w:val="005322D1"/>
    <w:pPr>
      <w:numPr>
        <w:ilvl w:val="1"/>
      </w:numPr>
      <w:spacing w:after="0" w:line="240" w:lineRule="auto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6"/>
    <w:rsid w:val="005322D1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Char1"/>
    <w:uiPriority w:val="99"/>
    <w:unhideWhenUsed/>
    <w:rsid w:val="00DF1D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rsid w:val="00DF1D48"/>
  </w:style>
  <w:style w:type="paragraph" w:styleId="a8">
    <w:name w:val="footer"/>
    <w:basedOn w:val="a"/>
    <w:link w:val="Char2"/>
    <w:uiPriority w:val="99"/>
    <w:unhideWhenUsed/>
    <w:rsid w:val="00DF1D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8"/>
    <w:uiPriority w:val="99"/>
    <w:rsid w:val="00DF1D48"/>
  </w:style>
  <w:style w:type="paragraph" w:styleId="a9">
    <w:name w:val="Balloon Text"/>
    <w:basedOn w:val="a"/>
    <w:link w:val="Char3"/>
    <w:uiPriority w:val="99"/>
    <w:semiHidden/>
    <w:unhideWhenUsed/>
    <w:rsid w:val="00DF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DF1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36E4AAFCEDC421B850A0CF71F60906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67F0963-D887-4687-B272-2A1CD776005D}"/>
      </w:docPartPr>
      <w:docPartBody>
        <w:p w:rsidR="00A61E95" w:rsidRDefault="000F4841" w:rsidP="000F4841">
          <w:pPr>
            <w:pStyle w:val="E36E4AAFCEDC421B850A0CF71F60906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F4841"/>
    <w:rsid w:val="0008737F"/>
    <w:rsid w:val="000F4841"/>
    <w:rsid w:val="00795D2E"/>
    <w:rsid w:val="00831EF9"/>
    <w:rsid w:val="00A61E95"/>
    <w:rsid w:val="00BF1376"/>
    <w:rsid w:val="00D0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E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36E4AAFCEDC421B850A0CF71F60906F">
    <w:name w:val="E36E4AAFCEDC421B850A0CF71F60906F"/>
    <w:rsid w:val="000F484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CB6E6-782F-47BB-9769-ACFBFD55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 : صلاة الكسوف منفرداً</dc:title>
  <dc:subject/>
  <dc:creator>xp</dc:creator>
  <cp:keywords/>
  <dc:description/>
  <cp:lastModifiedBy>xp</cp:lastModifiedBy>
  <cp:revision>12</cp:revision>
  <dcterms:created xsi:type="dcterms:W3CDTF">2012-06-30T16:17:00Z</dcterms:created>
  <dcterms:modified xsi:type="dcterms:W3CDTF">2012-09-23T10:58:00Z</dcterms:modified>
</cp:coreProperties>
</file>