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05" w:rsidRPr="003E6AA0" w:rsidRDefault="004D5A42" w:rsidP="00840605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3E6AA0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الثاني : حكم الصلاة على الغائب</w:t>
      </w:r>
      <w:r w:rsidR="003E6AA0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C23ADB" w:rsidRPr="00B32494" w:rsidRDefault="00C23ADB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في المسألة :</w:t>
      </w:r>
    </w:p>
    <w:p w:rsidR="00C23ADB" w:rsidRPr="00840605" w:rsidRDefault="00067125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قال ـ رحمه الله ـ</w:t>
      </w:r>
      <w:r w:rsidR="00C23ADB"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"</w:t>
      </w:r>
      <w:r w:rsidR="00C23ADB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وما عمل به محمد تعمل به أمته , لأن الأصل عدم الخصوصية " </w:t>
      </w:r>
      <w:r w:rsidR="00B32494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32494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B32494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23ADB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23ADB" w:rsidRPr="00B32494" w:rsidRDefault="00C23ADB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C23ADB" w:rsidRPr="00B32494" w:rsidRDefault="00C23ADB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اختلف العلماء في حكم الصلاة على الغائب على أقوال أشهرها ثلاثة أقوال  :</w:t>
      </w:r>
    </w:p>
    <w:p w:rsidR="00C23ADB" w:rsidRPr="00F63948" w:rsidRDefault="00C23ADB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 :</w:t>
      </w:r>
      <w:r w:rsidR="00F6394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يُصلى على الغائب مطلقاً وبه قال بعض المالكية</w:t>
      </w:r>
      <w:r w:rsidR="00211A32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32494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32494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B32494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وهو مذهب الشافعية </w:t>
      </w:r>
      <w:r w:rsidR="00B32494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32494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B32494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, ورواية عن الإمام أحمد</w:t>
      </w:r>
      <w:r w:rsid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وهي التي عليها المذهب </w:t>
      </w:r>
      <w:r w:rsidR="00211A32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32494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32494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B32494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C23ADB" w:rsidRPr="00F63948" w:rsidRDefault="00840605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الثاني</w:t>
      </w:r>
      <w:r w:rsidR="00C23ADB"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: 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لا يُصلى على الغائب مطلقاً</w:t>
      </w:r>
      <w:r w:rsidR="00C23ADB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, وبه قال</w:t>
      </w:r>
      <w:r w:rsidR="00211A32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C23ADB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المالكية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,</w:t>
      </w:r>
      <w:r w:rsidR="00C23ADB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ورواية عن الإمام أحمد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23ADB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C23ADB" w:rsidRPr="00F63948" w:rsidRDefault="00C23ADB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الثالث : 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يُصلى عليه إن لم يكن صُلي عليه , وإلا فلا , وبه قال بعض الشافعية</w:t>
      </w:r>
      <w:r w:rsidR="00DA71BC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ورواية عند الحنابلة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DA71BC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اختارها شيخ الإسلام ابن تيمية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وابن القيم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C23ADB" w:rsidRPr="00B32494" w:rsidRDefault="00C23ADB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ثالثاً : الأدلة :</w:t>
      </w:r>
    </w:p>
    <w:p w:rsidR="00C23ADB" w:rsidRPr="00B32494" w:rsidRDefault="00C23ADB" w:rsidP="00840605">
      <w:pPr>
        <w:pStyle w:val="a5"/>
        <w:numPr>
          <w:ilvl w:val="0"/>
          <w:numId w:val="2"/>
        </w:num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84060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الأول :</w:t>
      </w:r>
      <w:r w:rsidR="00840605" w:rsidRPr="0084060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Pr="0084060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استدلوا بما يلي : </w:t>
      </w:r>
    </w:p>
    <w:p w:rsidR="00840605" w:rsidRDefault="00F63948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6394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C23ADB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هريرة ـ رضي الله عنه ـ : (( أنَّ رسول الله </w:t>
      </w:r>
      <w:r w:rsidR="005A03D3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نَعَى النجاشي في </w:t>
      </w:r>
    </w:p>
    <w:p w:rsidR="00C23ADB" w:rsidRPr="00B32494" w:rsidRDefault="005A03D3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اليوم الذي مات فيه , خرج إلى المصلى فصفّ بهم , وكبّر أربعاً ))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63948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5A03D3" w:rsidRPr="00B32494" w:rsidRDefault="00F63948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6394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الثاني :</w:t>
      </w:r>
      <w:r w:rsidR="005A03D3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جابر بن عبد الله ـ رضي الله عنهما ـ قال : قال النبي صلى الله عليه وسلم : (( قد توفي رجل صالح من الحبش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5A03D3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فهلمّ فصلّوا عليه )) , قال : (( فصففنا , فصلّى النبي صلى الله عليه وسلم عليه , ونحن صفوف ))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5A03D3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5A03D3" w:rsidRPr="00840605" w:rsidRDefault="005A03D3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9028B5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من الحديثين السابقين</w:t>
      </w: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: 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وجه الدلالة من الحديثين ظاهر؛ فإنَّ النبي صلى الله عليه وسلم صلّى وهو بالمدينة على النجاشي , وهو بالحبشة غائب عنها , وبينهما من البعد ما بينهما . </w:t>
      </w:r>
    </w:p>
    <w:p w:rsidR="001871ED" w:rsidRPr="00F63948" w:rsidRDefault="001871ED" w:rsidP="00840605">
      <w:pPr>
        <w:pStyle w:val="a5"/>
        <w:numPr>
          <w:ilvl w:val="0"/>
          <w:numId w:val="2"/>
        </w:num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F6394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دليل أصحاب القول الثاني : </w:t>
      </w:r>
    </w:p>
    <w:p w:rsidR="001871ED" w:rsidRPr="00B32494" w:rsidRDefault="001C5CDD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استدلوا بعدم</w:t>
      </w:r>
      <w:r w:rsidR="001871ED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وجود دليل يدل على ذلك , وأما قصة النجاشي إنما كان حضورها على جهة المعجزة , أو أنَّ الأرض طويت له حتى رأى سريره فصلى عليه , فيكون من خصوصياته صلى الله عليه وسلم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63948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="001871ED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1871ED" w:rsidRPr="00F63948" w:rsidRDefault="001871ED" w:rsidP="00840605">
      <w:pPr>
        <w:pStyle w:val="a5"/>
        <w:numPr>
          <w:ilvl w:val="0"/>
          <w:numId w:val="2"/>
        </w:num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F6394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دليل أصحاب القول الثالث : </w:t>
      </w:r>
    </w:p>
    <w:p w:rsidR="001871ED" w:rsidRPr="00B32494" w:rsidRDefault="008D07DB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عن حذيفة </w:t>
      </w:r>
      <w:r w:rsidR="001871ED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ـ رضي الله عنه ـ : (( أنَّ النبي صلى الله عليه وسلم خرج بهم , فقال : صلوا على أخٍ لكم مات بغير أرضكم , قالوا : من هو ؟ قال : النجاشي ))</w:t>
      </w:r>
      <w:r w:rsidR="00541F4D" w:rsidRPr="00541F4D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41F4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541F4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63948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1871ED" w:rsidRPr="00B32494" w:rsidRDefault="001871ED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9028B5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</w:t>
      </w: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:</w:t>
      </w:r>
      <w:r w:rsidR="0084060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قوله " بغير أرضكم " فيه بيان سبب الصلاة عليه , وأنه مات بغير أرضهم , فلم يوجد من يُصلي عليه . </w:t>
      </w:r>
    </w:p>
    <w:p w:rsidR="00067125" w:rsidRDefault="00067125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067125" w:rsidRDefault="00067125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EC7E37" w:rsidRPr="00B32494" w:rsidRDefault="00EC7E37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 xml:space="preserve">رابعاً : الرأي الراجح : </w:t>
      </w:r>
    </w:p>
    <w:p w:rsidR="00EC7E37" w:rsidRPr="00B32494" w:rsidRDefault="00EC7E37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06712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أنَّ الراجح هو القول بأنَّ الغائب لا يُصلى عليه إلا إذا كان في بلد لم يُصلّ عليه فيها</w:t>
      </w:r>
      <w:r w:rsidR="00F6394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؛</w:t>
      </w:r>
      <w:r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وذلك لما يلي : </w:t>
      </w:r>
    </w:p>
    <w:p w:rsidR="00EC7E37" w:rsidRPr="00B32494" w:rsidRDefault="00F63948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6394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</w:t>
      </w:r>
      <w:r w:rsidR="00EC7E37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لقوة أدلة هذا القول .</w:t>
      </w:r>
    </w:p>
    <w:p w:rsidR="00EC7E37" w:rsidRPr="00B32494" w:rsidRDefault="00F63948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6394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</w:t>
      </w:r>
      <w:r w:rsidR="00EC7E37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ولأن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EC7E37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ه يحصل به الجمع بين الأحاديث والروايات .</w:t>
      </w:r>
    </w:p>
    <w:p w:rsidR="00EC7E37" w:rsidRPr="00B32494" w:rsidRDefault="00F63948" w:rsidP="00840605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F6394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ثالثاً :</w:t>
      </w:r>
      <w:r w:rsidR="00EC7E37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ولأن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EC7E37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كثيراً من الصحابة ماتوا في غير المدينة في زمن النبي صلى الله عليه وسلم , ومع ذلك </w:t>
      </w:r>
      <w:r w:rsidR="00AF0162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لم </w:t>
      </w:r>
      <w:r w:rsidR="00EC7E37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>ينقل أنه صلّى</w:t>
      </w:r>
      <w:r w:rsidR="00AF0162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على أحد منهم , فلو كان هذا أمراً عاماً لفعله النبي صلى الله عليه وسلم مع عامّة أصحابه .</w:t>
      </w:r>
      <w:r w:rsidR="00EC7E37" w:rsidRPr="00B3249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EC7E37" w:rsidRPr="00B32494" w:rsidRDefault="00EC7E37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C23ADB" w:rsidRPr="00B32494" w:rsidRDefault="00C23ADB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C23ADB" w:rsidRPr="00B32494" w:rsidRDefault="00C23ADB" w:rsidP="00840605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</w:rPr>
      </w:pPr>
    </w:p>
    <w:sectPr w:rsidR="00C23ADB" w:rsidRPr="00B32494" w:rsidSect="004340CA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70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A92" w:rsidRDefault="00D33A92" w:rsidP="00C23ADB">
      <w:pPr>
        <w:spacing w:after="0" w:line="240" w:lineRule="auto"/>
      </w:pPr>
      <w:r>
        <w:separator/>
      </w:r>
    </w:p>
  </w:endnote>
  <w:endnote w:type="continuationSeparator" w:id="1">
    <w:p w:rsidR="00D33A92" w:rsidRDefault="00D33A92" w:rsidP="00C2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657469"/>
      <w:docPartObj>
        <w:docPartGallery w:val="Page Numbers (Bottom of Page)"/>
        <w:docPartUnique/>
      </w:docPartObj>
    </w:sdtPr>
    <w:sdtContent>
      <w:p w:rsidR="003E6AA0" w:rsidRDefault="00C97CF2" w:rsidP="003E6AA0">
        <w:pPr>
          <w:pStyle w:val="a7"/>
          <w:jc w:val="center"/>
        </w:pPr>
        <w:fldSimple w:instr=" PAGE   \* MERGEFORMAT ">
          <w:r w:rsidR="009028B5">
            <w:rPr>
              <w:noProof/>
              <w:rtl/>
            </w:rPr>
            <w:t xml:space="preserve">- </w:t>
          </w:r>
          <w:r w:rsidR="009028B5" w:rsidRPr="009028B5">
            <w:rPr>
              <w:b/>
              <w:bCs/>
              <w:noProof/>
              <w:rtl/>
            </w:rPr>
            <w:t>705</w:t>
          </w:r>
          <w:r w:rsidR="009028B5">
            <w:rPr>
              <w:noProof/>
              <w:rtl/>
            </w:rPr>
            <w:t xml:space="preserve"> -</w:t>
          </w:r>
        </w:fldSimple>
      </w:p>
    </w:sdtContent>
  </w:sdt>
  <w:p w:rsidR="003E6AA0" w:rsidRDefault="003E6A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A92" w:rsidRDefault="00D33A92" w:rsidP="00C23ADB">
      <w:pPr>
        <w:spacing w:after="0" w:line="240" w:lineRule="auto"/>
      </w:pPr>
      <w:r>
        <w:separator/>
      </w:r>
    </w:p>
  </w:footnote>
  <w:footnote w:type="continuationSeparator" w:id="1">
    <w:p w:rsidR="00D33A92" w:rsidRDefault="00D33A92" w:rsidP="00C23ADB">
      <w:pPr>
        <w:spacing w:after="0" w:line="240" w:lineRule="auto"/>
      </w:pPr>
      <w:r>
        <w:continuationSeparator/>
      </w:r>
    </w:p>
  </w:footnote>
  <w:footnote w:id="2">
    <w:p w:rsidR="00B32494" w:rsidRPr="003D5033" w:rsidRDefault="00B32494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541F4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41F4D"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المقاتيح ( 5 / 367 ) .</w:t>
      </w:r>
    </w:p>
  </w:footnote>
  <w:footnote w:id="3">
    <w:p w:rsidR="00B32494" w:rsidRPr="003D5033" w:rsidRDefault="00B32494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541F4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41F4D"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ذكره المازري عن بعض أصحابهم المالكية , كما في المعلم (1/327) .</w:t>
      </w:r>
    </w:p>
  </w:footnote>
  <w:footnote w:id="4">
    <w:p w:rsidR="00B32494" w:rsidRPr="003D5033" w:rsidRDefault="00B32494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541F4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41F4D"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انظر :</w:t>
      </w:r>
      <w:r w:rsidR="00F6394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الحاوي (3/51) ,</w:t>
      </w:r>
      <w:r w:rsidR="00541F4D"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المهذب (1/345) , روضة الطالبين (2/130) , مغني المحتاج (1/346) .</w:t>
      </w:r>
    </w:p>
  </w:footnote>
  <w:footnote w:id="5">
    <w:p w:rsidR="00B32494" w:rsidRPr="003D5033" w:rsidRDefault="00B32494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541F4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41F4D"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الكافي (1/264) , المغني (3/446) , الإنصاف (2/ 533) .</w:t>
      </w:r>
    </w:p>
  </w:footnote>
  <w:footnote w:id="6">
    <w:p w:rsidR="00541F4D" w:rsidRPr="003D5033" w:rsidRDefault="00541F4D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 : </w:t>
      </w:r>
      <w:r w:rsidR="00F6394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الذخيرة (2/466) ,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الاستذكار (3/27) , حاشية الدسوقي (1 / 413) , الفواكه الدواني (1/299) .</w:t>
      </w:r>
    </w:p>
  </w:footnote>
  <w:footnote w:id="7">
    <w:p w:rsidR="00541F4D" w:rsidRPr="003D5033" w:rsidRDefault="00541F4D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الكافي (1/264)</w:t>
      </w:r>
      <w:r w:rsidR="00F6394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</w:t>
      </w:r>
      <w:r w:rsidR="00F63948"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الإنصاف (2/ 533)</w:t>
      </w:r>
      <w:r w:rsidR="00F6394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8">
    <w:p w:rsidR="00541F4D" w:rsidRPr="003D5033" w:rsidRDefault="00541F4D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انظر : فتح الباري (3/188) .</w:t>
      </w:r>
    </w:p>
  </w:footnote>
  <w:footnote w:id="9">
    <w:p w:rsidR="00541F4D" w:rsidRPr="003D5033" w:rsidRDefault="00541F4D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الإنصاف (2/532) , الفروع (2/251) .</w:t>
      </w:r>
    </w:p>
  </w:footnote>
  <w:footnote w:id="10">
    <w:p w:rsidR="00541F4D" w:rsidRPr="003D5033" w:rsidRDefault="00541F4D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نقلها عنه ابن القيم في زاد المعاد ( 1/520ـ 521) .</w:t>
      </w:r>
    </w:p>
  </w:footnote>
  <w:footnote w:id="11">
    <w:p w:rsidR="00541F4D" w:rsidRPr="003D5033" w:rsidRDefault="00541F4D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زاد المعاد (1/519) .</w:t>
      </w:r>
    </w:p>
  </w:footnote>
  <w:footnote w:id="12">
    <w:p w:rsidR="00541F4D" w:rsidRPr="003D5033" w:rsidRDefault="00541F4D" w:rsidP="00211543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60B10">
        <w:rPr>
          <w:rFonts w:ascii="Traditional Arabic" w:eastAsia="Calibri" w:hAnsi="Traditional Arabic" w:cs="Traditional Arabic" w:hint="cs"/>
          <w:sz w:val="32"/>
          <w:szCs w:val="32"/>
          <w:rtl/>
        </w:rPr>
        <w:t>تقدم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تخريجه </w:t>
      </w:r>
      <w:r w:rsidR="00360B10">
        <w:rPr>
          <w:rFonts w:ascii="Traditional Arabic" w:eastAsia="Calibri" w:hAnsi="Traditional Arabic" w:cs="Traditional Arabic" w:hint="cs"/>
          <w:sz w:val="32"/>
          <w:szCs w:val="32"/>
          <w:rtl/>
        </w:rPr>
        <w:t>ص (</w:t>
      </w:r>
      <w:r w:rsidR="002867E6">
        <w:rPr>
          <w:rFonts w:ascii="Traditional Arabic" w:eastAsia="Calibri" w:hAnsi="Traditional Arabic" w:cs="Traditional Arabic" w:hint="cs"/>
          <w:sz w:val="32"/>
          <w:szCs w:val="32"/>
          <w:rtl/>
        </w:rPr>
        <w:t>70</w:t>
      </w:r>
      <w:r w:rsidR="00211543">
        <w:rPr>
          <w:rFonts w:ascii="Traditional Arabic" w:eastAsia="Calibri" w:hAnsi="Traditional Arabic" w:cs="Traditional Arabic" w:hint="cs"/>
          <w:sz w:val="32"/>
          <w:szCs w:val="32"/>
          <w:rtl/>
        </w:rPr>
        <w:t>1</w:t>
      </w:r>
      <w:r w:rsidR="00360B10">
        <w:rPr>
          <w:rFonts w:ascii="Traditional Arabic" w:eastAsia="Calibri" w:hAnsi="Traditional Arabic" w:cs="Traditional Arabic" w:hint="cs"/>
          <w:sz w:val="32"/>
          <w:szCs w:val="32"/>
          <w:rtl/>
        </w:rPr>
        <w:t>)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13">
    <w:p w:rsidR="00541F4D" w:rsidRPr="003D5033" w:rsidRDefault="00541F4D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الحبش : هم من ولد حبش بن كوش بن حام بن نوح , وهم أجناس , والحبشيُّ : نسبة إلى الحبشة البلد المعروف . انظر : الأنساب للسمعاني (2/167) .</w:t>
      </w:r>
    </w:p>
  </w:footnote>
  <w:footnote w:id="14">
    <w:p w:rsidR="00541F4D" w:rsidRPr="00541F4D" w:rsidRDefault="00541F4D" w:rsidP="00840605">
      <w:pPr>
        <w:pStyle w:val="a3"/>
        <w:ind w:left="509" w:hanging="50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F63948">
        <w:rPr>
          <w:rFonts w:hint="cs"/>
          <w:rtl/>
        </w:rPr>
        <w:t xml:space="preserve"> </w:t>
      </w:r>
      <w:r w:rsidR="00F63948" w:rsidRPr="00F63948">
        <w:rPr>
          <w:rFonts w:ascii="Traditional Arabic" w:eastAsia="Calibri" w:hAnsi="Traditional Arabic" w:cs="Traditional Arabic" w:hint="cs"/>
          <w:sz w:val="32"/>
          <w:szCs w:val="32"/>
          <w:rtl/>
        </w:rPr>
        <w:t>متفق عليه ,</w:t>
      </w:r>
      <w:r w:rsidR="00F63948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, في كتاب الجنائز , باب الصفوف على الجنازة (2/86) برقم (1320) , ومسلم في صحيحه في كتاب الجنائز , باب في التكبير على الجنازة (2/610) برقم (862) .</w:t>
      </w:r>
    </w:p>
  </w:footnote>
  <w:footnote w:id="15">
    <w:p w:rsidR="00541F4D" w:rsidRPr="003D5033" w:rsidRDefault="00541F4D" w:rsidP="00840605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المنتقى ( 2/13 ) , وحاشية الدسوقي (1/427 ) .</w:t>
      </w:r>
    </w:p>
  </w:footnote>
  <w:footnote w:id="16">
    <w:p w:rsidR="00541F4D" w:rsidRPr="00541F4D" w:rsidRDefault="00541F4D" w:rsidP="00840605">
      <w:pPr>
        <w:pStyle w:val="a3"/>
        <w:ind w:left="509" w:hanging="509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ابن ماجه في سننه ,</w:t>
      </w:r>
      <w:r w:rsidR="008D07DB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الصلاة على النجاشي (1/491)</w:t>
      </w:r>
      <w:r w:rsidR="008D07DB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(1537)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والطبراني في المعجم الكبير (3/178)</w:t>
      </w:r>
      <w:r w:rsidR="008D07DB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(3046)</w:t>
      </w: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541F4D" w:rsidRPr="003D5033" w:rsidRDefault="00541F4D" w:rsidP="00840605">
      <w:pPr>
        <w:pStyle w:val="a3"/>
        <w:ind w:left="509"/>
        <w:jc w:val="lowKashida"/>
        <w:rPr>
          <w:rFonts w:ascii="Traditional Arabic" w:hAnsi="Traditional Arabic" w:cs="Traditional Arabic"/>
          <w:sz w:val="32"/>
          <w:szCs w:val="32"/>
        </w:rPr>
      </w:pPr>
      <w:r w:rsidRPr="00541F4D">
        <w:rPr>
          <w:rFonts w:ascii="Traditional Arabic" w:eastAsia="Calibri" w:hAnsi="Traditional Arabic" w:cs="Traditional Arabic" w:hint="cs"/>
          <w:sz w:val="32"/>
          <w:szCs w:val="32"/>
          <w:rtl/>
        </w:rPr>
        <w:t>قال البوصيري في مصباح الزجاجة (2/36) : " هذا إسناد صحيح , رجاله ثقات "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38C62085746745C4BF31D7970D6AAB5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40605" w:rsidRPr="00840605" w:rsidRDefault="00840605" w:rsidP="00840605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84060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84060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84060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الثاني</w:t>
        </w:r>
        <w:r w:rsidRPr="0084060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84060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84060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84060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الصلاة</w:t>
        </w:r>
        <w:r w:rsidRPr="0084060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84060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على</w:t>
        </w:r>
        <w:r w:rsidRPr="0084060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84060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الغائب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3F26"/>
    <w:multiLevelType w:val="hybridMultilevel"/>
    <w:tmpl w:val="92429448"/>
    <w:lvl w:ilvl="0" w:tplc="FCD6352E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B1E59"/>
    <w:multiLevelType w:val="hybridMultilevel"/>
    <w:tmpl w:val="9C445E86"/>
    <w:lvl w:ilvl="0" w:tplc="0B4E19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D5A42"/>
    <w:rsid w:val="00067125"/>
    <w:rsid w:val="000E21D9"/>
    <w:rsid w:val="001871ED"/>
    <w:rsid w:val="00191E13"/>
    <w:rsid w:val="001C0AA0"/>
    <w:rsid w:val="001C3B9F"/>
    <w:rsid w:val="001C5CDD"/>
    <w:rsid w:val="001C7353"/>
    <w:rsid w:val="00205FC1"/>
    <w:rsid w:val="0021144A"/>
    <w:rsid w:val="00211543"/>
    <w:rsid w:val="00211A32"/>
    <w:rsid w:val="00285815"/>
    <w:rsid w:val="002867E6"/>
    <w:rsid w:val="002D7C21"/>
    <w:rsid w:val="00360B10"/>
    <w:rsid w:val="003E6AA0"/>
    <w:rsid w:val="004340CA"/>
    <w:rsid w:val="004D2DD6"/>
    <w:rsid w:val="004D5A42"/>
    <w:rsid w:val="00541F4D"/>
    <w:rsid w:val="005A03D3"/>
    <w:rsid w:val="005A7BE3"/>
    <w:rsid w:val="005B3654"/>
    <w:rsid w:val="006F3F9E"/>
    <w:rsid w:val="00700248"/>
    <w:rsid w:val="007149E8"/>
    <w:rsid w:val="007D5B57"/>
    <w:rsid w:val="00840605"/>
    <w:rsid w:val="008D07DB"/>
    <w:rsid w:val="009028B5"/>
    <w:rsid w:val="009B47DA"/>
    <w:rsid w:val="00A70E8E"/>
    <w:rsid w:val="00AE4932"/>
    <w:rsid w:val="00AF0162"/>
    <w:rsid w:val="00AF052C"/>
    <w:rsid w:val="00B32494"/>
    <w:rsid w:val="00C11C19"/>
    <w:rsid w:val="00C23ADB"/>
    <w:rsid w:val="00C97CF2"/>
    <w:rsid w:val="00D33A92"/>
    <w:rsid w:val="00DA71BC"/>
    <w:rsid w:val="00DB177C"/>
    <w:rsid w:val="00DD3517"/>
    <w:rsid w:val="00E31736"/>
    <w:rsid w:val="00EA2ED8"/>
    <w:rsid w:val="00EC7E37"/>
    <w:rsid w:val="00F63948"/>
    <w:rsid w:val="00F7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8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C23ADB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C23ADB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C23ADB"/>
    <w:rPr>
      <w:vertAlign w:val="superscript"/>
    </w:rPr>
  </w:style>
  <w:style w:type="paragraph" w:styleId="a5">
    <w:name w:val="List Paragraph"/>
    <w:basedOn w:val="a"/>
    <w:uiPriority w:val="34"/>
    <w:qFormat/>
    <w:rsid w:val="00C23ADB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406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840605"/>
  </w:style>
  <w:style w:type="paragraph" w:styleId="a7">
    <w:name w:val="footer"/>
    <w:basedOn w:val="a"/>
    <w:link w:val="Char1"/>
    <w:uiPriority w:val="99"/>
    <w:unhideWhenUsed/>
    <w:rsid w:val="008406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840605"/>
  </w:style>
  <w:style w:type="paragraph" w:styleId="a8">
    <w:name w:val="Balloon Text"/>
    <w:basedOn w:val="a"/>
    <w:link w:val="Char2"/>
    <w:uiPriority w:val="99"/>
    <w:semiHidden/>
    <w:unhideWhenUsed/>
    <w:rsid w:val="0084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840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8C62085746745C4BF31D7970D6AAB5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493D340-B693-4DF1-B27D-1EB7DF84AF47}"/>
      </w:docPartPr>
      <w:docPartBody>
        <w:p w:rsidR="00816A59" w:rsidRDefault="00B556D8" w:rsidP="00B556D8">
          <w:pPr>
            <w:pStyle w:val="38C62085746745C4BF31D7970D6AAB5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556D8"/>
    <w:rsid w:val="003B354D"/>
    <w:rsid w:val="00447F0A"/>
    <w:rsid w:val="00470EB5"/>
    <w:rsid w:val="005A41EE"/>
    <w:rsid w:val="006B3EE1"/>
    <w:rsid w:val="007776A9"/>
    <w:rsid w:val="00816A59"/>
    <w:rsid w:val="008A3CFA"/>
    <w:rsid w:val="00B55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A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8C62085746745C4BF31D7970D6AAB5B">
    <w:name w:val="38C62085746745C4BF31D7970D6AAB5B"/>
    <w:rsid w:val="00B556D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D7A4C-BF3C-4602-8659-73C830F9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 : حكم الصلاة على الغائب</dc:title>
  <dc:creator>toshiba</dc:creator>
  <cp:lastModifiedBy>xp</cp:lastModifiedBy>
  <cp:revision>13</cp:revision>
  <dcterms:created xsi:type="dcterms:W3CDTF">2012-07-31T11:53:00Z</dcterms:created>
  <dcterms:modified xsi:type="dcterms:W3CDTF">2012-09-23T23:50:00Z</dcterms:modified>
</cp:coreProperties>
</file>