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4BD" w:rsidRPr="00BB61A1" w:rsidRDefault="00DA04BD" w:rsidP="00DE148D">
      <w:pPr>
        <w:ind w:hanging="2"/>
        <w:jc w:val="center"/>
        <w:rPr>
          <w:rStyle w:val="afc"/>
          <w:rFonts w:ascii="Traditional Arabic" w:eastAsiaTheme="majorEastAsia" w:hAnsi="Traditional Arabic"/>
          <w:i w:val="0"/>
          <w:iCs w:val="0"/>
          <w:smallCaps/>
          <w:color w:val="auto"/>
          <w:spacing w:val="15"/>
          <w:rtl/>
        </w:rPr>
      </w:pPr>
      <w:r w:rsidRPr="00BB61A1">
        <w:rPr>
          <w:rFonts w:cs="AL-Mateen" w:hint="cs"/>
          <w:b/>
          <w:bCs/>
          <w:sz w:val="32"/>
          <w:szCs w:val="32"/>
          <w:rtl/>
        </w:rPr>
        <w:t>المطلب الثاني عشر :</w:t>
      </w:r>
      <w:r w:rsidR="004014AB" w:rsidRPr="00BB61A1">
        <w:rPr>
          <w:rFonts w:cs="AL-Mateen"/>
          <w:b/>
          <w:bCs/>
          <w:sz w:val="32"/>
          <w:szCs w:val="32"/>
          <w:rtl/>
        </w:rPr>
        <w:t xml:space="preserve"> وقت استقبال القبلة </w:t>
      </w:r>
      <w:r w:rsidRPr="00BB61A1">
        <w:rPr>
          <w:rFonts w:cs="AL-Mateen" w:hint="cs"/>
          <w:b/>
          <w:bCs/>
          <w:sz w:val="32"/>
          <w:szCs w:val="32"/>
          <w:rtl/>
        </w:rPr>
        <w:t>للدعاء</w:t>
      </w:r>
      <w:r w:rsidR="00BB61A1">
        <w:rPr>
          <w:rStyle w:val="afc"/>
          <w:rFonts w:ascii="Traditional Arabic" w:eastAsiaTheme="majorEastAsia" w:hAnsi="Traditional Arabic" w:hint="cs"/>
          <w:i w:val="0"/>
          <w:iCs w:val="0"/>
          <w:smallCaps/>
          <w:color w:val="auto"/>
          <w:spacing w:val="15"/>
          <w:rtl/>
        </w:rPr>
        <w:t xml:space="preserve"> .</w:t>
      </w:r>
      <w:r w:rsidRPr="00BB61A1">
        <w:rPr>
          <w:rStyle w:val="afc"/>
          <w:rFonts w:ascii="Traditional Arabic" w:eastAsiaTheme="majorEastAsia" w:hAnsi="Traditional Arabic" w:hint="cs"/>
          <w:i w:val="0"/>
          <w:iCs w:val="0"/>
          <w:smallCaps/>
          <w:color w:val="auto"/>
          <w:spacing w:val="15"/>
          <w:rtl/>
        </w:rPr>
        <w:t xml:space="preserve"> </w:t>
      </w:r>
    </w:p>
    <w:p w:rsidR="00DA04BD" w:rsidRPr="008D620D" w:rsidRDefault="00DA04BD" w:rsidP="00DE148D">
      <w:pPr>
        <w:ind w:hanging="2"/>
        <w:jc w:val="left"/>
        <w:rPr>
          <w:rStyle w:val="afc"/>
          <w:rFonts w:ascii="Traditional Arabic" w:eastAsiaTheme="majorEastAsia" w:hAnsi="Traditional Arabic"/>
          <w:b/>
          <w:bCs/>
          <w:i w:val="0"/>
          <w:iCs w:val="0"/>
          <w:smallCaps/>
          <w:color w:val="auto"/>
          <w:spacing w:val="15"/>
          <w:sz w:val="32"/>
          <w:szCs w:val="32"/>
          <w:rtl/>
        </w:rPr>
      </w:pPr>
      <w:r w:rsidRPr="008D620D">
        <w:rPr>
          <w:rStyle w:val="afc"/>
          <w:rFonts w:ascii="Traditional Arabic" w:eastAsiaTheme="majorEastAsia" w:hAnsi="Traditional Arabic" w:hint="cs"/>
          <w:b/>
          <w:bCs/>
          <w:i w:val="0"/>
          <w:iCs w:val="0"/>
          <w:smallCaps/>
          <w:color w:val="auto"/>
          <w:spacing w:val="15"/>
          <w:sz w:val="32"/>
          <w:szCs w:val="32"/>
          <w:rtl/>
        </w:rPr>
        <w:t xml:space="preserve">أولاً : رأي الشيخ المباركفوري ـ رحمه الله ـ في المسألة : </w:t>
      </w:r>
    </w:p>
    <w:p w:rsidR="004014AB" w:rsidRPr="00DE148D" w:rsidRDefault="00DA04BD" w:rsidP="00DE148D">
      <w:pPr>
        <w:ind w:hanging="2"/>
        <w:jc w:val="left"/>
        <w:rPr>
          <w:b/>
          <w:bCs/>
          <w:sz w:val="32"/>
          <w:szCs w:val="32"/>
          <w:rtl/>
        </w:rPr>
      </w:pPr>
      <w:r w:rsidRPr="008D620D">
        <w:rPr>
          <w:rStyle w:val="afc"/>
          <w:rFonts w:ascii="Traditional Arabic" w:eastAsiaTheme="majorEastAsia" w:hAnsi="Traditional Arabic" w:hint="cs"/>
          <w:b/>
          <w:bCs/>
          <w:i w:val="0"/>
          <w:iCs w:val="0"/>
          <w:smallCaps/>
          <w:color w:val="auto"/>
          <w:spacing w:val="15"/>
          <w:sz w:val="32"/>
          <w:szCs w:val="32"/>
          <w:rtl/>
        </w:rPr>
        <w:t>قال ـ رحمه الله ـ :</w:t>
      </w:r>
      <w:r w:rsidRPr="008D620D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" والراجح عندنا أنه يخطب خطبة واحدة ويستقبل القبلة في أثناء الخطبة ويدعو مستقبلاً القبلة " </w:t>
      </w:r>
      <w:r w:rsidRPr="00DA04BD">
        <w:rPr>
          <w:rFonts w:hint="cs"/>
          <w:sz w:val="32"/>
          <w:szCs w:val="32"/>
          <w:vertAlign w:val="superscript"/>
          <w:rtl/>
        </w:rPr>
        <w:t>(</w:t>
      </w:r>
      <w:r w:rsidRPr="00DA04BD">
        <w:rPr>
          <w:rStyle w:val="ae"/>
          <w:sz w:val="32"/>
          <w:szCs w:val="32"/>
          <w:rtl/>
        </w:rPr>
        <w:footnoteReference w:id="2"/>
      </w:r>
      <w:r w:rsidRPr="00DA04BD">
        <w:rPr>
          <w:rFonts w:hint="cs"/>
          <w:sz w:val="32"/>
          <w:szCs w:val="32"/>
          <w:vertAlign w:val="superscript"/>
          <w:rtl/>
        </w:rPr>
        <w:t>)</w:t>
      </w:r>
      <w:r>
        <w:rPr>
          <w:rFonts w:hint="cs"/>
          <w:sz w:val="32"/>
          <w:szCs w:val="32"/>
          <w:rtl/>
        </w:rPr>
        <w:t>.</w:t>
      </w:r>
    </w:p>
    <w:p w:rsidR="004014AB" w:rsidRPr="00DA04BD" w:rsidRDefault="00DA04BD" w:rsidP="00DE148D">
      <w:pPr>
        <w:ind w:hanging="2"/>
        <w:jc w:val="lef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ثانياً : </w:t>
      </w:r>
      <w:r w:rsidR="004014AB" w:rsidRPr="00DA04BD">
        <w:rPr>
          <w:rFonts w:hint="cs"/>
          <w:b/>
          <w:bCs/>
          <w:sz w:val="32"/>
          <w:szCs w:val="32"/>
          <w:rtl/>
        </w:rPr>
        <w:t>أقوال</w:t>
      </w:r>
      <w:r w:rsidR="00FE0FF1" w:rsidRPr="00DA04BD">
        <w:rPr>
          <w:rFonts w:hint="cs"/>
          <w:b/>
          <w:bCs/>
          <w:sz w:val="32"/>
          <w:szCs w:val="32"/>
          <w:rtl/>
        </w:rPr>
        <w:t xml:space="preserve"> العلماء</w:t>
      </w:r>
      <w:r w:rsidR="004014AB" w:rsidRPr="00DA04BD">
        <w:rPr>
          <w:rFonts w:hint="cs"/>
          <w:b/>
          <w:bCs/>
          <w:sz w:val="32"/>
          <w:szCs w:val="32"/>
          <w:rtl/>
        </w:rPr>
        <w:t xml:space="preserve"> في المسألة : </w:t>
      </w:r>
    </w:p>
    <w:p w:rsidR="004014AB" w:rsidRPr="00DA04BD" w:rsidRDefault="004014AB" w:rsidP="00DE148D">
      <w:pPr>
        <w:ind w:hanging="2"/>
        <w:jc w:val="left"/>
        <w:rPr>
          <w:sz w:val="32"/>
          <w:szCs w:val="32"/>
          <w:rtl/>
        </w:rPr>
      </w:pPr>
      <w:r w:rsidRPr="00DA04BD">
        <w:rPr>
          <w:rFonts w:hint="cs"/>
          <w:b/>
          <w:bCs/>
          <w:sz w:val="32"/>
          <w:szCs w:val="32"/>
          <w:rtl/>
        </w:rPr>
        <w:t>القول الأول</w:t>
      </w:r>
      <w:r w:rsidR="008D620D">
        <w:rPr>
          <w:rFonts w:hint="cs"/>
          <w:sz w:val="32"/>
          <w:szCs w:val="32"/>
          <w:rtl/>
        </w:rPr>
        <w:t xml:space="preserve"> : </w:t>
      </w:r>
      <w:r w:rsidRPr="00DA04BD">
        <w:rPr>
          <w:rFonts w:hint="cs"/>
          <w:sz w:val="32"/>
          <w:szCs w:val="32"/>
          <w:rtl/>
        </w:rPr>
        <w:t xml:space="preserve">يستقبل الإمام بعد الخطبة ، وبه قال </w:t>
      </w:r>
      <w:r w:rsidR="00DA04BD">
        <w:rPr>
          <w:rFonts w:hint="cs"/>
          <w:sz w:val="32"/>
          <w:szCs w:val="32"/>
          <w:rtl/>
        </w:rPr>
        <w:t xml:space="preserve">محمد وأبويوسف من الحنفية </w:t>
      </w:r>
      <w:r w:rsidR="00DA04BD" w:rsidRPr="00DA04BD">
        <w:rPr>
          <w:rFonts w:hint="cs"/>
          <w:sz w:val="32"/>
          <w:szCs w:val="32"/>
          <w:vertAlign w:val="superscript"/>
          <w:rtl/>
        </w:rPr>
        <w:t>(</w:t>
      </w:r>
      <w:r w:rsidR="00DA04BD" w:rsidRPr="00DA04BD">
        <w:rPr>
          <w:rStyle w:val="ae"/>
          <w:sz w:val="32"/>
          <w:szCs w:val="32"/>
          <w:rtl/>
        </w:rPr>
        <w:footnoteReference w:id="3"/>
      </w:r>
      <w:r w:rsidR="00DA04BD" w:rsidRPr="00DA04BD">
        <w:rPr>
          <w:rFonts w:hint="cs"/>
          <w:sz w:val="32"/>
          <w:szCs w:val="32"/>
          <w:vertAlign w:val="superscript"/>
          <w:rtl/>
        </w:rPr>
        <w:t>)</w:t>
      </w:r>
      <w:r w:rsidR="00DA04BD">
        <w:rPr>
          <w:rFonts w:hint="cs"/>
          <w:sz w:val="32"/>
          <w:szCs w:val="32"/>
          <w:vertAlign w:val="superscript"/>
          <w:rtl/>
        </w:rPr>
        <w:t xml:space="preserve"> , </w:t>
      </w:r>
      <w:r w:rsidR="00DA04BD">
        <w:rPr>
          <w:rFonts w:hint="cs"/>
          <w:sz w:val="32"/>
          <w:szCs w:val="32"/>
          <w:rtl/>
        </w:rPr>
        <w:t>و</w:t>
      </w:r>
      <w:r w:rsidRPr="00DA04BD">
        <w:rPr>
          <w:rFonts w:hint="cs"/>
          <w:sz w:val="32"/>
          <w:szCs w:val="32"/>
          <w:rtl/>
        </w:rPr>
        <w:t xml:space="preserve">المالكية </w:t>
      </w:r>
      <w:r w:rsidR="00DA04BD" w:rsidRPr="00DA04BD">
        <w:rPr>
          <w:rFonts w:hint="cs"/>
          <w:sz w:val="32"/>
          <w:szCs w:val="32"/>
          <w:vertAlign w:val="superscript"/>
          <w:rtl/>
        </w:rPr>
        <w:t>(</w:t>
      </w:r>
      <w:r w:rsidR="00DA04BD" w:rsidRPr="00DA04BD">
        <w:rPr>
          <w:rStyle w:val="ae"/>
          <w:sz w:val="32"/>
          <w:szCs w:val="32"/>
          <w:rtl/>
        </w:rPr>
        <w:footnoteReference w:id="4"/>
      </w:r>
      <w:r w:rsidR="00DA04BD" w:rsidRPr="00DA04BD">
        <w:rPr>
          <w:rFonts w:hint="cs"/>
          <w:sz w:val="32"/>
          <w:szCs w:val="32"/>
          <w:vertAlign w:val="superscript"/>
          <w:rtl/>
        </w:rPr>
        <w:t>)</w:t>
      </w:r>
      <w:r w:rsidRPr="00DA04BD">
        <w:rPr>
          <w:rFonts w:hint="cs"/>
          <w:sz w:val="32"/>
          <w:szCs w:val="32"/>
          <w:rtl/>
        </w:rPr>
        <w:t>، والشاف</w:t>
      </w:r>
      <w:r w:rsidR="00DA04BD">
        <w:rPr>
          <w:rFonts w:hint="cs"/>
          <w:sz w:val="32"/>
          <w:szCs w:val="32"/>
          <w:rtl/>
        </w:rPr>
        <w:t xml:space="preserve">عية </w:t>
      </w:r>
      <w:r w:rsidR="00DA04BD" w:rsidRPr="00DA04BD">
        <w:rPr>
          <w:rFonts w:hint="cs"/>
          <w:sz w:val="32"/>
          <w:szCs w:val="32"/>
          <w:vertAlign w:val="superscript"/>
          <w:rtl/>
        </w:rPr>
        <w:t>(</w:t>
      </w:r>
      <w:r w:rsidR="00DA04BD" w:rsidRPr="00DA04BD">
        <w:rPr>
          <w:rStyle w:val="ae"/>
          <w:sz w:val="32"/>
          <w:szCs w:val="32"/>
          <w:rtl/>
        </w:rPr>
        <w:footnoteReference w:id="5"/>
      </w:r>
      <w:r w:rsidR="00DA04BD" w:rsidRPr="00DA04BD">
        <w:rPr>
          <w:rFonts w:hint="cs"/>
          <w:sz w:val="32"/>
          <w:szCs w:val="32"/>
          <w:vertAlign w:val="superscript"/>
          <w:rtl/>
        </w:rPr>
        <w:t>)</w:t>
      </w:r>
      <w:r w:rsidR="00DA04BD">
        <w:rPr>
          <w:rFonts w:hint="cs"/>
          <w:sz w:val="32"/>
          <w:szCs w:val="32"/>
          <w:rtl/>
        </w:rPr>
        <w:t>،</w:t>
      </w:r>
      <w:r w:rsidRPr="00DA04BD">
        <w:rPr>
          <w:rFonts w:hint="cs"/>
          <w:sz w:val="32"/>
          <w:szCs w:val="32"/>
          <w:rtl/>
        </w:rPr>
        <w:t xml:space="preserve"> وهو قول عند الحنابلة.</w:t>
      </w:r>
      <w:r w:rsidRPr="00DA04BD">
        <w:rPr>
          <w:rFonts w:hint="cs"/>
          <w:sz w:val="32"/>
          <w:szCs w:val="32"/>
          <w:vertAlign w:val="superscript"/>
          <w:rtl/>
        </w:rPr>
        <w:t xml:space="preserve"> (</w:t>
      </w:r>
      <w:r w:rsidRPr="00DA04BD">
        <w:rPr>
          <w:rStyle w:val="ae"/>
          <w:sz w:val="32"/>
          <w:szCs w:val="32"/>
          <w:rtl/>
        </w:rPr>
        <w:footnoteReference w:id="6"/>
      </w:r>
      <w:r w:rsidRPr="00DA04BD">
        <w:rPr>
          <w:rFonts w:hint="cs"/>
          <w:sz w:val="32"/>
          <w:szCs w:val="32"/>
          <w:vertAlign w:val="superscript"/>
          <w:rtl/>
        </w:rPr>
        <w:t>)</w:t>
      </w:r>
      <w:r w:rsidRPr="00DA04BD">
        <w:rPr>
          <w:rFonts w:hint="cs"/>
          <w:sz w:val="32"/>
          <w:szCs w:val="32"/>
          <w:rtl/>
        </w:rPr>
        <w:t xml:space="preserve"> </w:t>
      </w:r>
    </w:p>
    <w:p w:rsidR="004014AB" w:rsidRPr="00DA04BD" w:rsidRDefault="004014AB" w:rsidP="00DE148D">
      <w:pPr>
        <w:ind w:hanging="2"/>
        <w:jc w:val="left"/>
        <w:rPr>
          <w:sz w:val="32"/>
          <w:szCs w:val="32"/>
          <w:rtl/>
        </w:rPr>
      </w:pPr>
      <w:r w:rsidRPr="00DA04BD">
        <w:rPr>
          <w:rFonts w:hint="cs"/>
          <w:b/>
          <w:bCs/>
          <w:sz w:val="32"/>
          <w:szCs w:val="32"/>
          <w:rtl/>
        </w:rPr>
        <w:t>القول الثاني</w:t>
      </w:r>
      <w:r w:rsidR="008D620D">
        <w:rPr>
          <w:rFonts w:hint="cs"/>
          <w:sz w:val="32"/>
          <w:szCs w:val="32"/>
          <w:rtl/>
        </w:rPr>
        <w:t xml:space="preserve"> : </w:t>
      </w:r>
      <w:r w:rsidRPr="00DA04BD">
        <w:rPr>
          <w:sz w:val="32"/>
          <w:szCs w:val="32"/>
          <w:rtl/>
        </w:rPr>
        <w:t>يستقبل</w:t>
      </w:r>
      <w:r w:rsidR="008D620D">
        <w:rPr>
          <w:rFonts w:hint="cs"/>
          <w:sz w:val="32"/>
          <w:szCs w:val="32"/>
          <w:rtl/>
        </w:rPr>
        <w:t xml:space="preserve"> الإمام</w:t>
      </w:r>
      <w:r w:rsidRPr="00DA04BD">
        <w:rPr>
          <w:sz w:val="32"/>
          <w:szCs w:val="32"/>
          <w:rtl/>
        </w:rPr>
        <w:t xml:space="preserve"> القبلة في أثناء الخطبة.</w:t>
      </w:r>
      <w:r w:rsidRPr="00DA04BD">
        <w:rPr>
          <w:rFonts w:hint="cs"/>
          <w:sz w:val="32"/>
          <w:szCs w:val="32"/>
          <w:rtl/>
        </w:rPr>
        <w:t xml:space="preserve"> وبه قال الحنابلة.</w:t>
      </w:r>
      <w:r w:rsidRPr="00DA04BD">
        <w:rPr>
          <w:rFonts w:hint="cs"/>
          <w:sz w:val="32"/>
          <w:szCs w:val="32"/>
          <w:vertAlign w:val="superscript"/>
          <w:rtl/>
        </w:rPr>
        <w:t xml:space="preserve">  (</w:t>
      </w:r>
      <w:r w:rsidRPr="00DA04BD">
        <w:rPr>
          <w:rStyle w:val="ae"/>
          <w:sz w:val="32"/>
          <w:szCs w:val="32"/>
          <w:rtl/>
        </w:rPr>
        <w:footnoteReference w:id="7"/>
      </w:r>
      <w:r w:rsidRPr="00DA04BD">
        <w:rPr>
          <w:rFonts w:hint="cs"/>
          <w:sz w:val="32"/>
          <w:szCs w:val="32"/>
          <w:vertAlign w:val="superscript"/>
          <w:rtl/>
        </w:rPr>
        <w:t>)</w:t>
      </w:r>
    </w:p>
    <w:p w:rsidR="00B4106F" w:rsidRPr="00DA04BD" w:rsidRDefault="00DA04BD" w:rsidP="00DE148D">
      <w:pPr>
        <w:ind w:hanging="2"/>
        <w:jc w:val="lef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ثالثا</w:t>
      </w:r>
      <w:r w:rsidR="00B4106F" w:rsidRPr="00DA04BD">
        <w:rPr>
          <w:rFonts w:hint="cs"/>
          <w:b/>
          <w:bCs/>
          <w:sz w:val="32"/>
          <w:szCs w:val="32"/>
          <w:rtl/>
        </w:rPr>
        <w:t>ً : الأدلة :</w:t>
      </w:r>
    </w:p>
    <w:p w:rsidR="00DE148D" w:rsidRPr="00DE148D" w:rsidRDefault="00B4106F" w:rsidP="00DE148D">
      <w:pPr>
        <w:numPr>
          <w:ilvl w:val="0"/>
          <w:numId w:val="1"/>
        </w:numPr>
        <w:ind w:hanging="2"/>
        <w:jc w:val="left"/>
        <w:rPr>
          <w:sz w:val="32"/>
          <w:szCs w:val="32"/>
          <w:rtl/>
        </w:rPr>
      </w:pPr>
      <w:r w:rsidRPr="00DA04BD">
        <w:rPr>
          <w:rFonts w:hint="cs"/>
          <w:b/>
          <w:bCs/>
          <w:sz w:val="32"/>
          <w:szCs w:val="32"/>
          <w:rtl/>
        </w:rPr>
        <w:t xml:space="preserve">دليل </w:t>
      </w:r>
      <w:r w:rsidR="00DA04BD">
        <w:rPr>
          <w:rFonts w:hint="cs"/>
          <w:b/>
          <w:bCs/>
          <w:sz w:val="32"/>
          <w:szCs w:val="32"/>
          <w:rtl/>
        </w:rPr>
        <w:t xml:space="preserve">أصحاب </w:t>
      </w:r>
      <w:r w:rsidRPr="00DA04BD">
        <w:rPr>
          <w:rFonts w:hint="cs"/>
          <w:b/>
          <w:bCs/>
          <w:sz w:val="32"/>
          <w:szCs w:val="32"/>
          <w:rtl/>
        </w:rPr>
        <w:t>القول الأول</w:t>
      </w:r>
      <w:r w:rsidRPr="00DA04BD">
        <w:rPr>
          <w:rFonts w:hint="cs"/>
          <w:sz w:val="32"/>
          <w:szCs w:val="32"/>
          <w:rtl/>
        </w:rPr>
        <w:t xml:space="preserve"> : </w:t>
      </w:r>
      <w:r w:rsidRPr="00DE148D">
        <w:rPr>
          <w:rFonts w:hint="cs"/>
          <w:sz w:val="32"/>
          <w:szCs w:val="32"/>
          <w:rtl/>
        </w:rPr>
        <w:t>لم أقف على دليل لهم.</w:t>
      </w:r>
    </w:p>
    <w:p w:rsidR="00FA0C3E" w:rsidRPr="00DE148D" w:rsidRDefault="00B4106F" w:rsidP="00DE148D">
      <w:pPr>
        <w:numPr>
          <w:ilvl w:val="0"/>
          <w:numId w:val="1"/>
        </w:numPr>
        <w:ind w:hanging="2"/>
        <w:jc w:val="left"/>
        <w:rPr>
          <w:sz w:val="32"/>
          <w:szCs w:val="32"/>
          <w:rtl/>
        </w:rPr>
      </w:pPr>
      <w:r w:rsidRPr="00DA04BD">
        <w:rPr>
          <w:rFonts w:hint="cs"/>
          <w:b/>
          <w:bCs/>
          <w:sz w:val="32"/>
          <w:szCs w:val="32"/>
          <w:rtl/>
        </w:rPr>
        <w:t xml:space="preserve">دليل القول الثاني : </w:t>
      </w:r>
      <w:r w:rsidRPr="00DE148D">
        <w:rPr>
          <w:rFonts w:hint="cs"/>
          <w:sz w:val="32"/>
          <w:szCs w:val="32"/>
          <w:rtl/>
        </w:rPr>
        <w:t>استدلوا بما</w:t>
      </w:r>
      <w:r w:rsidR="00FA0C3E" w:rsidRPr="00DE148D">
        <w:rPr>
          <w:rFonts w:hint="cs"/>
          <w:sz w:val="32"/>
          <w:szCs w:val="32"/>
          <w:rtl/>
        </w:rPr>
        <w:t xml:space="preserve"> يلي :</w:t>
      </w:r>
    </w:p>
    <w:p w:rsidR="00C5563F" w:rsidRDefault="008D620D" w:rsidP="00022137">
      <w:pPr>
        <w:ind w:hanging="2"/>
        <w:jc w:val="left"/>
        <w:rPr>
          <w:sz w:val="32"/>
          <w:szCs w:val="32"/>
          <w:rtl/>
        </w:rPr>
      </w:pPr>
      <w:r w:rsidRPr="008D620D">
        <w:rPr>
          <w:rFonts w:hint="cs"/>
          <w:b/>
          <w:bCs/>
          <w:sz w:val="32"/>
          <w:szCs w:val="32"/>
          <w:rtl/>
        </w:rPr>
        <w:t>الدليل الأول :</w:t>
      </w:r>
      <w:r>
        <w:rPr>
          <w:rFonts w:hint="cs"/>
          <w:sz w:val="32"/>
          <w:szCs w:val="32"/>
          <w:rtl/>
        </w:rPr>
        <w:t xml:space="preserve"> عن</w:t>
      </w:r>
      <w:r w:rsidR="00FA0C3E">
        <w:rPr>
          <w:rFonts w:hint="cs"/>
          <w:sz w:val="32"/>
          <w:szCs w:val="32"/>
          <w:rtl/>
        </w:rPr>
        <w:t xml:space="preserve"> </w:t>
      </w:r>
      <w:r w:rsidR="004014AB" w:rsidRPr="00DA04BD">
        <w:rPr>
          <w:sz w:val="32"/>
          <w:szCs w:val="32"/>
          <w:rtl/>
        </w:rPr>
        <w:t>عبد الله بن زيد</w:t>
      </w:r>
      <w:r w:rsidR="00987FFE">
        <w:rPr>
          <w:rFonts w:hint="cs"/>
          <w:sz w:val="32"/>
          <w:szCs w:val="32"/>
          <w:rtl/>
        </w:rPr>
        <w:t xml:space="preserve"> ـ رضي الله عنه ـ </w:t>
      </w:r>
      <w:r w:rsidR="00022137">
        <w:rPr>
          <w:rFonts w:hint="cs"/>
          <w:sz w:val="32"/>
          <w:szCs w:val="32"/>
          <w:rtl/>
        </w:rPr>
        <w:t>((</w:t>
      </w:r>
      <w:r w:rsidR="004014AB" w:rsidRPr="00DA04BD">
        <w:rPr>
          <w:sz w:val="32"/>
          <w:szCs w:val="32"/>
          <w:rtl/>
        </w:rPr>
        <w:t xml:space="preserve"> أن</w:t>
      </w:r>
      <w:r w:rsidR="00022137">
        <w:rPr>
          <w:rFonts w:hint="cs"/>
          <w:sz w:val="32"/>
          <w:szCs w:val="32"/>
          <w:rtl/>
        </w:rPr>
        <w:t>َّ</w:t>
      </w:r>
      <w:r w:rsidR="004014AB" w:rsidRPr="00DA04BD">
        <w:rPr>
          <w:sz w:val="32"/>
          <w:szCs w:val="32"/>
          <w:rtl/>
        </w:rPr>
        <w:t xml:space="preserve"> النبي صلى الله عليه وسلم خرج يستسقي فتوجه إلى القبلة يدعو</w:t>
      </w:r>
      <w:r w:rsidR="00022137">
        <w:rPr>
          <w:rFonts w:hint="cs"/>
          <w:sz w:val="32"/>
          <w:szCs w:val="32"/>
          <w:vertAlign w:val="superscript"/>
          <w:rtl/>
        </w:rPr>
        <w:t xml:space="preserve"> </w:t>
      </w:r>
      <w:r w:rsidR="00022137">
        <w:rPr>
          <w:rFonts w:hint="cs"/>
          <w:sz w:val="32"/>
          <w:szCs w:val="32"/>
          <w:rtl/>
        </w:rPr>
        <w:t xml:space="preserve">)) </w:t>
      </w:r>
      <w:r w:rsidR="004014AB" w:rsidRPr="00DA04BD">
        <w:rPr>
          <w:rFonts w:hint="cs"/>
          <w:sz w:val="32"/>
          <w:szCs w:val="32"/>
          <w:vertAlign w:val="superscript"/>
          <w:rtl/>
        </w:rPr>
        <w:t>(</w:t>
      </w:r>
      <w:r w:rsidR="004014AB" w:rsidRPr="00DA04BD">
        <w:rPr>
          <w:rStyle w:val="ae"/>
          <w:sz w:val="32"/>
          <w:szCs w:val="32"/>
          <w:rtl/>
        </w:rPr>
        <w:footnoteReference w:id="8"/>
      </w:r>
      <w:r w:rsidR="004014AB" w:rsidRPr="00DA04BD">
        <w:rPr>
          <w:rFonts w:hint="cs"/>
          <w:sz w:val="32"/>
          <w:szCs w:val="32"/>
          <w:vertAlign w:val="superscript"/>
          <w:rtl/>
        </w:rPr>
        <w:t>)</w:t>
      </w:r>
      <w:r w:rsidR="004014AB" w:rsidRPr="00DA04BD">
        <w:rPr>
          <w:rFonts w:hint="cs"/>
          <w:sz w:val="32"/>
          <w:szCs w:val="32"/>
          <w:rtl/>
        </w:rPr>
        <w:t>.</w:t>
      </w:r>
      <w:r w:rsidR="004014AB" w:rsidRPr="00DA04BD">
        <w:rPr>
          <w:sz w:val="32"/>
          <w:szCs w:val="32"/>
          <w:rtl/>
        </w:rPr>
        <w:t xml:space="preserve"> </w:t>
      </w:r>
    </w:p>
    <w:p w:rsidR="00FA0C3E" w:rsidRDefault="008D620D" w:rsidP="00022137">
      <w:pPr>
        <w:ind w:hanging="2"/>
        <w:jc w:val="left"/>
        <w:rPr>
          <w:sz w:val="32"/>
          <w:szCs w:val="32"/>
          <w:rtl/>
        </w:rPr>
      </w:pPr>
      <w:r w:rsidRPr="008D620D">
        <w:rPr>
          <w:rFonts w:hint="cs"/>
          <w:b/>
          <w:bCs/>
          <w:sz w:val="32"/>
          <w:szCs w:val="32"/>
          <w:rtl/>
        </w:rPr>
        <w:lastRenderedPageBreak/>
        <w:t>الدليل الثاني :</w:t>
      </w:r>
      <w:r w:rsidR="00FA0C3E">
        <w:rPr>
          <w:rFonts w:hint="cs"/>
          <w:sz w:val="32"/>
          <w:szCs w:val="32"/>
          <w:rtl/>
        </w:rPr>
        <w:t xml:space="preserve"> عن عباد بن تميم ـ رضي الله عنه ـ عن عمه , قال : </w:t>
      </w:r>
      <w:r w:rsidR="00022137">
        <w:rPr>
          <w:rFonts w:hint="cs"/>
          <w:sz w:val="32"/>
          <w:szCs w:val="32"/>
          <w:rtl/>
        </w:rPr>
        <w:t>((</w:t>
      </w:r>
      <w:r w:rsidR="00FA0C3E">
        <w:rPr>
          <w:rFonts w:hint="cs"/>
          <w:sz w:val="32"/>
          <w:szCs w:val="32"/>
          <w:rtl/>
        </w:rPr>
        <w:t xml:space="preserve"> رأيت النبي صلى الله عليه وسلم يوم خرج يستسقي , قال : فحول إلى الناس ظهره , واستقبل القبلة يدعو ...</w:t>
      </w:r>
      <w:r w:rsidR="00022137">
        <w:rPr>
          <w:rFonts w:hint="cs"/>
          <w:sz w:val="32"/>
          <w:szCs w:val="32"/>
          <w:rtl/>
        </w:rPr>
        <w:t>))</w:t>
      </w:r>
      <w:r w:rsidR="00FA0C3E" w:rsidRPr="00DA04BD">
        <w:rPr>
          <w:rFonts w:hint="cs"/>
          <w:sz w:val="32"/>
          <w:szCs w:val="32"/>
          <w:vertAlign w:val="superscript"/>
          <w:rtl/>
        </w:rPr>
        <w:t>(</w:t>
      </w:r>
      <w:r w:rsidR="00FA0C3E" w:rsidRPr="00DA04BD">
        <w:rPr>
          <w:rStyle w:val="ae"/>
          <w:sz w:val="32"/>
          <w:szCs w:val="32"/>
          <w:rtl/>
        </w:rPr>
        <w:footnoteReference w:id="9"/>
      </w:r>
      <w:r w:rsidR="00FA0C3E" w:rsidRPr="00DA04BD">
        <w:rPr>
          <w:rFonts w:hint="cs"/>
          <w:sz w:val="32"/>
          <w:szCs w:val="32"/>
          <w:vertAlign w:val="superscript"/>
          <w:rtl/>
        </w:rPr>
        <w:t>)</w:t>
      </w:r>
      <w:r w:rsidR="00FA0C3E">
        <w:rPr>
          <w:rFonts w:hint="cs"/>
          <w:sz w:val="32"/>
          <w:szCs w:val="32"/>
          <w:rtl/>
        </w:rPr>
        <w:t xml:space="preserve"> .</w:t>
      </w:r>
    </w:p>
    <w:p w:rsidR="00FA0C3E" w:rsidRPr="00DE148D" w:rsidRDefault="00FA0C3E" w:rsidP="00DE148D">
      <w:pPr>
        <w:ind w:hanging="2"/>
        <w:jc w:val="left"/>
        <w:rPr>
          <w:b/>
          <w:bCs/>
          <w:sz w:val="32"/>
          <w:szCs w:val="32"/>
          <w:u w:val="single"/>
          <w:rtl/>
        </w:rPr>
      </w:pPr>
      <w:r w:rsidRPr="00DE148D">
        <w:rPr>
          <w:rFonts w:hint="cs"/>
          <w:b/>
          <w:bCs/>
          <w:sz w:val="32"/>
          <w:szCs w:val="32"/>
          <w:u w:val="single"/>
          <w:rtl/>
        </w:rPr>
        <w:t>وجه الدلالة من الحديثين :</w:t>
      </w:r>
      <w:r>
        <w:rPr>
          <w:rFonts w:hint="cs"/>
          <w:sz w:val="32"/>
          <w:szCs w:val="32"/>
          <w:rtl/>
        </w:rPr>
        <w:t>دل الحديثان على أنَّ النبي صلى الله عليه وسلم استقبل القبلة أثناء خطبة الاستسقاء  .</w:t>
      </w:r>
    </w:p>
    <w:p w:rsidR="00FE0FF1" w:rsidRPr="00DA04BD" w:rsidRDefault="00FE0FF1" w:rsidP="00DE148D">
      <w:pPr>
        <w:ind w:hanging="2"/>
        <w:jc w:val="left"/>
        <w:rPr>
          <w:b/>
          <w:bCs/>
          <w:sz w:val="32"/>
          <w:szCs w:val="32"/>
          <w:rtl/>
        </w:rPr>
      </w:pPr>
      <w:r w:rsidRPr="00DA04BD">
        <w:rPr>
          <w:rFonts w:hint="cs"/>
          <w:b/>
          <w:bCs/>
          <w:sz w:val="32"/>
          <w:szCs w:val="32"/>
          <w:rtl/>
        </w:rPr>
        <w:t>رابعاً : القول الراجح :</w:t>
      </w:r>
    </w:p>
    <w:p w:rsidR="008D620D" w:rsidRDefault="00FE0FF1" w:rsidP="00DE148D">
      <w:pPr>
        <w:ind w:hanging="2"/>
        <w:jc w:val="left"/>
        <w:rPr>
          <w:sz w:val="32"/>
          <w:szCs w:val="32"/>
          <w:rtl/>
        </w:rPr>
      </w:pPr>
      <w:r w:rsidRPr="00DA04BD">
        <w:rPr>
          <w:rFonts w:hint="cs"/>
          <w:sz w:val="32"/>
          <w:szCs w:val="32"/>
          <w:rtl/>
        </w:rPr>
        <w:t>الذي ي</w:t>
      </w:r>
      <w:r w:rsidR="00DA04BD">
        <w:rPr>
          <w:rFonts w:hint="cs"/>
          <w:sz w:val="32"/>
          <w:szCs w:val="32"/>
          <w:rtl/>
        </w:rPr>
        <w:t>ظهر</w:t>
      </w:r>
      <w:r w:rsidR="006D6345">
        <w:rPr>
          <w:rFonts w:hint="cs"/>
          <w:sz w:val="32"/>
          <w:szCs w:val="32"/>
          <w:rtl/>
        </w:rPr>
        <w:t xml:space="preserve"> لي رجحانه</w:t>
      </w:r>
      <w:r w:rsidR="00DA04BD">
        <w:rPr>
          <w:rFonts w:hint="cs"/>
          <w:sz w:val="32"/>
          <w:szCs w:val="32"/>
          <w:rtl/>
        </w:rPr>
        <w:t xml:space="preserve"> ـ</w:t>
      </w:r>
      <w:r w:rsidRPr="00DA04BD">
        <w:rPr>
          <w:rFonts w:hint="cs"/>
          <w:sz w:val="32"/>
          <w:szCs w:val="32"/>
          <w:rtl/>
        </w:rPr>
        <w:t xml:space="preserve"> والله أعلم</w:t>
      </w:r>
      <w:r w:rsidR="00DA04BD">
        <w:rPr>
          <w:rFonts w:hint="cs"/>
          <w:sz w:val="32"/>
          <w:szCs w:val="32"/>
          <w:rtl/>
        </w:rPr>
        <w:t xml:space="preserve"> ـ </w:t>
      </w:r>
      <w:r w:rsidRPr="00DA04BD">
        <w:rPr>
          <w:rFonts w:hint="cs"/>
          <w:sz w:val="32"/>
          <w:szCs w:val="32"/>
          <w:rtl/>
        </w:rPr>
        <w:t xml:space="preserve"> أن</w:t>
      </w:r>
      <w:r w:rsidR="00DA04BD">
        <w:rPr>
          <w:rFonts w:hint="cs"/>
          <w:sz w:val="32"/>
          <w:szCs w:val="32"/>
          <w:rtl/>
        </w:rPr>
        <w:t>َّ</w:t>
      </w:r>
      <w:r w:rsidRPr="00DA04BD">
        <w:rPr>
          <w:rFonts w:hint="cs"/>
          <w:sz w:val="32"/>
          <w:szCs w:val="32"/>
          <w:rtl/>
        </w:rPr>
        <w:t xml:space="preserve"> </w:t>
      </w:r>
      <w:r w:rsidR="00DA04BD">
        <w:rPr>
          <w:rFonts w:hint="cs"/>
          <w:sz w:val="32"/>
          <w:szCs w:val="32"/>
          <w:rtl/>
        </w:rPr>
        <w:t xml:space="preserve">الإمام يستقبل القبلة بعد الخطبة </w:t>
      </w:r>
      <w:r w:rsidR="006D6345">
        <w:rPr>
          <w:rFonts w:hint="cs"/>
          <w:sz w:val="32"/>
          <w:szCs w:val="32"/>
          <w:rtl/>
        </w:rPr>
        <w:t>؛ وذلك لما يلي</w:t>
      </w:r>
      <w:r w:rsidR="008D620D">
        <w:rPr>
          <w:rFonts w:hint="cs"/>
          <w:sz w:val="32"/>
          <w:szCs w:val="32"/>
          <w:rtl/>
        </w:rPr>
        <w:t>:</w:t>
      </w:r>
    </w:p>
    <w:p w:rsidR="00FE0FF1" w:rsidRPr="00DA04BD" w:rsidRDefault="008D620D" w:rsidP="00DE148D">
      <w:pPr>
        <w:ind w:hanging="2"/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ـ</w:t>
      </w:r>
      <w:r w:rsidR="00DA04BD">
        <w:rPr>
          <w:rFonts w:hint="cs"/>
          <w:sz w:val="32"/>
          <w:szCs w:val="32"/>
          <w:rtl/>
        </w:rPr>
        <w:t xml:space="preserve"> لأن</w:t>
      </w:r>
      <w:r>
        <w:rPr>
          <w:rFonts w:hint="cs"/>
          <w:sz w:val="32"/>
          <w:szCs w:val="32"/>
          <w:rtl/>
        </w:rPr>
        <w:t>َّ</w:t>
      </w:r>
      <w:r w:rsidR="00DA04BD">
        <w:rPr>
          <w:rFonts w:hint="cs"/>
          <w:sz w:val="32"/>
          <w:szCs w:val="32"/>
          <w:rtl/>
        </w:rPr>
        <w:t xml:space="preserve"> الإمام في حال الخطبة لا بد أن يكون متوجهاً نحو الناس ليعظهم ويذكرهم بالله عز وجل , فإذا انتهى من الخطبة توجه نحو القبلة ودعا وتضرع إلى الله عز وجل </w:t>
      </w:r>
      <w:r w:rsidR="00FA0C3E">
        <w:rPr>
          <w:rFonts w:hint="cs"/>
          <w:sz w:val="32"/>
          <w:szCs w:val="32"/>
          <w:rtl/>
        </w:rPr>
        <w:t>بأن يغيث</w:t>
      </w:r>
      <w:r>
        <w:rPr>
          <w:rFonts w:hint="cs"/>
          <w:sz w:val="32"/>
          <w:szCs w:val="32"/>
          <w:rtl/>
        </w:rPr>
        <w:t xml:space="preserve"> الله ـ عز وجل ـ</w:t>
      </w:r>
      <w:r w:rsidR="00FA0C3E">
        <w:rPr>
          <w:rFonts w:hint="cs"/>
          <w:sz w:val="32"/>
          <w:szCs w:val="32"/>
          <w:rtl/>
        </w:rPr>
        <w:t xml:space="preserve"> البلاد والعباد . </w:t>
      </w:r>
    </w:p>
    <w:sectPr w:rsidR="00FE0FF1" w:rsidRPr="00DA04BD" w:rsidSect="00454745">
      <w:headerReference w:type="default" r:id="rId8"/>
      <w:footerReference w:type="default" r:id="rId9"/>
      <w:footnotePr>
        <w:numRestart w:val="eachPage"/>
      </w:footnotePr>
      <w:pgSz w:w="11906" w:h="16838"/>
      <w:pgMar w:top="1243" w:right="1985" w:bottom="1701" w:left="1701" w:header="709" w:footer="709" w:gutter="567"/>
      <w:pgNumType w:fmt="numberInDash" w:start="68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F1F" w:rsidRDefault="00036F1F">
      <w:r>
        <w:separator/>
      </w:r>
    </w:p>
  </w:endnote>
  <w:endnote w:type="continuationSeparator" w:id="1">
    <w:p w:rsidR="00036F1F" w:rsidRDefault="00036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151094"/>
      <w:docPartObj>
        <w:docPartGallery w:val="Page Numbers (Bottom of Page)"/>
        <w:docPartUnique/>
      </w:docPartObj>
    </w:sdtPr>
    <w:sdtContent>
      <w:p w:rsidR="00BB61A1" w:rsidRDefault="00B3749E">
        <w:pPr>
          <w:pStyle w:val="afd"/>
          <w:jc w:val="center"/>
        </w:pPr>
        <w:fldSimple w:instr=" PAGE   \* MERGEFORMAT ">
          <w:r w:rsidR="00454745" w:rsidRPr="00454745">
            <w:rPr>
              <w:rFonts w:cs="Calibri"/>
              <w:noProof/>
              <w:rtl/>
              <w:lang w:val="ar-SA"/>
            </w:rPr>
            <w:t>-</w:t>
          </w:r>
          <w:r w:rsidR="00454745">
            <w:rPr>
              <w:noProof/>
              <w:rtl/>
            </w:rPr>
            <w:t xml:space="preserve"> </w:t>
          </w:r>
          <w:r w:rsidR="00454745" w:rsidRPr="00454745">
            <w:rPr>
              <w:b/>
              <w:bCs/>
              <w:noProof/>
              <w:rtl/>
            </w:rPr>
            <w:t>683</w:t>
          </w:r>
          <w:r w:rsidR="00454745">
            <w:rPr>
              <w:noProof/>
              <w:rtl/>
            </w:rPr>
            <w:t xml:space="preserve"> -</w:t>
          </w:r>
        </w:fldSimple>
      </w:p>
    </w:sdtContent>
  </w:sdt>
  <w:p w:rsidR="00BB61A1" w:rsidRDefault="00BB61A1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F1F" w:rsidRDefault="00036F1F" w:rsidP="001D7AA7">
      <w:pPr>
        <w:ind w:firstLine="0"/>
      </w:pPr>
      <w:r>
        <w:separator/>
      </w:r>
    </w:p>
  </w:footnote>
  <w:footnote w:type="continuationSeparator" w:id="1">
    <w:p w:rsidR="00036F1F" w:rsidRDefault="00036F1F" w:rsidP="001D7AA7">
      <w:pPr>
        <w:ind w:firstLine="0"/>
      </w:pPr>
      <w:r>
        <w:separator/>
      </w:r>
    </w:p>
  </w:footnote>
  <w:footnote w:id="2">
    <w:p w:rsidR="00DA04BD" w:rsidRPr="00796C3B" w:rsidRDefault="00DA04BD" w:rsidP="00DE14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8D620D">
        <w:rPr>
          <w:rStyle w:val="ae"/>
          <w:rFonts w:eastAsiaTheme="minorHAnsi"/>
          <w:color w:val="auto"/>
          <w:vertAlign w:val="baseline"/>
          <w:lang w:eastAsia="en-US"/>
        </w:rPr>
        <w:t>(</w:t>
      </w:r>
      <w:r w:rsidRPr="008D620D">
        <w:rPr>
          <w:rStyle w:val="ae"/>
          <w:rFonts w:ascii="Traditional Arabic" w:eastAsiaTheme="minorHAnsi" w:hAnsi="Traditional Arabic"/>
          <w:color w:val="auto"/>
          <w:sz w:val="32"/>
          <w:szCs w:val="32"/>
          <w:vertAlign w:val="baseline"/>
          <w:lang w:eastAsia="en-US"/>
        </w:rPr>
        <w:footnoteRef/>
      </w:r>
      <w:r w:rsidRPr="008D620D">
        <w:rPr>
          <w:rStyle w:val="ae"/>
          <w:rFonts w:eastAsiaTheme="minorHAnsi"/>
          <w:color w:val="auto"/>
          <w:vertAlign w:val="baseline"/>
          <w:lang w:eastAsia="en-US"/>
        </w:rPr>
        <w:t>)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انظر : </w:t>
      </w:r>
      <w:r>
        <w:rPr>
          <w:rFonts w:ascii="Traditional Arabic" w:hAnsi="Traditional Arabic" w:hint="cs"/>
          <w:sz w:val="32"/>
          <w:szCs w:val="32"/>
          <w:rtl/>
        </w:rPr>
        <w:t xml:space="preserve">مرعاة المفاتيح ( 5/175 ) . </w:t>
      </w:r>
    </w:p>
  </w:footnote>
  <w:footnote w:id="3">
    <w:p w:rsidR="00DA04BD" w:rsidRPr="00796C3B" w:rsidRDefault="00DA04BD" w:rsidP="00DE14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(</w:t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footnoteRef/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)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</w:t>
      </w:r>
      <w:r w:rsidRPr="00796C3B">
        <w:rPr>
          <w:rFonts w:ascii="Traditional Arabic" w:hAnsi="Traditional Arabic" w:hint="cs"/>
          <w:sz w:val="32"/>
          <w:szCs w:val="32"/>
          <w:rtl/>
        </w:rPr>
        <w:t>انظر : بدائع الصنائع للكاساني (2/262) ، تحفة الفقهاء للسمرقندي (1/186).</w:t>
      </w:r>
    </w:p>
  </w:footnote>
  <w:footnote w:id="4">
    <w:p w:rsidR="00DA04BD" w:rsidRPr="00796C3B" w:rsidRDefault="00DA04BD" w:rsidP="00DE14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(</w:t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footnoteRef/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)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انظر : </w:t>
      </w:r>
      <w:r w:rsidRPr="00796C3B">
        <w:rPr>
          <w:rFonts w:ascii="Traditional Arabic" w:hAnsi="Traditional Arabic"/>
          <w:sz w:val="32"/>
          <w:szCs w:val="32"/>
          <w:rtl/>
        </w:rPr>
        <w:t xml:space="preserve">الذخيرة 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للقرافي </w:t>
      </w:r>
      <w:r w:rsidRPr="00796C3B">
        <w:rPr>
          <w:rFonts w:ascii="Traditional Arabic" w:hAnsi="Traditional Arabic"/>
          <w:sz w:val="32"/>
          <w:szCs w:val="32"/>
          <w:rtl/>
        </w:rPr>
        <w:t>(2/435)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،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الشرح الكبير مع حاشية الدسوقي (1/406) ، التاج والإكليل لمختصر خليل (2/596) ، التلقين في الفقه المالكي للقاضي عبد الوهاب (1/54) ، </w:t>
      </w:r>
      <w:r w:rsidRPr="00796C3B">
        <w:rPr>
          <w:rFonts w:ascii="Traditional Arabic" w:hAnsi="Traditional Arabic"/>
          <w:sz w:val="32"/>
          <w:szCs w:val="32"/>
          <w:rtl/>
        </w:rPr>
        <w:t>الثمر الداني في تقريب المعاني شرح رسالة ابن أبي زيد القيرواني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للشيخ صالح الأزهري ص (261).</w:t>
      </w:r>
    </w:p>
  </w:footnote>
  <w:footnote w:id="5">
    <w:p w:rsidR="00DA04BD" w:rsidRPr="00796C3B" w:rsidRDefault="00DA04BD" w:rsidP="00DE14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(</w:t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footnoteRef/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)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</w:t>
      </w:r>
      <w:r w:rsidRPr="00796C3B">
        <w:rPr>
          <w:rFonts w:ascii="Traditional Arabic" w:hAnsi="Traditional Arabic" w:hint="cs"/>
          <w:sz w:val="32"/>
          <w:szCs w:val="32"/>
          <w:rtl/>
        </w:rPr>
        <w:t>انظر :</w:t>
      </w:r>
      <w:r w:rsidRPr="00796C3B">
        <w:rPr>
          <w:rtl/>
        </w:rPr>
        <w:t xml:space="preserve"> </w:t>
      </w:r>
      <w:r w:rsidRPr="00796C3B">
        <w:rPr>
          <w:rFonts w:ascii="Traditional Arabic" w:hAnsi="Traditional Arabic"/>
          <w:sz w:val="32"/>
          <w:szCs w:val="32"/>
          <w:rtl/>
        </w:rPr>
        <w:t>الأم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للشافعي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(1/251)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، فتح العزيز للرافعي (5/99) ، روضة الطالبين للنووي (2/94) ، البيان في مذهب الشافعي للعمراني (2/683) ، مغني المحتاج للشربيني (1/440).</w:t>
      </w:r>
    </w:p>
  </w:footnote>
  <w:footnote w:id="6">
    <w:p w:rsidR="004014AB" w:rsidRPr="00796C3B" w:rsidRDefault="004014AB" w:rsidP="00DE14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(</w:t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footnoteRef/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)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انظر : </w:t>
      </w:r>
      <w:r w:rsidRPr="00796C3B">
        <w:rPr>
          <w:rFonts w:ascii="Traditional Arabic" w:hAnsi="Traditional Arabic"/>
          <w:sz w:val="32"/>
          <w:szCs w:val="32"/>
          <w:rtl/>
        </w:rPr>
        <w:t>المبدع شرح المقنع</w:t>
      </w:r>
      <w:r>
        <w:rPr>
          <w:rFonts w:ascii="Traditional Arabic" w:hAnsi="Traditional Arabic" w:hint="cs"/>
          <w:sz w:val="32"/>
          <w:szCs w:val="32"/>
          <w:rtl/>
        </w:rPr>
        <w:t xml:space="preserve"> لابن مفلح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(2/189)</w:t>
      </w:r>
      <w:r w:rsidRPr="00796C3B">
        <w:rPr>
          <w:rFonts w:ascii="Traditional Arabic" w:hAnsi="Traditional Arabic" w:hint="cs"/>
          <w:sz w:val="32"/>
          <w:szCs w:val="32"/>
          <w:rtl/>
        </w:rPr>
        <w:t>،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الفروع وتصحيح الفروع (3/232).</w:t>
      </w:r>
    </w:p>
  </w:footnote>
  <w:footnote w:id="7">
    <w:p w:rsidR="004014AB" w:rsidRPr="00796C3B" w:rsidRDefault="004014AB" w:rsidP="00DE14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(</w:t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footnoteRef/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)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انظر : المغني لابن قدامة (3/339) وما بعدها ، الممتع في شرح المقنع للتنوخي (1/693) </w:t>
      </w:r>
      <w:r w:rsidRPr="00796C3B">
        <w:rPr>
          <w:rFonts w:ascii="Traditional Arabic" w:hAnsi="Traditional Arabic"/>
          <w:sz w:val="32"/>
          <w:szCs w:val="32"/>
          <w:rtl/>
        </w:rPr>
        <w:t>الإقناع في فقه الإمام أحمد بن حنبل (1/208)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، </w:t>
      </w:r>
      <w:r w:rsidRPr="00796C3B">
        <w:rPr>
          <w:rFonts w:ascii="Traditional Arabic" w:hAnsi="Traditional Arabic"/>
          <w:sz w:val="32"/>
          <w:szCs w:val="32"/>
          <w:rtl/>
        </w:rPr>
        <w:t>المبدع شرح المقنع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لابن مفلح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(2/188)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Pr="00796C3B">
        <w:rPr>
          <w:rFonts w:ascii="Traditional Arabic" w:hAnsi="Traditional Arabic"/>
          <w:sz w:val="32"/>
          <w:szCs w:val="32"/>
          <w:rtl/>
        </w:rPr>
        <w:t xml:space="preserve">كشاف القناع 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للبهوتي </w:t>
      </w:r>
      <w:r w:rsidRPr="00796C3B">
        <w:rPr>
          <w:rFonts w:ascii="Traditional Arabic" w:hAnsi="Traditional Arabic"/>
          <w:sz w:val="32"/>
          <w:szCs w:val="32"/>
          <w:rtl/>
        </w:rPr>
        <w:t>(2/71)</w:t>
      </w:r>
      <w:r w:rsidR="00D643AF">
        <w:rPr>
          <w:rFonts w:ascii="Traditional Arabic" w:hAnsi="Traditional Arabic" w:hint="cs"/>
          <w:sz w:val="32"/>
          <w:szCs w:val="32"/>
          <w:rtl/>
        </w:rPr>
        <w:t xml:space="preserve"> , الإنصاف (2/458) .</w:t>
      </w:r>
    </w:p>
  </w:footnote>
  <w:footnote w:id="8">
    <w:p w:rsidR="004014AB" w:rsidRPr="00796C3B" w:rsidRDefault="004014AB" w:rsidP="00DE14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(</w:t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footnoteRef/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)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</w:t>
      </w:r>
      <w:r w:rsidRPr="00796C3B">
        <w:rPr>
          <w:rFonts w:ascii="Traditional Arabic" w:hAnsi="Traditional Arabic" w:hint="cs"/>
          <w:sz w:val="32"/>
          <w:szCs w:val="32"/>
          <w:rtl/>
        </w:rPr>
        <w:t>متفق عليه ؛ أخرجه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البخاري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في</w:t>
      </w:r>
      <w:r w:rsidR="00FA0C3E">
        <w:rPr>
          <w:rFonts w:ascii="Traditional Arabic" w:hAnsi="Traditional Arabic" w:hint="cs"/>
          <w:sz w:val="32"/>
          <w:szCs w:val="32"/>
          <w:rtl/>
        </w:rPr>
        <w:t xml:space="preserve"> صحيحه</w:t>
      </w:r>
      <w:r w:rsidR="008D620D">
        <w:rPr>
          <w:rFonts w:ascii="Traditional Arabic" w:hAnsi="Traditional Arabic" w:hint="cs"/>
          <w:sz w:val="32"/>
          <w:szCs w:val="32"/>
          <w:rtl/>
        </w:rPr>
        <w:t xml:space="preserve"> ,</w:t>
      </w:r>
      <w:r w:rsidR="00FA0C3E">
        <w:rPr>
          <w:rFonts w:ascii="Traditional Arabic" w:hAnsi="Traditional Arabic" w:hint="cs"/>
          <w:sz w:val="32"/>
          <w:szCs w:val="32"/>
          <w:rtl/>
        </w:rPr>
        <w:t xml:space="preserve"> في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كتاب الاستسقاء ، باب </w:t>
      </w:r>
      <w:r w:rsidR="008D620D">
        <w:rPr>
          <w:rFonts w:ascii="Traditional Arabic" w:hAnsi="Traditional Arabic" w:hint="cs"/>
          <w:sz w:val="32"/>
          <w:szCs w:val="32"/>
          <w:rtl/>
        </w:rPr>
        <w:t>استقبال القبلة في الدعاء (2/31) برقم (1028)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، ومسلم في أول كتاب</w:t>
      </w:r>
      <w:r w:rsidR="000C1938">
        <w:rPr>
          <w:rFonts w:ascii="Traditional Arabic" w:hAnsi="Traditional Arabic" w:hint="cs"/>
          <w:sz w:val="32"/>
          <w:szCs w:val="32"/>
          <w:rtl/>
        </w:rPr>
        <w:t xml:space="preserve"> صلاة</w:t>
      </w:r>
      <w:r w:rsidRPr="00796C3B">
        <w:rPr>
          <w:rFonts w:ascii="Traditional Arabic" w:hAnsi="Traditional Arabic" w:hint="cs"/>
          <w:sz w:val="32"/>
          <w:szCs w:val="32"/>
          <w:rtl/>
        </w:rPr>
        <w:t xml:space="preserve"> الاستسقاء</w:t>
      </w:r>
      <w:r w:rsidR="000C1938">
        <w:rPr>
          <w:rFonts w:ascii="Traditional Arabic" w:hAnsi="Traditional Arabic" w:hint="cs"/>
          <w:sz w:val="32"/>
          <w:szCs w:val="32"/>
          <w:rtl/>
        </w:rPr>
        <w:t xml:space="preserve"> </w:t>
      </w:r>
      <w:r w:rsidR="008D620D">
        <w:rPr>
          <w:rFonts w:ascii="Traditional Arabic" w:hAnsi="Traditional Arabic" w:hint="cs"/>
          <w:sz w:val="32"/>
          <w:szCs w:val="32"/>
          <w:rtl/>
        </w:rPr>
        <w:t>(2/611) برقم (894) .</w:t>
      </w:r>
    </w:p>
  </w:footnote>
  <w:footnote w:id="9">
    <w:p w:rsidR="00FA0C3E" w:rsidRPr="00796C3B" w:rsidRDefault="00FA0C3E" w:rsidP="00DE148D">
      <w:pPr>
        <w:pStyle w:val="af3"/>
        <w:ind w:left="423" w:hanging="425"/>
        <w:jc w:val="lowKashida"/>
        <w:rPr>
          <w:rFonts w:ascii="Traditional Arabic" w:hAnsi="Traditional Arabic"/>
          <w:sz w:val="32"/>
          <w:szCs w:val="32"/>
        </w:rPr>
      </w:pP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(</w:t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footnoteRef/>
      </w:r>
      <w:r w:rsidRPr="00D63CA8">
        <w:rPr>
          <w:rStyle w:val="ae"/>
          <w:rFonts w:eastAsiaTheme="minorHAnsi"/>
          <w:color w:val="auto"/>
          <w:vertAlign w:val="baseline"/>
          <w:lang w:eastAsia="en-US"/>
        </w:rPr>
        <w:t>)</w:t>
      </w:r>
      <w:r w:rsidRPr="00796C3B">
        <w:rPr>
          <w:rFonts w:ascii="Traditional Arabic" w:hAnsi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sz w:val="32"/>
          <w:szCs w:val="32"/>
          <w:rtl/>
        </w:rPr>
        <w:t>أخرجه البخاري في صحيحه</w:t>
      </w:r>
      <w:r w:rsidR="00D63CA8">
        <w:rPr>
          <w:rFonts w:ascii="Traditional Arabic" w:hAnsi="Traditional Arabic" w:hint="cs"/>
          <w:sz w:val="32"/>
          <w:szCs w:val="32"/>
          <w:rtl/>
        </w:rPr>
        <w:t xml:space="preserve"> ,</w:t>
      </w:r>
      <w:r>
        <w:rPr>
          <w:rFonts w:ascii="Traditional Arabic" w:hAnsi="Traditional Arabic" w:hint="cs"/>
          <w:sz w:val="32"/>
          <w:szCs w:val="32"/>
          <w:rtl/>
        </w:rPr>
        <w:t xml:space="preserve"> في كتاب الاستسقاء , باب كيف حول النبي صلى الله عليه وسلم ظهره إلى الناس (2/31) برقم (1025)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E01D24C483AE4C959536E5551F61208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E148D" w:rsidRPr="00DE148D" w:rsidRDefault="00DE148D" w:rsidP="00DE148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DE148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الثاني عشر: وقت استقبال القبلة للدعاء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56CF0"/>
    <w:multiLevelType w:val="hybridMultilevel"/>
    <w:tmpl w:val="3D149948"/>
    <w:lvl w:ilvl="0" w:tplc="F1C47B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014AB"/>
    <w:rsid w:val="00022137"/>
    <w:rsid w:val="00036F1F"/>
    <w:rsid w:val="00083294"/>
    <w:rsid w:val="000C1938"/>
    <w:rsid w:val="001B3220"/>
    <w:rsid w:val="001D7AA7"/>
    <w:rsid w:val="002A2E72"/>
    <w:rsid w:val="00305526"/>
    <w:rsid w:val="00336EC0"/>
    <w:rsid w:val="00377AAC"/>
    <w:rsid w:val="004014AB"/>
    <w:rsid w:val="004445F8"/>
    <w:rsid w:val="00454745"/>
    <w:rsid w:val="00462828"/>
    <w:rsid w:val="00501FCF"/>
    <w:rsid w:val="005B3ED5"/>
    <w:rsid w:val="005B5412"/>
    <w:rsid w:val="00682B6F"/>
    <w:rsid w:val="0069054F"/>
    <w:rsid w:val="006B7A69"/>
    <w:rsid w:val="006D6345"/>
    <w:rsid w:val="00703C6D"/>
    <w:rsid w:val="0077601E"/>
    <w:rsid w:val="007A7242"/>
    <w:rsid w:val="007B1564"/>
    <w:rsid w:val="007B72C8"/>
    <w:rsid w:val="00845D44"/>
    <w:rsid w:val="00864555"/>
    <w:rsid w:val="00875E98"/>
    <w:rsid w:val="008D620D"/>
    <w:rsid w:val="008F20AB"/>
    <w:rsid w:val="008F7F11"/>
    <w:rsid w:val="00923805"/>
    <w:rsid w:val="009609DB"/>
    <w:rsid w:val="00987FFE"/>
    <w:rsid w:val="009B7238"/>
    <w:rsid w:val="00A44C74"/>
    <w:rsid w:val="00A8045E"/>
    <w:rsid w:val="00A80F3F"/>
    <w:rsid w:val="00A934A2"/>
    <w:rsid w:val="00AA16E4"/>
    <w:rsid w:val="00AD602F"/>
    <w:rsid w:val="00AE520F"/>
    <w:rsid w:val="00B3749E"/>
    <w:rsid w:val="00B4106F"/>
    <w:rsid w:val="00B432B8"/>
    <w:rsid w:val="00B72274"/>
    <w:rsid w:val="00B94450"/>
    <w:rsid w:val="00BB61A1"/>
    <w:rsid w:val="00BD0BDF"/>
    <w:rsid w:val="00BF119E"/>
    <w:rsid w:val="00C126BD"/>
    <w:rsid w:val="00C40B83"/>
    <w:rsid w:val="00C460F9"/>
    <w:rsid w:val="00C5563F"/>
    <w:rsid w:val="00C649B8"/>
    <w:rsid w:val="00CB21FE"/>
    <w:rsid w:val="00CC16FB"/>
    <w:rsid w:val="00CE6E4F"/>
    <w:rsid w:val="00D4781A"/>
    <w:rsid w:val="00D63CA8"/>
    <w:rsid w:val="00D643AF"/>
    <w:rsid w:val="00DA04BD"/>
    <w:rsid w:val="00DB73A7"/>
    <w:rsid w:val="00DE148D"/>
    <w:rsid w:val="00DE4B2E"/>
    <w:rsid w:val="00DF0BC4"/>
    <w:rsid w:val="00E0440F"/>
    <w:rsid w:val="00E30AFA"/>
    <w:rsid w:val="00E7555E"/>
    <w:rsid w:val="00F823A2"/>
    <w:rsid w:val="00FA0C3E"/>
    <w:rsid w:val="00FC0D85"/>
    <w:rsid w:val="00FE0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4AB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336EC0"/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uiPriority w:val="99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styleId="afc">
    <w:name w:val="Emphasis"/>
    <w:basedOn w:val="a0"/>
    <w:qFormat/>
    <w:rsid w:val="00DA04BD"/>
    <w:rPr>
      <w:i/>
      <w:iCs/>
    </w:rPr>
  </w:style>
  <w:style w:type="paragraph" w:styleId="afd">
    <w:name w:val="footer"/>
    <w:basedOn w:val="a"/>
    <w:link w:val="Char0"/>
    <w:uiPriority w:val="99"/>
    <w:rsid w:val="00DE148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DE148D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DE148D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01D24C483AE4C959536E5551F61208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7FBCB68-488A-42F0-BA55-A1D6A67856BE}"/>
      </w:docPartPr>
      <w:docPartBody>
        <w:p w:rsidR="00B36361" w:rsidRDefault="0065312E" w:rsidP="0065312E">
          <w:pPr>
            <w:pStyle w:val="E01D24C483AE4C959536E5551F61208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5312E"/>
    <w:rsid w:val="00063BE6"/>
    <w:rsid w:val="0065312E"/>
    <w:rsid w:val="007A44D7"/>
    <w:rsid w:val="00B1281C"/>
    <w:rsid w:val="00B36361"/>
    <w:rsid w:val="00C4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01D24C483AE4C959536E5551F612087">
    <w:name w:val="E01D24C483AE4C959536E5551F612087"/>
    <w:rsid w:val="0065312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43445-03E4-4630-8B86-04644792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المسألة الأولى : وقت استقبال القبلة في صلاة الاستسقاء</vt:lpstr>
    </vt:vector>
  </TitlesOfParts>
  <Company>DELL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 عشر: وقت استقبال القبلة للدعاء</dc:title>
  <dc:subject/>
  <dc:creator>DELL</dc:creator>
  <cp:keywords/>
  <dc:description/>
  <cp:lastModifiedBy>xp</cp:lastModifiedBy>
  <cp:revision>13</cp:revision>
  <dcterms:created xsi:type="dcterms:W3CDTF">2012-07-12T12:58:00Z</dcterms:created>
  <dcterms:modified xsi:type="dcterms:W3CDTF">2012-09-23T11:02:00Z</dcterms:modified>
</cp:coreProperties>
</file>