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04" w:rsidRPr="008452F9" w:rsidRDefault="002533C6" w:rsidP="001E3310">
      <w:pPr>
        <w:pStyle w:val="a6"/>
        <w:jc w:val="center"/>
        <w:rPr>
          <w:rStyle w:val="a3"/>
          <w:rFonts w:ascii="Traditional Arabic" w:hAnsi="Traditional Arabic" w:cs="AL-Mateen"/>
          <w:b/>
          <w:bCs/>
          <w:color w:val="auto"/>
          <w:spacing w:val="0"/>
          <w:sz w:val="36"/>
          <w:szCs w:val="36"/>
          <w:shd w:val="clear" w:color="auto" w:fill="auto"/>
          <w:rtl/>
        </w:rPr>
      </w:pPr>
      <w:r w:rsidRPr="008452F9">
        <w:rPr>
          <w:rStyle w:val="a3"/>
          <w:rFonts w:ascii="Traditional Arabic" w:hAnsi="Traditional Arabic" w:cs="AL-Mateen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>المطلب الرابع عشر : حكم تحويل الرداء للمأمومين</w:t>
      </w:r>
      <w:r w:rsidR="008452F9">
        <w:rPr>
          <w:rStyle w:val="a3"/>
          <w:rFonts w:ascii="Traditional Arabic" w:hAnsi="Traditional Arabic" w:cs="AL-Mateen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 xml:space="preserve"> .</w:t>
      </w:r>
    </w:p>
    <w:p w:rsidR="002533C6" w:rsidRPr="001E3310" w:rsidRDefault="002533C6" w:rsidP="001E3310">
      <w:pPr>
        <w:spacing w:after="0" w:line="240" w:lineRule="auto"/>
        <w:rPr>
          <w:rStyle w:val="a3"/>
          <w:rFonts w:ascii="Traditional Arabic" w:eastAsiaTheme="majorEastAsia" w:hAnsi="Traditional Arabic" w:cs="Traditional Arabic"/>
          <w:b/>
          <w:bCs/>
          <w:i w:val="0"/>
          <w:iCs w:val="0"/>
          <w:sz w:val="36"/>
          <w:szCs w:val="36"/>
          <w:rtl/>
        </w:rPr>
      </w:pPr>
      <w:r w:rsidRPr="001E3310">
        <w:rPr>
          <w:rStyle w:val="a3"/>
          <w:rFonts w:ascii="Traditional Arabic" w:eastAsiaTheme="majorEastAsia" w:hAns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2533C6" w:rsidRPr="001E3310" w:rsidRDefault="002533C6" w:rsidP="001E3310">
      <w:pPr>
        <w:spacing w:after="0" w:line="240" w:lineRule="auto"/>
        <w:rPr>
          <w:rFonts w:ascii="Traditional Arabic" w:eastAsiaTheme="majorEastAsia" w:hAnsi="Traditional Arabic" w:cs="Traditional Arabic"/>
          <w:b/>
          <w:bCs/>
          <w:sz w:val="36"/>
          <w:szCs w:val="36"/>
          <w:rtl/>
        </w:rPr>
      </w:pPr>
      <w:r w:rsidRPr="001E3310">
        <w:rPr>
          <w:rStyle w:val="a3"/>
          <w:rFonts w:ascii="Traditional Arabic" w:eastAsiaTheme="majorEastAsia" w:hAns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قال ـ رحمه الله ـ : 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" ويستحب أن يحول الناس بتحويل الإمام وهو قول الجمهور ...." ثم قال " والحق ما ذهب إليه الجمهور "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.  </w:t>
      </w:r>
    </w:p>
    <w:p w:rsidR="002533C6" w:rsidRPr="001E3310" w:rsidRDefault="002533C6" w:rsidP="001E3310">
      <w:pPr>
        <w:pStyle w:val="a6"/>
        <w:jc w:val="both"/>
        <w:rPr>
          <w:rFonts w:ascii="Traditional Arabic" w:hAnsi="Traditional Arabic" w:cs="Traditional Arabic"/>
          <w:i w:val="0"/>
          <w:iCs w:val="0"/>
          <w:color w:val="auto"/>
          <w:spacing w:val="0"/>
          <w:sz w:val="36"/>
          <w:szCs w:val="36"/>
          <w:shd w:val="clear" w:color="auto" w:fill="auto"/>
          <w:rtl/>
        </w:rPr>
      </w:pPr>
      <w:r w:rsidRPr="001E3310">
        <w:rPr>
          <w:rStyle w:val="a3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>ثاني</w:t>
      </w:r>
      <w:r w:rsidRPr="001E3310">
        <w:rPr>
          <w:rStyle w:val="a3"/>
          <w:rFonts w:ascii="Traditional Arabic" w:hAnsi="Traditional Arabic" w:cs="Traditional Arabic"/>
          <w:color w:val="auto"/>
          <w:spacing w:val="0"/>
          <w:sz w:val="36"/>
          <w:szCs w:val="36"/>
          <w:shd w:val="clear" w:color="auto" w:fill="auto"/>
          <w:rtl/>
        </w:rPr>
        <w:t>ا</w:t>
      </w:r>
      <w:r w:rsidRPr="001E3310">
        <w:rPr>
          <w:rStyle w:val="a3"/>
          <w:rFonts w:ascii="Traditional Arabic" w:hAnsi="Traditional Arabic" w:cs="Traditional Arabic" w:hint="cs"/>
          <w:color w:val="auto"/>
          <w:spacing w:val="0"/>
          <w:sz w:val="36"/>
          <w:szCs w:val="36"/>
          <w:shd w:val="clear" w:color="auto" w:fill="auto"/>
          <w:rtl/>
        </w:rPr>
        <w:t>ً : أقوال العلماء في المسألة :</w:t>
      </w:r>
    </w:p>
    <w:p w:rsidR="002533C6" w:rsidRPr="001E3310" w:rsidRDefault="002533C6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t>اختلف العلماء في حكم تحويل الرداء للمأمومين على قولين :</w:t>
      </w:r>
    </w:p>
    <w:p w:rsidR="002533C6" w:rsidRPr="001E3310" w:rsidRDefault="002533C6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القول الأول :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ذهب المالكية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، والشافعية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، والحنابلة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>، إلى أنه يستحب تحويل الرداء للمأمومين بتحويل الإمام ردائه في صلاة الاستسقاء .</w:t>
      </w:r>
    </w:p>
    <w:p w:rsidR="002533C6" w:rsidRPr="001E3310" w:rsidRDefault="002533C6" w:rsidP="001E3310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القول الثاني :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ذهب محمد بن الحسن وأبو يوسف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, وسعيد بن المسيب , والثوري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إلى أنَّ تحويل الرداء مختص </w:t>
      </w:r>
      <w:r w:rsidR="00AB09DE" w:rsidRPr="001E3310">
        <w:rPr>
          <w:rFonts w:ascii="Traditional Arabic" w:hAnsi="Traditional Arabic" w:cs="Traditional Arabic" w:hint="cs"/>
          <w:sz w:val="36"/>
          <w:szCs w:val="36"/>
          <w:rtl/>
        </w:rPr>
        <w:t>بالإمام دون المأموم .</w:t>
      </w:r>
    </w:p>
    <w:p w:rsidR="00AB09DE" w:rsidRPr="001E3310" w:rsidRDefault="00AB09DE" w:rsidP="001E3310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AB09DE" w:rsidRPr="001E3310" w:rsidRDefault="00AB09DE" w:rsidP="001E3310">
      <w:pPr>
        <w:pStyle w:val="a7"/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أدلة أصحاب القول الأول :استدلوا بما يلي : </w:t>
      </w:r>
    </w:p>
    <w:p w:rsidR="00AB09DE" w:rsidRPr="001E3310" w:rsidRDefault="0089107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AB09DE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عن عبد الله بن زيد ـ رضي الله عنه ـ قال : " رأيت رسول الله صلى الله عليه وسلم حين استسقى لنا أطال الدعاء وأكثر المسألة , قال : ثم تحول إلى القبلة وحول رداءه فقلبه ظهراً لبطن وتحول الناس معه "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AB09DE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1E3310" w:rsidRDefault="00AB09D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وجه الدلالة : 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قوله " وتحول الناس معه " فيه دلالة على استحباب تحويل الرداء في حق </w:t>
      </w:r>
    </w:p>
    <w:p w:rsidR="00AB09DE" w:rsidRPr="001E3310" w:rsidRDefault="00AB09DE" w:rsidP="001E3310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المأمومين .</w:t>
      </w:r>
    </w:p>
    <w:p w:rsidR="00F21A11" w:rsidRPr="001E3310" w:rsidRDefault="0089107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أنَّ ما فعله النبي صلى الله عليه وسلم ثبت في حق غيره , ما لم يقم على اختصاصه به دليل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21A11" w:rsidRPr="001E3310" w:rsidRDefault="00F21A11" w:rsidP="001E3310">
      <w:pPr>
        <w:pStyle w:val="a7"/>
        <w:numPr>
          <w:ilvl w:val="0"/>
          <w:numId w:val="2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دليل أصحاب القول الثاني :</w:t>
      </w:r>
    </w:p>
    <w:p w:rsidR="00F21A11" w:rsidRPr="001E3310" w:rsidRDefault="00F21A11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قالوا : لأنه نُقل عن النبي صلى الله عليه وسلم دون أصحابه , فيبقى الحكم على الأصل وهو استحباب تحويل الرداء للإمام دون المأموم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F21A11" w:rsidRPr="001E3310" w:rsidRDefault="00F21A11" w:rsidP="001E3310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رابعاً : القول الراجح :</w:t>
      </w:r>
    </w:p>
    <w:p w:rsidR="00F21A11" w:rsidRPr="001E3310" w:rsidRDefault="00F21A11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t>الذي يظهر</w:t>
      </w:r>
      <w:r w:rsidR="00ED0927">
        <w:rPr>
          <w:rFonts w:ascii="Traditional Arabic" w:hAnsi="Traditional Arabic" w:cs="Traditional Arabic" w:hint="cs"/>
          <w:sz w:val="36"/>
          <w:szCs w:val="36"/>
          <w:rtl/>
        </w:rPr>
        <w:t xml:space="preserve"> لي رجحانه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ـ والعلم عند الله تعالى ـ  ما ذهب إليه الجمهور من استحباب تحويل الرداء للمأمومين</w:t>
      </w:r>
      <w:r w:rsidR="0089107E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؛ وذلك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لما يلي :</w:t>
      </w:r>
    </w:p>
    <w:p w:rsidR="00F21A11" w:rsidRPr="001E3310" w:rsidRDefault="0089107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t>أولاً :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لعموم قوله عليه الصلاة والسلام (( إنما جُعل الإمام ليؤتم به ))</w:t>
      </w:r>
      <w:r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1"/>
      </w:r>
      <w:r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F21A11" w:rsidRPr="001E3310" w:rsidRDefault="0089107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3310">
        <w:rPr>
          <w:rFonts w:ascii="Traditional Arabic" w:hAnsi="Traditional Arabic" w:cs="Traditional Arabic" w:hint="cs"/>
          <w:sz w:val="36"/>
          <w:szCs w:val="36"/>
          <w:rtl/>
        </w:rPr>
        <w:t>ثانياً :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 وليقلب الله ما بهم من الجدب إلى الخصب 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(</w:t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61053F" w:rsidRPr="001E3310">
        <w:rPr>
          <w:rStyle w:val="a5"/>
          <w:rFonts w:ascii="Traditional Arabic" w:hAnsi="Traditional Arabic" w:cs="Traditional Arabic"/>
          <w:sz w:val="36"/>
          <w:szCs w:val="36"/>
          <w:rtl/>
        </w:rPr>
        <w:t>)</w:t>
      </w:r>
      <w:r w:rsidR="00F21A11" w:rsidRPr="001E3310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AB09DE" w:rsidRPr="001E3310" w:rsidRDefault="00AB09DE" w:rsidP="001E3310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533C6" w:rsidRPr="001E3310" w:rsidRDefault="002533C6" w:rsidP="001E3310">
      <w:pPr>
        <w:spacing w:after="0" w:line="240" w:lineRule="auto"/>
        <w:rPr>
          <w:rtl/>
        </w:rPr>
      </w:pPr>
    </w:p>
    <w:p w:rsidR="002533C6" w:rsidRPr="001E3310" w:rsidRDefault="002533C6" w:rsidP="001E3310">
      <w:pPr>
        <w:spacing w:after="0" w:line="240" w:lineRule="auto"/>
        <w:rPr>
          <w:sz w:val="32"/>
          <w:szCs w:val="32"/>
        </w:rPr>
      </w:pPr>
    </w:p>
    <w:sectPr w:rsidR="002533C6" w:rsidRPr="001E3310" w:rsidSect="007B3B98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8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0CE" w:rsidRDefault="005270CE" w:rsidP="002533C6">
      <w:pPr>
        <w:spacing w:after="0" w:line="240" w:lineRule="auto"/>
      </w:pPr>
      <w:r>
        <w:separator/>
      </w:r>
    </w:p>
  </w:endnote>
  <w:endnote w:type="continuationSeparator" w:id="1">
    <w:p w:rsidR="005270CE" w:rsidRDefault="005270CE" w:rsidP="00253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309469"/>
      <w:docPartObj>
        <w:docPartGallery w:val="Page Numbers (Bottom of Page)"/>
        <w:docPartUnique/>
      </w:docPartObj>
    </w:sdtPr>
    <w:sdtContent>
      <w:p w:rsidR="008452F9" w:rsidRDefault="00BA653D" w:rsidP="008452F9">
        <w:pPr>
          <w:pStyle w:val="a9"/>
          <w:jc w:val="center"/>
        </w:pPr>
        <w:fldSimple w:instr=" PAGE   \* MERGEFORMAT ">
          <w:r w:rsidR="007B3B98">
            <w:rPr>
              <w:noProof/>
              <w:rtl/>
            </w:rPr>
            <w:t xml:space="preserve">- </w:t>
          </w:r>
          <w:r w:rsidR="007B3B98" w:rsidRPr="007B3B98">
            <w:rPr>
              <w:b/>
              <w:bCs/>
              <w:noProof/>
              <w:rtl/>
            </w:rPr>
            <w:t>688</w:t>
          </w:r>
          <w:r w:rsidR="007B3B98">
            <w:rPr>
              <w:noProof/>
              <w:rtl/>
            </w:rPr>
            <w:t xml:space="preserve"> -</w:t>
          </w:r>
        </w:fldSimple>
      </w:p>
    </w:sdtContent>
  </w:sdt>
  <w:p w:rsidR="008452F9" w:rsidRDefault="008452F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0CE" w:rsidRDefault="005270CE" w:rsidP="002533C6">
      <w:pPr>
        <w:spacing w:after="0" w:line="240" w:lineRule="auto"/>
      </w:pPr>
      <w:r>
        <w:separator/>
      </w:r>
    </w:p>
  </w:footnote>
  <w:footnote w:type="continuationSeparator" w:id="1">
    <w:p w:rsidR="005270CE" w:rsidRDefault="005270CE" w:rsidP="002533C6">
      <w:pPr>
        <w:spacing w:after="0" w:line="240" w:lineRule="auto"/>
      </w:pPr>
      <w:r>
        <w:continuationSeparator/>
      </w:r>
    </w:p>
  </w:footnote>
  <w:footnote w:id="2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( 5/176) .</w:t>
      </w:r>
    </w:p>
  </w:footnote>
  <w:footnote w:id="3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انظر:</w:t>
      </w:r>
      <w:r w:rsidR="005C0D17" w:rsidRPr="005C0D1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C0D17">
        <w:rPr>
          <w:rFonts w:ascii="Traditional Arabic" w:hAnsi="Traditional Arabic" w:cs="Traditional Arabic" w:hint="cs"/>
          <w:sz w:val="32"/>
          <w:szCs w:val="32"/>
          <w:rtl/>
        </w:rPr>
        <w:t xml:space="preserve">الكافي في فقه أهل المدينة (1/268) ,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التاج والإكليل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2/206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)،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الفواكة الدواني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1/281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)،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منح الجليل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1/476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4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2904BF">
        <w:rPr>
          <w:rStyle w:val="a5"/>
          <w:rFonts w:hint="cs"/>
          <w:sz w:val="32"/>
          <w:szCs w:val="32"/>
          <w:vertAlign w:val="baseline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انظر:</w:t>
      </w:r>
      <w:r w:rsidR="005C0D17" w:rsidRPr="005C0D1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C0D17">
        <w:rPr>
          <w:rFonts w:ascii="Traditional Arabic" w:hAnsi="Traditional Arabic" w:cs="Traditional Arabic" w:hint="cs"/>
          <w:sz w:val="32"/>
          <w:szCs w:val="32"/>
          <w:rtl/>
        </w:rPr>
        <w:t>الأم (1/287)</w:t>
      </w:r>
      <w:r w:rsidR="005C0D17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الإقناع للشربيني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1/193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)،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فتح الوهاب لزكريا الأنصاري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1/152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)،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حاشية البج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ي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رمي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1/442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5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انظر: المغني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3/340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)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، </w:t>
      </w:r>
      <w:r w:rsidR="0089107E">
        <w:rPr>
          <w:rFonts w:ascii="Traditional Arabic" w:eastAsia="Calibri" w:hAnsi="Traditional Arabic" w:cs="Traditional Arabic" w:hint="cs"/>
          <w:sz w:val="32"/>
          <w:szCs w:val="32"/>
          <w:rtl/>
        </w:rPr>
        <w:t>ا</w:t>
      </w:r>
      <w:r w:rsidR="0089107E" w:rsidRPr="0089107E">
        <w:rPr>
          <w:rFonts w:ascii="Traditional Arabic" w:eastAsia="Calibri" w:hAnsi="Traditional Arabic" w:cs="Traditional Arabic" w:hint="cs"/>
          <w:sz w:val="32"/>
          <w:szCs w:val="32"/>
          <w:rtl/>
        </w:rPr>
        <w:t>لإنصاف (2/459)</w:t>
      </w:r>
      <w:r w:rsidR="0089107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، وشرح منتهى الإرادات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1/337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6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انظر:حاشية الطحاوي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1/362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)،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بدائع الصنائع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1/284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)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</w:p>
  </w:footnote>
  <w:footnote w:id="7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نقله عنهم ابن قدامة في المغني ( 3/340) , والنووي في المجموع ( 5/103) .</w:t>
      </w:r>
    </w:p>
  </w:footnote>
  <w:footnote w:id="8">
    <w:p w:rsidR="0089107E" w:rsidRDefault="0061053F" w:rsidP="001E3310">
      <w:pPr>
        <w:pStyle w:val="a4"/>
        <w:ind w:left="368" w:hanging="426"/>
        <w:rPr>
          <w:rFonts w:ascii="Traditional Arabic" w:eastAsia="Calibri" w:hAnsi="Traditional Arabic" w:cs="Traditional Arabic"/>
          <w:sz w:val="32"/>
          <w:szCs w:val="32"/>
          <w:rtl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أحمد في مسنده (26/388)</w:t>
      </w:r>
      <w:r w:rsidR="0089107E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(16465)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وقال عنه الأرناؤوط في تحقيق المسند </w:t>
      </w:r>
    </w:p>
    <w:p w:rsidR="0061053F" w:rsidRPr="0061053F" w:rsidRDefault="0089107E" w:rsidP="001E3310">
      <w:pPr>
        <w:pStyle w:val="a4"/>
        <w:ind w:left="368"/>
      </w:pPr>
      <w:r>
        <w:rPr>
          <w:rFonts w:ascii="Traditional Arabic" w:eastAsia="Calibri" w:hAnsi="Traditional Arabic" w:cs="Traditional Arabic" w:hint="cs"/>
          <w:sz w:val="32"/>
          <w:szCs w:val="32"/>
          <w:rtl/>
        </w:rPr>
        <w:t>(</w:t>
      </w:r>
      <w:r w:rsidR="0061053F"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26/388) : " حديث صحيح دون قوله : وتحول الناس معه , فهو حسن " .</w:t>
      </w:r>
      <w:r w:rsidR="0061053F">
        <w:rPr>
          <w:rFonts w:hint="cs"/>
          <w:rtl/>
        </w:rPr>
        <w:t xml:space="preserve"> </w:t>
      </w:r>
    </w:p>
  </w:footnote>
  <w:footnote w:id="9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(3/341) .</w:t>
      </w:r>
    </w:p>
  </w:footnote>
  <w:footnote w:id="10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2904BF">
        <w:rPr>
          <w:rStyle w:val="a5"/>
          <w:rFonts w:hint="cs"/>
          <w:vertAlign w:val="baseline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(3/341) .</w:t>
      </w:r>
    </w:p>
  </w:footnote>
  <w:footnote w:id="11">
    <w:p w:rsidR="0089107E" w:rsidRPr="003D5033" w:rsidRDefault="0089107E" w:rsidP="002904BF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904BF">
        <w:rPr>
          <w:rFonts w:ascii="Traditional Arabic" w:eastAsia="Calibri" w:hAnsi="Traditional Arabic" w:cs="Traditional Arabic" w:hint="cs"/>
          <w:sz w:val="32"/>
          <w:szCs w:val="32"/>
          <w:rtl/>
        </w:rPr>
        <w:t>تقدم</w:t>
      </w:r>
      <w:r w:rsidR="005A35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تخريجه </w:t>
      </w:r>
      <w:r w:rsidR="002904BF">
        <w:rPr>
          <w:rFonts w:ascii="Traditional Arabic" w:eastAsia="Calibri" w:hAnsi="Traditional Arabic" w:cs="Traditional Arabic" w:hint="cs"/>
          <w:sz w:val="32"/>
          <w:szCs w:val="32"/>
          <w:rtl/>
        </w:rPr>
        <w:t>ص (75)</w:t>
      </w:r>
      <w:r w:rsidR="005A354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2">
    <w:p w:rsidR="0061053F" w:rsidRPr="003D5033" w:rsidRDefault="0061053F" w:rsidP="001E3310">
      <w:pPr>
        <w:pStyle w:val="a4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2904BF">
        <w:rPr>
          <w:rStyle w:val="a5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61053F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(3/341)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Char"/>
        <w:rFonts w:ascii="Traditional Arabic" w:eastAsiaTheme="majorEastAsia" w:hAnsi="Traditional Arabic" w:cs="mohammad bold art 1"/>
        <w:noProof/>
        <w:spacing w:val="15"/>
        <w:sz w:val="24"/>
        <w:szCs w:val="24"/>
        <w:rtl/>
      </w:rPr>
      <w:alias w:val="العنوان"/>
      <w:id w:val="77738743"/>
      <w:placeholder>
        <w:docPart w:val="127B042DE30649509F5030DB7A77787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3310" w:rsidRPr="001E3310" w:rsidRDefault="001E3310" w:rsidP="001E331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المطلب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الرابع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عشر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: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حكم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تحويل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الرداء</w:t>
        </w:r>
        <w:r w:rsidRPr="001E3310">
          <w:rPr>
            <w:rStyle w:val="Char"/>
            <w:rFonts w:ascii="Traditional Arabic" w:eastAsiaTheme="majorEastAsia" w:hAnsi="Traditional Arabic" w:cs="mohammad bold art 1"/>
            <w:noProof/>
            <w:spacing w:val="15"/>
            <w:sz w:val="24"/>
            <w:szCs w:val="24"/>
            <w:rtl/>
          </w:rPr>
          <w:t xml:space="preserve"> </w:t>
        </w:r>
        <w:r w:rsidRPr="001E3310">
          <w:rPr>
            <w:rStyle w:val="Char"/>
            <w:rFonts w:ascii="Traditional Arabic" w:eastAsiaTheme="majorEastAsia" w:hAnsi="Traditional Arabic" w:cs="mohammad bold art 1" w:hint="cs"/>
            <w:noProof/>
            <w:spacing w:val="15"/>
            <w:sz w:val="24"/>
            <w:szCs w:val="24"/>
            <w:rtl/>
          </w:rPr>
          <w:t>للمأمومين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F7B74"/>
    <w:multiLevelType w:val="hybridMultilevel"/>
    <w:tmpl w:val="10EA5CD8"/>
    <w:lvl w:ilvl="0" w:tplc="1E5617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A5E31"/>
    <w:multiLevelType w:val="hybridMultilevel"/>
    <w:tmpl w:val="125A84F4"/>
    <w:lvl w:ilvl="0" w:tplc="3ABCA7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533C6"/>
    <w:rsid w:val="001E3310"/>
    <w:rsid w:val="00236924"/>
    <w:rsid w:val="002533C6"/>
    <w:rsid w:val="002904BF"/>
    <w:rsid w:val="002E6545"/>
    <w:rsid w:val="0047198E"/>
    <w:rsid w:val="0047234B"/>
    <w:rsid w:val="0047536D"/>
    <w:rsid w:val="005270CE"/>
    <w:rsid w:val="00533D04"/>
    <w:rsid w:val="00595333"/>
    <w:rsid w:val="005A3548"/>
    <w:rsid w:val="005C0D17"/>
    <w:rsid w:val="0061053F"/>
    <w:rsid w:val="00612E0E"/>
    <w:rsid w:val="00654B1F"/>
    <w:rsid w:val="00681D29"/>
    <w:rsid w:val="006A3C67"/>
    <w:rsid w:val="006E50A3"/>
    <w:rsid w:val="007B3B98"/>
    <w:rsid w:val="008452F9"/>
    <w:rsid w:val="008569E1"/>
    <w:rsid w:val="0088137A"/>
    <w:rsid w:val="0089107E"/>
    <w:rsid w:val="008B3F38"/>
    <w:rsid w:val="00AB09DE"/>
    <w:rsid w:val="00BA653D"/>
    <w:rsid w:val="00BE21B0"/>
    <w:rsid w:val="00C32AE8"/>
    <w:rsid w:val="00C363DA"/>
    <w:rsid w:val="00C74164"/>
    <w:rsid w:val="00DB652D"/>
    <w:rsid w:val="00DE1A79"/>
    <w:rsid w:val="00ED0927"/>
    <w:rsid w:val="00F21A11"/>
    <w:rsid w:val="00F24AE4"/>
    <w:rsid w:val="00FA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0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533C6"/>
    <w:rPr>
      <w:i/>
      <w:iCs/>
    </w:rPr>
  </w:style>
  <w:style w:type="paragraph" w:styleId="a4">
    <w:name w:val="footnote text"/>
    <w:basedOn w:val="a"/>
    <w:link w:val="Char"/>
    <w:uiPriority w:val="99"/>
    <w:unhideWhenUsed/>
    <w:rsid w:val="002533C6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rsid w:val="002533C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33C6"/>
    <w:rPr>
      <w:vertAlign w:val="superscript"/>
    </w:rPr>
  </w:style>
  <w:style w:type="paragraph" w:styleId="a6">
    <w:name w:val="Subtitle"/>
    <w:basedOn w:val="a"/>
    <w:next w:val="a"/>
    <w:link w:val="Char0"/>
    <w:qFormat/>
    <w:rsid w:val="002533C6"/>
    <w:pPr>
      <w:numPr>
        <w:ilvl w:val="1"/>
      </w:numPr>
      <w:spacing w:after="0" w:line="240" w:lineRule="auto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6"/>
    <w:rsid w:val="002533C6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AB09DE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1E3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1E3310"/>
  </w:style>
  <w:style w:type="paragraph" w:styleId="a9">
    <w:name w:val="footer"/>
    <w:basedOn w:val="a"/>
    <w:link w:val="Char2"/>
    <w:uiPriority w:val="99"/>
    <w:unhideWhenUsed/>
    <w:rsid w:val="001E3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1E3310"/>
  </w:style>
  <w:style w:type="paragraph" w:styleId="aa">
    <w:name w:val="Balloon Text"/>
    <w:basedOn w:val="a"/>
    <w:link w:val="Char3"/>
    <w:uiPriority w:val="99"/>
    <w:semiHidden/>
    <w:unhideWhenUsed/>
    <w:rsid w:val="001E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1E3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7B042DE30649509F5030DB7A77787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F443F38-CEB8-465B-9847-AFE0048EBCC9}"/>
      </w:docPartPr>
      <w:docPartBody>
        <w:p w:rsidR="007B19CF" w:rsidRDefault="00CC4EB6" w:rsidP="00CC4EB6">
          <w:pPr>
            <w:pStyle w:val="127B042DE30649509F5030DB7A77787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C4EB6"/>
    <w:rsid w:val="003E7A50"/>
    <w:rsid w:val="007B19CF"/>
    <w:rsid w:val="00BB2B12"/>
    <w:rsid w:val="00C04475"/>
    <w:rsid w:val="00CC4EB6"/>
    <w:rsid w:val="00E5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7B042DE30649509F5030DB7A77787D">
    <w:name w:val="127B042DE30649509F5030DB7A77787D"/>
    <w:rsid w:val="00CC4EB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99DA0-D8CB-40B0-8BA0-E44D72F0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عشر : حكم تحويل الرداء للمأمومين</dc:title>
  <dc:subject/>
  <dc:creator>xp</dc:creator>
  <cp:keywords/>
  <dc:description/>
  <cp:lastModifiedBy>xp</cp:lastModifiedBy>
  <cp:revision>12</cp:revision>
  <dcterms:created xsi:type="dcterms:W3CDTF">2012-07-12T13:46:00Z</dcterms:created>
  <dcterms:modified xsi:type="dcterms:W3CDTF">2012-09-23T11:04:00Z</dcterms:modified>
</cp:coreProperties>
</file>