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D5" w:rsidRPr="005825E7" w:rsidRDefault="003B3A88" w:rsidP="00390DD5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5825E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الرابع : حكم قراءة الفاتحة في صلاة الجنازة</w:t>
      </w:r>
      <w:r w:rsidR="005825E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 </w:t>
      </w:r>
    </w:p>
    <w:p w:rsidR="003B3A88" w:rsidRPr="008E5D22" w:rsidRDefault="003B3A88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في المسألة :</w:t>
      </w:r>
    </w:p>
    <w:p w:rsidR="003B3A88" w:rsidRPr="00390DD5" w:rsidRDefault="003B3A88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قال ـ رحمه الله ـ  :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والحق والصواب أنَّ قراءة الفاتحة في صلاة الجنازة واجبة "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C57CE1" w:rsidRPr="008E5D22" w:rsidRDefault="00C57CE1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3B3A88" w:rsidRPr="008E5D22" w:rsidRDefault="00C57CE1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اختلف العلماء في مشروعية قراءة الفاتحة في صلاة الجنازة على قولين : </w:t>
      </w:r>
    </w:p>
    <w:p w:rsidR="00C57CE1" w:rsidRPr="00F176A8" w:rsidRDefault="00390DD5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الأول</w:t>
      </w:r>
      <w:r w:rsidR="00C57CE1"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: </w:t>
      </w:r>
      <w:r w:rsidR="00C57CE1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وجوب قراءة الفاتحة في صلاة الجنازة , وبه قال الشافعية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57CE1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والحنابلة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57CE1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C57CE1" w:rsidRPr="00F176A8" w:rsidRDefault="00C57CE1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الثاني :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>لا تُقرأ فاتحة الكتاب في صلاة الجنازة , وبه قال الحنفية</w:t>
      </w:r>
      <w:r w:rsidR="00A5655E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والمالكية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C81CA0" w:rsidRPr="008E5D22" w:rsidRDefault="00C81CA0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ثالثاً : الأدلة : </w:t>
      </w:r>
    </w:p>
    <w:p w:rsidR="00C81CA0" w:rsidRPr="00390DD5" w:rsidRDefault="00C81CA0" w:rsidP="00390DD5">
      <w:pPr>
        <w:pStyle w:val="a5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أدلة </w:t>
      </w:r>
      <w:r w:rsidR="00F176A8"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أصحاب </w:t>
      </w: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الأول : </w:t>
      </w:r>
      <w:r w:rsidRPr="00390DD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C81CA0" w:rsidRPr="008E5D22" w:rsidRDefault="00F176A8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C81CA0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عبادة بن الصامت ـ رضي الله عنه ـ , عن النبي صلى الله عليه وسلم أنه قال : (( لا صلاة إلا بفاتحة الكتاب ))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C81CA0" w:rsidRPr="00390DD5" w:rsidRDefault="00C81CA0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390DD5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 xml:space="preserve">وجه الدلالة : 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>دلّ الحديث بعمومه على عدم صحة الصلاة بدون فاتحة الكتاب , وصلاة الجنازة تسمّى صلاة , لقوله تعالى</w:t>
      </w:r>
      <w:r>
        <w:rPr>
          <w:rFonts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>
        <w:rPr>
          <w:rFonts w:ascii="QCF_P200" w:hAnsi="QCF_P200" w:cs="QCF_P200"/>
          <w:color w:val="000000"/>
          <w:sz w:val="32"/>
          <w:szCs w:val="32"/>
          <w:rtl/>
        </w:rPr>
        <w:t xml:space="preserve">ﮯ  ﮰ  ﮱ  ﯓ  ﯔ  ﯕ  ﯖ  </w:t>
      </w:r>
      <w:r>
        <w:rPr>
          <w:rFonts w:ascii="QCF_BSML" w:hAnsi="QCF_BSML" w:cs="QCF_BSML"/>
          <w:color w:val="000000"/>
          <w:sz w:val="32"/>
          <w:szCs w:val="32"/>
          <w:rtl/>
        </w:rPr>
        <w:t>ﭼ</w:t>
      </w:r>
      <w:r>
        <w:rPr>
          <w:rFonts w:ascii="Arial" w:hAnsi="Arial" w:cs="Arial" w:hint="cs"/>
          <w:color w:val="000000"/>
          <w:sz w:val="18"/>
          <w:szCs w:val="18"/>
          <w:rtl/>
        </w:rPr>
        <w:t xml:space="preserve"> .</w:t>
      </w:r>
      <w:r>
        <w:rPr>
          <w:rFonts w:ascii="Arial" w:hAnsi="Arial" w:cs="Arial"/>
          <w:color w:val="000000"/>
          <w:sz w:val="18"/>
          <w:szCs w:val="18"/>
          <w:rtl/>
        </w:rPr>
        <w:t xml:space="preserve">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92651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فسماها الله صلاة </w:t>
      </w:r>
      <w:r w:rsidR="008E5D22" w:rsidRPr="008E5D22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176A8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390DD5" w:rsidRDefault="00F176A8" w:rsidP="006610BA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B92651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طلحة بن عبد الله بن عوف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B92651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قال : </w:t>
      </w:r>
      <w:r w:rsidR="006610BA">
        <w:rPr>
          <w:rFonts w:ascii="Traditional Arabic" w:eastAsia="Calibri" w:hAnsi="Traditional Arabic" w:cs="Traditional Arabic" w:hint="cs"/>
          <w:sz w:val="36"/>
          <w:szCs w:val="36"/>
          <w:rtl/>
        </w:rPr>
        <w:t>"</w:t>
      </w:r>
      <w:r w:rsidR="00B92651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صليت خلف ابن عباس ـ </w:t>
      </w:r>
    </w:p>
    <w:p w:rsidR="00B92651" w:rsidRPr="008E5D22" w:rsidRDefault="00B92651" w:rsidP="006610BA">
      <w:pPr>
        <w:spacing w:after="0" w:line="23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lastRenderedPageBreak/>
        <w:t xml:space="preserve">رضي الله عنهما ـ على جنازة , فقرأ بفاتحة الكتاب , فقال : ليعلموا أنها سنة </w:t>
      </w:r>
      <w:r w:rsidR="006610BA">
        <w:rPr>
          <w:rFonts w:ascii="Traditional Arabic" w:eastAsia="Calibri" w:hAnsi="Traditional Arabic" w:cs="Traditional Arabic" w:hint="cs"/>
          <w:sz w:val="36"/>
          <w:szCs w:val="36"/>
          <w:rtl/>
        </w:rPr>
        <w:t>"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176A8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9C426D" w:rsidRPr="008E5D22" w:rsidRDefault="00B92651" w:rsidP="00390DD5">
      <w:pPr>
        <w:spacing w:after="0" w:line="23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321F3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</w:t>
      </w:r>
      <w:r w:rsidRPr="00390DD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:</w:t>
      </w:r>
      <w:r w:rsidR="009C426D"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الإمام النووي ـ رحمه الله ـ : </w:t>
      </w:r>
    </w:p>
    <w:p w:rsidR="009C426D" w:rsidRPr="008E5D22" w:rsidRDefault="009C426D" w:rsidP="00390DD5">
      <w:pPr>
        <w:spacing w:after="0" w:line="23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وقوله " سنة " هو كقول الصحابي ـ رضي الله عنه ـ : من السنة كذا , فيكون مرفوعاً إلى رسول الله صلى الله عليه وسلم على المذهب الصحيح الذي قاله جمهور العلماء من أصحابنا في الأصول , وغيرهم من الأصوليين والمحدثين "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176A8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9C426D" w:rsidRPr="008E5D22" w:rsidRDefault="00F176A8" w:rsidP="00390DD5">
      <w:pPr>
        <w:spacing w:after="0" w:line="23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9C426D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أمامة ـ رضي الله عنه ـ أنه قال : " السنة في الصلاة على الجنازة أنّ يقرأ في التكبيرة الأولى بأمّ القرآن مخافته , ثم يكبّر ثلاثاً , والتسليم عند الآخرة "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9C426D" w:rsidRPr="008E5D22" w:rsidRDefault="009C426D" w:rsidP="00390DD5">
      <w:pPr>
        <w:spacing w:after="0" w:line="23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321F3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واضح بيَن من الحديث في مشروعية قراءة الفاتحة في صلاة الجنازة .</w:t>
      </w:r>
    </w:p>
    <w:p w:rsidR="00434157" w:rsidRPr="00390DD5" w:rsidRDefault="00434157" w:rsidP="00390DD5">
      <w:pPr>
        <w:pStyle w:val="a5"/>
        <w:numPr>
          <w:ilvl w:val="0"/>
          <w:numId w:val="2"/>
        </w:numPr>
        <w:spacing w:after="0" w:line="23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</w:t>
      </w:r>
      <w:r w:rsidR="00F176A8"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أصحاب</w:t>
      </w: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القول الثاني :</w:t>
      </w:r>
      <w:r w:rsidRPr="00390DD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434157" w:rsidRPr="008E5D22" w:rsidRDefault="00F176A8" w:rsidP="00390DD5">
      <w:pPr>
        <w:spacing w:after="0" w:line="23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434157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هريرة ـ رضي الله عنه ـ قال : سمعت رسول الله صلى الله عليه وسلم يقول : " إذا صليتم على الميت فأخلصوا له الدعاء "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390DD5" w:rsidRDefault="00434157" w:rsidP="00390DD5">
      <w:pPr>
        <w:spacing w:after="0" w:line="23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321F3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>وجه الدلالة</w:t>
      </w:r>
      <w:r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: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دل الحديث على مشروعية الدعاء , وعدم مشروعية القراءة ؛ لأنه لم يأمر </w:t>
      </w:r>
    </w:p>
    <w:p w:rsidR="00434157" w:rsidRPr="00390DD5" w:rsidRDefault="00390DD5" w:rsidP="00390DD5">
      <w:pPr>
        <w:spacing w:after="0" w:line="23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>بالقراءة</w:t>
      </w:r>
      <w:r w:rsidR="00434157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434157" w:rsidRPr="008E5D22" w:rsidRDefault="00F176A8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434157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نافع أنَّ عبد الله بن عمر ـ رضي الله عنهما ـ كان لا يقرأ في الصلاة </w:t>
      </w:r>
      <w:r w:rsidR="00D33B63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على الجنازة </w:t>
      </w:r>
      <w:r w:rsidR="008E5D22" w:rsidRPr="008E5D22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867136" w:rsidRPr="008E5D22" w:rsidRDefault="00F176A8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D33B63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سعيد المقبري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D33B63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أنه سأل أبا هريرة , كيف تُصلي على الجنازة ؟ فقال : أبو هريرة ـ رضي الله عنه ـ : " أنا لعمر الله أخبرك , أتبعُها من أهلها , فإذا وُضِعَت كبّرت وحَمِدك الله , وصلّيت على نبيه , ثم أقول : اللهم إنه عبدُك وابن عبدِك وابن أمتك , كان يشهد </w:t>
      </w:r>
      <w:r w:rsidR="00867136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>أن لا إله إلا أنت , وأنَّ محمداً عبدُك ورسولُك , وأنت أعلم به , اللهم إن كان محسناً فزد في إحسانه , وإن كان مسيئاً فتجاوز عن سيئاته , اللهم لا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تحرمنا أجره , ولا تفتنا بعده "</w:t>
      </w:r>
      <w:r w:rsidR="00867136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7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867136" w:rsidRPr="00F176A8" w:rsidRDefault="00867136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321F3">
        <w:rPr>
          <w:rFonts w:ascii="Traditional Arabic" w:eastAsia="Calibri" w:hAnsi="Traditional Arabic" w:cs="Traditional Arabic" w:hint="cs"/>
          <w:sz w:val="36"/>
          <w:szCs w:val="36"/>
          <w:u w:val="single"/>
          <w:rtl/>
        </w:rPr>
        <w:t>وجه الدلالة</w:t>
      </w:r>
      <w:r w:rsidRPr="00F176A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:</w:t>
      </w:r>
    </w:p>
    <w:p w:rsidR="00867136" w:rsidRPr="008E5D22" w:rsidRDefault="00867136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>أنَّ أبا هريرة ـ رضي الله عنه ـ لم يكن يرى القراءة في صلاة الجنازة ؛ لأنه لم يرد ل</w:t>
      </w:r>
      <w:r w:rsidR="00CD107A">
        <w:rPr>
          <w:rFonts w:ascii="Traditional Arabic" w:eastAsia="Calibri" w:hAnsi="Traditional Arabic" w:cs="Traditional Arabic" w:hint="cs"/>
          <w:sz w:val="36"/>
          <w:szCs w:val="36"/>
          <w:rtl/>
        </w:rPr>
        <w:t>لقراءة ذكر في وصفه لهذه الصلاة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8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D107A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867136" w:rsidRPr="008E5D22" w:rsidRDefault="00F176A8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الدليل الرابع :</w:t>
      </w:r>
      <w:r w:rsidR="00867136"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عمل أهل المدينة ؛ فإنهم لم ينقل عنهم القراءة في صلاة الجنازة , فلو كان يُفعل ذلك مع تكرار الأموات , لكان معلوماً عندهم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9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867136" w:rsidRPr="008E5D22" w:rsidRDefault="00867136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قال الإمام مالك ـ رحمه الله ـ  :</w:t>
      </w:r>
    </w:p>
    <w:p w:rsidR="00F176A8" w:rsidRDefault="00867136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>" ... ليس ذلك بمعمول به , إنما هو الدعاء , أدركت أهل بلادنا على ذلك "</w:t>
      </w:r>
      <w:r w:rsidR="00F176A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8E5D2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0"/>
      </w:r>
      <w:r w:rsidR="008E5D2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176A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.</w:t>
      </w:r>
    </w:p>
    <w:p w:rsidR="00867136" w:rsidRPr="008E5D22" w:rsidRDefault="00867136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رابعاً : الرأي الراجح :</w:t>
      </w:r>
    </w:p>
    <w:p w:rsidR="00D33B63" w:rsidRPr="008E5D22" w:rsidRDefault="00867136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06771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هو القول بمشروعية قراءة الفاتحة في صلاة الجنازة ؛ لأن</w:t>
      </w:r>
      <w:r w:rsidR="00F176A8"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Pr="008E5D2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السنة قد صحت بذلك , فالمصير إليها متعين .  </w:t>
      </w:r>
    </w:p>
    <w:p w:rsidR="00B92651" w:rsidRPr="008E5D22" w:rsidRDefault="00B92651" w:rsidP="00390DD5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</w:p>
    <w:sectPr w:rsidR="00B92651" w:rsidRPr="008E5D22" w:rsidSect="009E2EA6">
      <w:headerReference w:type="default" r:id="rId8"/>
      <w:footerReference w:type="default" r:id="rId9"/>
      <w:footnotePr>
        <w:numRestart w:val="eachPage"/>
      </w:footnotePr>
      <w:pgSz w:w="11906" w:h="16838"/>
      <w:pgMar w:top="1103" w:right="1800" w:bottom="1440" w:left="1800" w:header="708" w:footer="708" w:gutter="0"/>
      <w:pgNumType w:fmt="numberInDash" w:start="70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FE3" w:rsidRDefault="00354FE3" w:rsidP="003B3A88">
      <w:pPr>
        <w:spacing w:after="0" w:line="240" w:lineRule="auto"/>
      </w:pPr>
      <w:r>
        <w:separator/>
      </w:r>
    </w:p>
  </w:endnote>
  <w:endnote w:type="continuationSeparator" w:id="1">
    <w:p w:rsidR="00354FE3" w:rsidRDefault="00354FE3" w:rsidP="003B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771141"/>
      <w:docPartObj>
        <w:docPartGallery w:val="Page Numbers (Bottom of Page)"/>
        <w:docPartUnique/>
      </w:docPartObj>
    </w:sdtPr>
    <w:sdtContent>
      <w:p w:rsidR="005825E7" w:rsidRDefault="009A0FD6" w:rsidP="005825E7">
        <w:pPr>
          <w:pStyle w:val="a7"/>
          <w:jc w:val="center"/>
        </w:pPr>
        <w:fldSimple w:instr=" PAGE   \* MERGEFORMAT ">
          <w:r w:rsidR="00A321F3">
            <w:rPr>
              <w:noProof/>
              <w:rtl/>
            </w:rPr>
            <w:t xml:space="preserve">- </w:t>
          </w:r>
          <w:r w:rsidR="00A321F3" w:rsidRPr="00A321F3">
            <w:rPr>
              <w:b/>
              <w:bCs/>
              <w:noProof/>
              <w:rtl/>
            </w:rPr>
            <w:t>709</w:t>
          </w:r>
          <w:r w:rsidR="00A321F3">
            <w:rPr>
              <w:noProof/>
              <w:rtl/>
            </w:rPr>
            <w:t xml:space="preserve"> -</w:t>
          </w:r>
        </w:fldSimple>
      </w:p>
    </w:sdtContent>
  </w:sdt>
  <w:p w:rsidR="005825E7" w:rsidRDefault="005825E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FE3" w:rsidRDefault="00354FE3" w:rsidP="00390DD5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354FE3" w:rsidRDefault="00354FE3" w:rsidP="00390DD5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( 5/381) .</w:t>
      </w:r>
    </w:p>
  </w:footnote>
  <w:footnote w:id="3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</w:t>
      </w:r>
      <w:r w:rsidR="00F176A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الحاوي (3/56) ,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المجموع ( 5/ 189) , مغني المحتاج (1/ 432) , المنهج القويم (1/440) .</w:t>
      </w:r>
      <w:r>
        <w:rPr>
          <w:rFonts w:hint="cs"/>
          <w:rtl/>
        </w:rPr>
        <w:t xml:space="preserve"> 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4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الكافي (1/260) , ا</w:t>
      </w:r>
      <w:r w:rsidR="00F176A8">
        <w:rPr>
          <w:rFonts w:ascii="Traditional Arabic" w:eastAsia="Calibri" w:hAnsi="Traditional Arabic" w:cs="Traditional Arabic" w:hint="cs"/>
          <w:sz w:val="32"/>
          <w:szCs w:val="32"/>
          <w:rtl/>
        </w:rPr>
        <w:t>لمغني (3/411) , المبدع (2/251) , الإنصاف (2/520) .</w:t>
      </w:r>
    </w:p>
  </w:footnote>
  <w:footnote w:id="5">
    <w:p w:rsidR="008E5D22" w:rsidRPr="008E5D22" w:rsidRDefault="008E5D22" w:rsidP="00390DD5">
      <w:pPr>
        <w:pStyle w:val="a3"/>
        <w:ind w:left="509" w:hanging="567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انظر :</w:t>
      </w:r>
      <w:r w:rsidR="00F176A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المبسوط (2/64) ,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حاشية الطحطاوي (1/385) , عمدة القاري (8/140) , حاشية ابن عابدين (1/293) .</w:t>
      </w:r>
    </w:p>
  </w:footnote>
  <w:footnote w:id="6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المدونة (1/ 174) , الاستذكار (3/40) .</w:t>
      </w:r>
    </w:p>
  </w:footnote>
  <w:footnote w:id="7">
    <w:p w:rsidR="008E5D22" w:rsidRPr="003D5033" w:rsidRDefault="008E5D22" w:rsidP="00615D6D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="00615D6D">
        <w:rPr>
          <w:rFonts w:ascii="Traditional Arabic" w:eastAsia="Calibri" w:hAnsi="Traditional Arabic" w:cs="Traditional Arabic" w:hint="cs"/>
          <w:sz w:val="32"/>
          <w:szCs w:val="32"/>
          <w:rtl/>
        </w:rPr>
        <w:t>تقدم</w:t>
      </w:r>
      <w:r w:rsidR="00A26EE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تخريجه </w:t>
      </w:r>
      <w:r w:rsidR="00615D6D">
        <w:rPr>
          <w:rFonts w:ascii="Traditional Arabic" w:eastAsia="Calibri" w:hAnsi="Traditional Arabic" w:cs="Traditional Arabic" w:hint="cs"/>
          <w:sz w:val="32"/>
          <w:szCs w:val="32"/>
          <w:rtl/>
        </w:rPr>
        <w:t>ص (305)</w:t>
      </w:r>
      <w:r w:rsidR="00A26EE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  <w:r>
        <w:rPr>
          <w:rFonts w:hint="cs"/>
          <w:rtl/>
        </w:rPr>
        <w:t xml:space="preserve">  </w:t>
      </w:r>
    </w:p>
  </w:footnote>
  <w:footnote w:id="8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Arial" w:hAnsi="Arial" w:cs="Arial" w:hint="cs"/>
          <w:sz w:val="27"/>
          <w:szCs w:val="27"/>
          <w:rtl/>
        </w:rPr>
        <w:t xml:space="preserve"> </w:t>
      </w:r>
      <w:r w:rsidRPr="008E5D22">
        <w:rPr>
          <w:rFonts w:ascii="Traditional Arabic" w:eastAsia="Calibri" w:hAnsi="Traditional Arabic" w:cs="Traditional Arabic"/>
          <w:sz w:val="32"/>
          <w:szCs w:val="32"/>
          <w:rtl/>
        </w:rPr>
        <w:t>التوبة: ٨٤</w:t>
      </w:r>
      <w:r>
        <w:rPr>
          <w:rFonts w:ascii="Arial" w:hAnsi="Arial" w:cs="Arial"/>
          <w:color w:val="9DAB0C"/>
          <w:sz w:val="27"/>
          <w:szCs w:val="27"/>
        </w:rPr>
        <w:t xml:space="preserve"> </w:t>
      </w:r>
      <w:r>
        <w:rPr>
          <w:rFonts w:hint="cs"/>
          <w:sz w:val="32"/>
          <w:szCs w:val="32"/>
          <w:rtl/>
        </w:rPr>
        <w:t xml:space="preserve"> </w:t>
      </w:r>
    </w:p>
  </w:footnote>
  <w:footnote w:id="9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المفهم (2/613) , الشرح الممتع (5/318) .</w:t>
      </w:r>
    </w:p>
  </w:footnote>
  <w:footnote w:id="10">
    <w:p w:rsidR="00390DD5" w:rsidRDefault="008E5D22" w:rsidP="00390DD5">
      <w:pPr>
        <w:pStyle w:val="a3"/>
        <w:ind w:left="509" w:hanging="567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هو : أبو عبد الله , طلحة بن عبد الله بن عوف , ابن أخي عبد الرحمن بن عوف , روى عن </w:t>
      </w:r>
    </w:p>
    <w:p w:rsidR="008E5D22" w:rsidRPr="008E5D22" w:rsidRDefault="008E5D22" w:rsidP="00390DD5">
      <w:pPr>
        <w:pStyle w:val="a3"/>
        <w:ind w:left="509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عثمان , وعبد الرحمن بن عوف , وأبي هريرة , وابن عباس , روى عنه الزهري , ومحمد بن زيد بن المهاجر بن قنفذ , وثقه يحي بن معين , وأبو زرعة . انظر : التاريخ الكبير (4/345) , الجرح والتعديل (4/472) .</w:t>
      </w:r>
    </w:p>
  </w:footnote>
  <w:footnote w:id="11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, في كتاب الجنائز , باب قراءة فاتحة الكتاب على الجنائز (2/89) برقم (1270) .</w:t>
      </w:r>
    </w:p>
  </w:footnote>
  <w:footnote w:id="12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المجموع (5/188) .</w:t>
      </w:r>
    </w:p>
  </w:footnote>
  <w:footnote w:id="13">
    <w:p w:rsidR="00492A41" w:rsidRDefault="008E5D22" w:rsidP="00390DD5">
      <w:pPr>
        <w:pStyle w:val="a3"/>
        <w:ind w:left="509" w:hanging="567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أخرجه النسائي في سننه , 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كتاب الجنائز ,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باب الدعاء (4/75)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(1989) .</w:t>
      </w:r>
    </w:p>
    <w:p w:rsidR="008E5D22" w:rsidRPr="003D5033" w:rsidRDefault="008E5D22" w:rsidP="0006771D">
      <w:pPr>
        <w:pStyle w:val="a3"/>
        <w:ind w:left="509"/>
        <w:jc w:val="lowKashida"/>
        <w:rPr>
          <w:rFonts w:ascii="Traditional Arabic" w:hAnsi="Traditional Arabic" w:cs="Traditional Arabic"/>
          <w:sz w:val="32"/>
          <w:szCs w:val="32"/>
        </w:rPr>
      </w:pP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والحديث صحيح صححه النووي , وابن حجر . انظر : خلاصة الأحكام (2/975) , فتح الباري (3/204) .</w:t>
      </w:r>
      <w:r>
        <w:rPr>
          <w:rFonts w:hint="cs"/>
          <w:rtl/>
        </w:rPr>
        <w:t xml:space="preserve"> 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14">
    <w:p w:rsidR="008E5D22" w:rsidRPr="008E5D22" w:rsidRDefault="008E5D22" w:rsidP="00390DD5">
      <w:pPr>
        <w:pStyle w:val="a3"/>
        <w:ind w:left="509" w:hanging="567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أبو داود في سننه ,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الدعاء للميت (3/210)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(3199)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وابن ماجه في سننه ,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الدعاء في الصلاة على الجنازة (1/480)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(1497)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والبيهقي في السنن الكبرى ,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الدعاء في صلاة الجنازة (4/65)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(6964)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8E5D22" w:rsidRPr="008E5D22" w:rsidRDefault="008E5D22" w:rsidP="00390DD5">
      <w:pPr>
        <w:pStyle w:val="a3"/>
        <w:ind w:left="509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قال الإمام النووي : " رواه أبو داود بإسناد فيه محمد بن إسحاق , عن محمد بن إبراهيم , ولم يضعّفه أبو داود , فلعله ثبت عنده سماع من ابن إسحاق " . انظر : خلاصة الأحكام (2/979) . </w:t>
      </w:r>
    </w:p>
    <w:p w:rsidR="008E5D22" w:rsidRPr="008E5D22" w:rsidRDefault="008E5D22" w:rsidP="00390DD5">
      <w:pPr>
        <w:pStyle w:val="a3"/>
        <w:ind w:left="509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وقال الحافظ ابن حجر : " لكن أخرجه ابن حبان من طريق أخرى عنه مصرّحاً بالسماع " . انظر : التلخيص الحبير (2/122) .</w:t>
      </w:r>
    </w:p>
  </w:footnote>
  <w:footnote w:id="15">
    <w:p w:rsidR="008E5D22" w:rsidRPr="008E5D22" w:rsidRDefault="008E5D22" w:rsidP="00390DD5">
      <w:pPr>
        <w:pStyle w:val="a3"/>
        <w:ind w:left="509" w:hanging="567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أخرجه مالك في الموطأ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في كتاب الجنائز , باب ما يقول المصلي على الجنازة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(2/320) 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برقم (777) . </w:t>
      </w:r>
    </w:p>
  </w:footnote>
  <w:footnote w:id="16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هو : كيسان , أبو سعيد المقبري الكوفي , كان منزله بالقرب من المقابر بالمدينة فسمي بالمقبري , وهو من كبار التابعين وثقاتهم , روى عن عمر , وأبي هريرة , وعبد الله بن سلام , وعنه ابنه سعيد , وحفيده عبد الله بن سعيد , وغيرهما , مات بالمدينة في إمارة الوليد بن عبد الملك , وقيل إنه في خلافة عمر بن عبد العزيز , وذلك سنة 100 هـ  . انظر : المعارف لابن قتيبة ص(443) .</w:t>
      </w:r>
    </w:p>
  </w:footnote>
  <w:footnote w:id="17">
    <w:p w:rsidR="008E5D22" w:rsidRPr="00492A41" w:rsidRDefault="008E5D22" w:rsidP="00390DD5">
      <w:pPr>
        <w:pStyle w:val="a3"/>
        <w:ind w:left="509" w:hanging="567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492A41"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أخرجه مالك في الموطأ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في كتاب الجنائز , باب ما يقول المصلي على الجنازة </w:t>
      </w:r>
      <w:r w:rsidR="00492A41"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(2/320) 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برقم (775) .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وابن أبي شيبة في المصنف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في كتاب الجنائز , باب ما يبدأ به بالتكبيرة الأولى في الصلاة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(2/490)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(11377)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8E5D22" w:rsidRPr="003D5033" w:rsidRDefault="008E5D22" w:rsidP="00390DD5">
      <w:pPr>
        <w:pStyle w:val="a3"/>
        <w:ind w:left="509"/>
        <w:jc w:val="lowKashida"/>
        <w:rPr>
          <w:rFonts w:ascii="Traditional Arabic" w:hAnsi="Traditional Arabic" w:cs="Traditional Arabic"/>
          <w:sz w:val="32"/>
          <w:szCs w:val="32"/>
        </w:rPr>
      </w:pP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قال الهيثمي في مجمع الزوائد (3/33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>)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: 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"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رجاله رجال الصحيح</w:t>
      </w:r>
      <w:r w:rsidR="00492A4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"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</w:footnote>
  <w:footnote w:id="18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شرح الزرقاني على الموطأ (2/58) , الذخيرة (2/360) .</w:t>
      </w:r>
    </w:p>
  </w:footnote>
  <w:footnote w:id="19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المدونة ( 1/174) , الاستذكار (3/40)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</w:footnote>
  <w:footnote w:id="20">
    <w:p w:rsidR="008E5D22" w:rsidRPr="003D5033" w:rsidRDefault="008E5D22" w:rsidP="00390DD5">
      <w:pPr>
        <w:pStyle w:val="a3"/>
        <w:ind w:left="509" w:hanging="567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8E5D2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المدونة (1/174)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F0943EF8FCCD4E589E94E6C1DC78437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90DD5" w:rsidRPr="00390DD5" w:rsidRDefault="00390DD5" w:rsidP="00390DD5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390DD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390DD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90DD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الرابع</w:t>
        </w:r>
        <w:r w:rsidRPr="00390DD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390DD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حكم</w:t>
        </w:r>
        <w:r w:rsidRPr="00390DD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90DD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قراءة</w:t>
        </w:r>
        <w:r w:rsidRPr="00390DD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90DD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الفاتحة</w:t>
        </w:r>
        <w:r w:rsidRPr="00390DD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90DD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في</w:t>
        </w:r>
        <w:r w:rsidRPr="00390DD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90DD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صلاة</w:t>
        </w:r>
        <w:r w:rsidRPr="00390DD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90DD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الجنازة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D77"/>
    <w:multiLevelType w:val="hybridMultilevel"/>
    <w:tmpl w:val="4050CBE4"/>
    <w:lvl w:ilvl="0" w:tplc="2A94C1B8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47CC5"/>
    <w:multiLevelType w:val="hybridMultilevel"/>
    <w:tmpl w:val="B89483D6"/>
    <w:lvl w:ilvl="0" w:tplc="AD4844C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3B3A88"/>
    <w:rsid w:val="0006771D"/>
    <w:rsid w:val="000D3FEF"/>
    <w:rsid w:val="0011380B"/>
    <w:rsid w:val="00124536"/>
    <w:rsid w:val="0021144A"/>
    <w:rsid w:val="00254B58"/>
    <w:rsid w:val="00297201"/>
    <w:rsid w:val="00354FE3"/>
    <w:rsid w:val="00390DD5"/>
    <w:rsid w:val="003B3A88"/>
    <w:rsid w:val="00413600"/>
    <w:rsid w:val="00434157"/>
    <w:rsid w:val="00487E6E"/>
    <w:rsid w:val="00492A41"/>
    <w:rsid w:val="004D316D"/>
    <w:rsid w:val="005825E7"/>
    <w:rsid w:val="00591B9E"/>
    <w:rsid w:val="005A6B44"/>
    <w:rsid w:val="005D3323"/>
    <w:rsid w:val="00615D6D"/>
    <w:rsid w:val="00626A82"/>
    <w:rsid w:val="00655080"/>
    <w:rsid w:val="006610BA"/>
    <w:rsid w:val="00795ED9"/>
    <w:rsid w:val="00867136"/>
    <w:rsid w:val="008729C8"/>
    <w:rsid w:val="008C091D"/>
    <w:rsid w:val="008E5D22"/>
    <w:rsid w:val="00957E34"/>
    <w:rsid w:val="009A0FD6"/>
    <w:rsid w:val="009C426D"/>
    <w:rsid w:val="009E2EA6"/>
    <w:rsid w:val="00A26EE7"/>
    <w:rsid w:val="00A321F3"/>
    <w:rsid w:val="00A322EA"/>
    <w:rsid w:val="00A447BD"/>
    <w:rsid w:val="00A5655E"/>
    <w:rsid w:val="00B92651"/>
    <w:rsid w:val="00BE64BC"/>
    <w:rsid w:val="00C57CE1"/>
    <w:rsid w:val="00C81CA0"/>
    <w:rsid w:val="00CC62D5"/>
    <w:rsid w:val="00CD107A"/>
    <w:rsid w:val="00D046AF"/>
    <w:rsid w:val="00D33B63"/>
    <w:rsid w:val="00D37EE3"/>
    <w:rsid w:val="00DA0DF7"/>
    <w:rsid w:val="00DA3A0E"/>
    <w:rsid w:val="00DB177C"/>
    <w:rsid w:val="00DF516A"/>
    <w:rsid w:val="00E24E4C"/>
    <w:rsid w:val="00E47A5A"/>
    <w:rsid w:val="00ED720F"/>
    <w:rsid w:val="00F176A8"/>
    <w:rsid w:val="00FC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3B3A88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3B3A88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3B3A88"/>
    <w:rPr>
      <w:vertAlign w:val="superscript"/>
    </w:rPr>
  </w:style>
  <w:style w:type="paragraph" w:styleId="a5">
    <w:name w:val="List Paragraph"/>
    <w:basedOn w:val="a"/>
    <w:uiPriority w:val="34"/>
    <w:qFormat/>
    <w:rsid w:val="00C81CA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390D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390DD5"/>
  </w:style>
  <w:style w:type="paragraph" w:styleId="a7">
    <w:name w:val="footer"/>
    <w:basedOn w:val="a"/>
    <w:link w:val="Char1"/>
    <w:uiPriority w:val="99"/>
    <w:unhideWhenUsed/>
    <w:rsid w:val="00390D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390DD5"/>
  </w:style>
  <w:style w:type="paragraph" w:styleId="a8">
    <w:name w:val="Balloon Text"/>
    <w:basedOn w:val="a"/>
    <w:link w:val="Char2"/>
    <w:uiPriority w:val="99"/>
    <w:semiHidden/>
    <w:unhideWhenUsed/>
    <w:rsid w:val="00390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390D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943EF8FCCD4E589E94E6C1DC78437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9BA24F2-E610-4259-8CBD-0583BFB160C8}"/>
      </w:docPartPr>
      <w:docPartBody>
        <w:p w:rsidR="007C7B80" w:rsidRDefault="00926BD1" w:rsidP="00926BD1">
          <w:pPr>
            <w:pStyle w:val="F0943EF8FCCD4E589E94E6C1DC78437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26BD1"/>
    <w:rsid w:val="002C7716"/>
    <w:rsid w:val="007C7B80"/>
    <w:rsid w:val="008C5C02"/>
    <w:rsid w:val="00926BD1"/>
    <w:rsid w:val="00E96FAE"/>
    <w:rsid w:val="00F51F1B"/>
    <w:rsid w:val="00F931D6"/>
    <w:rsid w:val="00FA5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8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0943EF8FCCD4E589E94E6C1DC78437F">
    <w:name w:val="F0943EF8FCCD4E589E94E6C1DC78437F"/>
    <w:rsid w:val="00926BD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5C258-C0E3-4FDF-9687-B466C010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 : حكم قراءة الفاتحة في صلاة الجنازة</dc:title>
  <dc:creator>toshiba</dc:creator>
  <cp:lastModifiedBy>xp</cp:lastModifiedBy>
  <cp:revision>16</cp:revision>
  <cp:lastPrinted>2012-09-23T23:48:00Z</cp:lastPrinted>
  <dcterms:created xsi:type="dcterms:W3CDTF">2012-07-31T12:48:00Z</dcterms:created>
  <dcterms:modified xsi:type="dcterms:W3CDTF">2012-09-23T23:49:00Z</dcterms:modified>
</cp:coreProperties>
</file>