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9B3" w:rsidRPr="00EF5F9D" w:rsidRDefault="000F2A3F" w:rsidP="00510F8D">
      <w:pPr>
        <w:ind w:firstLine="0"/>
        <w:jc w:val="center"/>
        <w:rPr>
          <w:b/>
          <w:bCs/>
          <w:rtl/>
        </w:rPr>
      </w:pPr>
      <w:r w:rsidRPr="00EF5F9D">
        <w:rPr>
          <w:rFonts w:cs="AL-Mateen" w:hint="cs"/>
          <w:b/>
          <w:bCs/>
          <w:rtl/>
        </w:rPr>
        <w:t>المطلب السابع عشر</w:t>
      </w:r>
      <w:r w:rsidR="00AE29B3" w:rsidRPr="00EF5F9D">
        <w:rPr>
          <w:rFonts w:cs="AL-Mateen"/>
          <w:b/>
          <w:bCs/>
          <w:rtl/>
        </w:rPr>
        <w:t xml:space="preserve"> : حكم إخراج المنبر</w:t>
      </w:r>
      <w:r w:rsidR="00136097" w:rsidRPr="00EF5F9D">
        <w:rPr>
          <w:rFonts w:cs="AL-Mateen" w:hint="cs"/>
          <w:b/>
          <w:bCs/>
          <w:rtl/>
        </w:rPr>
        <w:t xml:space="preserve"> </w:t>
      </w:r>
      <w:r w:rsidR="00136097" w:rsidRPr="00EF5F9D">
        <w:rPr>
          <w:rFonts w:cs="AL-Mateen" w:hint="cs"/>
          <w:vertAlign w:val="superscript"/>
          <w:rtl/>
        </w:rPr>
        <w:t>(</w:t>
      </w:r>
      <w:r w:rsidR="00136097" w:rsidRPr="00EF5F9D">
        <w:rPr>
          <w:rStyle w:val="ae"/>
          <w:rFonts w:cs="AL-Mateen"/>
          <w:rtl/>
        </w:rPr>
        <w:footnoteReference w:id="2"/>
      </w:r>
      <w:r w:rsidR="00136097" w:rsidRPr="00EF5F9D">
        <w:rPr>
          <w:rFonts w:cs="AL-Mateen" w:hint="cs"/>
          <w:vertAlign w:val="superscript"/>
          <w:rtl/>
        </w:rPr>
        <w:t>)</w:t>
      </w:r>
      <w:r w:rsidR="00AE29B3" w:rsidRPr="00EF5F9D">
        <w:rPr>
          <w:rFonts w:cs="AL-Mateen"/>
          <w:b/>
          <w:bCs/>
          <w:rtl/>
        </w:rPr>
        <w:t xml:space="preserve"> لصلاة الاستسقاء</w:t>
      </w:r>
      <w:r w:rsidR="00EF5F9D">
        <w:rPr>
          <w:rFonts w:cs="AL-Mateen" w:hint="cs"/>
          <w:b/>
          <w:bCs/>
          <w:rtl/>
        </w:rPr>
        <w:t xml:space="preserve"> </w:t>
      </w:r>
      <w:r w:rsidR="00AE29B3" w:rsidRPr="00EF5F9D">
        <w:rPr>
          <w:b/>
          <w:bCs/>
          <w:rtl/>
        </w:rPr>
        <w:t>.</w:t>
      </w:r>
    </w:p>
    <w:p w:rsidR="006E07A6" w:rsidRDefault="00136097" w:rsidP="00AE29B3">
      <w:pPr>
        <w:ind w:firstLine="0"/>
        <w:rPr>
          <w:b/>
          <w:bCs/>
          <w:rtl/>
        </w:rPr>
      </w:pPr>
      <w:r>
        <w:rPr>
          <w:rFonts w:hint="cs"/>
          <w:b/>
          <w:bCs/>
          <w:rtl/>
        </w:rPr>
        <w:t xml:space="preserve">أولاً : رأي الشيخ المباركفوري ـ رحمه الله ـ </w:t>
      </w:r>
      <w:r w:rsidR="006E07A6">
        <w:rPr>
          <w:rFonts w:hint="cs"/>
          <w:b/>
          <w:bCs/>
          <w:rtl/>
        </w:rPr>
        <w:t>في المسألة :</w:t>
      </w:r>
    </w:p>
    <w:p w:rsidR="00136097" w:rsidRPr="006E07A6" w:rsidRDefault="006E07A6" w:rsidP="00510F8D">
      <w:pPr>
        <w:ind w:firstLine="0"/>
        <w:rPr>
          <w:rtl/>
        </w:rPr>
      </w:pPr>
      <w:r w:rsidRPr="006E07A6">
        <w:rPr>
          <w:rFonts w:hint="cs"/>
          <w:rtl/>
        </w:rPr>
        <w:t xml:space="preserve">قال رحمه الله تعالى : </w:t>
      </w:r>
      <w:r w:rsidR="00136097">
        <w:rPr>
          <w:rFonts w:hint="cs"/>
          <w:rtl/>
        </w:rPr>
        <w:t xml:space="preserve">" فالظاهر ما ذهب إليه أحمد ومن وافقه من استحباب إخراج المنبر والصعود عليه لخطبة الاستسقاء " </w:t>
      </w:r>
      <w:r w:rsidR="00136097" w:rsidRPr="00895A1F">
        <w:rPr>
          <w:rFonts w:hint="cs"/>
          <w:vertAlign w:val="superscript"/>
          <w:rtl/>
        </w:rPr>
        <w:t>(</w:t>
      </w:r>
      <w:r w:rsidR="00136097" w:rsidRPr="00895A1F">
        <w:rPr>
          <w:rStyle w:val="ae"/>
          <w:rtl/>
        </w:rPr>
        <w:footnoteReference w:id="3"/>
      </w:r>
      <w:r w:rsidR="00136097" w:rsidRPr="00895A1F">
        <w:rPr>
          <w:rFonts w:hint="cs"/>
          <w:vertAlign w:val="superscript"/>
          <w:rtl/>
        </w:rPr>
        <w:t>)</w:t>
      </w:r>
      <w:r w:rsidR="006A43FF">
        <w:rPr>
          <w:rFonts w:hint="cs"/>
          <w:rtl/>
        </w:rPr>
        <w:t>.</w:t>
      </w:r>
    </w:p>
    <w:p w:rsidR="00EC0214" w:rsidRPr="00443823" w:rsidRDefault="006E07A6" w:rsidP="006E07A6">
      <w:pPr>
        <w:ind w:firstLine="0"/>
        <w:rPr>
          <w:b/>
          <w:bCs/>
          <w:rtl/>
        </w:rPr>
      </w:pPr>
      <w:r>
        <w:rPr>
          <w:rFonts w:hint="cs"/>
          <w:b/>
          <w:bCs/>
          <w:rtl/>
        </w:rPr>
        <w:t xml:space="preserve">ثانياً : </w:t>
      </w:r>
      <w:r w:rsidR="00EC0214" w:rsidRPr="00443823">
        <w:rPr>
          <w:rFonts w:hint="cs"/>
          <w:b/>
          <w:bCs/>
          <w:rtl/>
        </w:rPr>
        <w:t xml:space="preserve">أقوال العلماء في المسألة : </w:t>
      </w:r>
    </w:p>
    <w:p w:rsidR="00EC0214" w:rsidRDefault="00EC0214" w:rsidP="006A43FF">
      <w:pPr>
        <w:ind w:firstLine="0"/>
        <w:rPr>
          <w:rtl/>
        </w:rPr>
      </w:pPr>
      <w:r w:rsidRPr="00443823">
        <w:rPr>
          <w:rFonts w:hint="cs"/>
          <w:b/>
          <w:bCs/>
          <w:rtl/>
        </w:rPr>
        <w:t>القول الأول</w:t>
      </w:r>
      <w:r w:rsidR="006440C4">
        <w:rPr>
          <w:rFonts w:hint="cs"/>
          <w:b/>
          <w:bCs/>
          <w:rtl/>
        </w:rPr>
        <w:t xml:space="preserve"> </w:t>
      </w:r>
      <w:r w:rsidR="006A43FF">
        <w:rPr>
          <w:rFonts w:hint="cs"/>
          <w:rtl/>
        </w:rPr>
        <w:t>:</w:t>
      </w:r>
      <w:r w:rsidR="0091555E">
        <w:rPr>
          <w:rFonts w:hint="cs"/>
          <w:rtl/>
        </w:rPr>
        <w:t>يجوز إخراج المنبر لصلاة الاستسقاء.</w:t>
      </w:r>
      <w:r w:rsidR="00895A1F" w:rsidRPr="00895A1F">
        <w:rPr>
          <w:rFonts w:hint="cs"/>
          <w:rtl/>
        </w:rPr>
        <w:t xml:space="preserve"> </w:t>
      </w:r>
      <w:r w:rsidR="00895A1F">
        <w:rPr>
          <w:rFonts w:hint="cs"/>
          <w:rtl/>
        </w:rPr>
        <w:t xml:space="preserve">فإن شاء </w:t>
      </w:r>
      <w:r w:rsidR="00895A1F" w:rsidRPr="00895A1F">
        <w:rPr>
          <w:rFonts w:hint="cs"/>
          <w:rtl/>
        </w:rPr>
        <w:t>خطب على منبر يخرجه، وإن شاء خطب راكباً</w:t>
      </w:r>
      <w:r w:rsidR="00895A1F">
        <w:rPr>
          <w:rFonts w:hint="cs"/>
          <w:rtl/>
        </w:rPr>
        <w:t>.</w:t>
      </w:r>
      <w:r w:rsidR="0091555E" w:rsidRPr="00895A1F">
        <w:rPr>
          <w:rFonts w:hint="cs"/>
          <w:rtl/>
        </w:rPr>
        <w:t xml:space="preserve"> وبه قال الشافعية </w:t>
      </w:r>
      <w:r w:rsidR="0091555E" w:rsidRPr="00895A1F">
        <w:rPr>
          <w:rFonts w:hint="cs"/>
          <w:vertAlign w:val="superscript"/>
          <w:rtl/>
        </w:rPr>
        <w:t>(</w:t>
      </w:r>
      <w:r w:rsidR="0091555E" w:rsidRPr="00895A1F">
        <w:rPr>
          <w:rStyle w:val="ae"/>
          <w:rtl/>
        </w:rPr>
        <w:footnoteReference w:id="4"/>
      </w:r>
      <w:r w:rsidR="0091555E" w:rsidRPr="00895A1F">
        <w:rPr>
          <w:rFonts w:hint="cs"/>
          <w:vertAlign w:val="superscript"/>
          <w:rtl/>
        </w:rPr>
        <w:t>)</w:t>
      </w:r>
      <w:r w:rsidR="0091555E" w:rsidRPr="00895A1F">
        <w:rPr>
          <w:rFonts w:hint="cs"/>
          <w:rtl/>
        </w:rPr>
        <w:t xml:space="preserve"> ، والحنابلة</w:t>
      </w:r>
      <w:r w:rsidR="0091555E" w:rsidRPr="00895A1F">
        <w:rPr>
          <w:rFonts w:hint="cs"/>
          <w:vertAlign w:val="superscript"/>
          <w:rtl/>
        </w:rPr>
        <w:t>(</w:t>
      </w:r>
      <w:r w:rsidR="0091555E" w:rsidRPr="00895A1F">
        <w:rPr>
          <w:rStyle w:val="ae"/>
          <w:rtl/>
        </w:rPr>
        <w:footnoteReference w:id="5"/>
      </w:r>
      <w:r w:rsidR="0091555E" w:rsidRPr="00895A1F">
        <w:rPr>
          <w:rFonts w:hint="cs"/>
          <w:vertAlign w:val="superscript"/>
          <w:rtl/>
        </w:rPr>
        <w:t xml:space="preserve">) </w:t>
      </w:r>
      <w:r w:rsidR="0091555E" w:rsidRPr="00895A1F">
        <w:rPr>
          <w:rFonts w:hint="cs"/>
          <w:rtl/>
        </w:rPr>
        <w:t>، وه</w:t>
      </w:r>
      <w:r w:rsidR="0091555E">
        <w:rPr>
          <w:rFonts w:hint="cs"/>
          <w:rtl/>
        </w:rPr>
        <w:t>و قول عند الحنفية</w:t>
      </w:r>
      <w:r w:rsidR="006E07A6">
        <w:rPr>
          <w:rFonts w:hint="cs"/>
          <w:rtl/>
        </w:rPr>
        <w:t xml:space="preserve"> </w:t>
      </w:r>
      <w:r w:rsidR="0091555E" w:rsidRPr="0081653C">
        <w:rPr>
          <w:rFonts w:hint="cs"/>
          <w:vertAlign w:val="superscript"/>
          <w:rtl/>
        </w:rPr>
        <w:t>(</w:t>
      </w:r>
      <w:r w:rsidR="0091555E" w:rsidRPr="0081653C">
        <w:rPr>
          <w:rStyle w:val="ae"/>
          <w:rtl/>
        </w:rPr>
        <w:footnoteReference w:id="6"/>
      </w:r>
      <w:r w:rsidR="0091555E" w:rsidRPr="0081653C">
        <w:rPr>
          <w:rFonts w:hint="cs"/>
          <w:vertAlign w:val="superscript"/>
          <w:rtl/>
        </w:rPr>
        <w:t>)</w:t>
      </w:r>
      <w:r w:rsidR="0091555E">
        <w:rPr>
          <w:rFonts w:hint="cs"/>
          <w:rtl/>
        </w:rPr>
        <w:t>، وبه قال بعض المالكية</w:t>
      </w:r>
      <w:r w:rsidR="0091555E" w:rsidRPr="0081653C">
        <w:rPr>
          <w:rFonts w:hint="cs"/>
          <w:vertAlign w:val="superscript"/>
          <w:rtl/>
        </w:rPr>
        <w:t>(</w:t>
      </w:r>
      <w:r w:rsidR="0091555E" w:rsidRPr="0081653C">
        <w:rPr>
          <w:rStyle w:val="ae"/>
          <w:rtl/>
        </w:rPr>
        <w:footnoteReference w:id="7"/>
      </w:r>
      <w:r w:rsidR="0091555E" w:rsidRPr="0081653C">
        <w:rPr>
          <w:rFonts w:hint="cs"/>
          <w:vertAlign w:val="superscript"/>
          <w:rtl/>
        </w:rPr>
        <w:t>)</w:t>
      </w:r>
      <w:r w:rsidR="0091555E">
        <w:rPr>
          <w:rFonts w:hint="cs"/>
          <w:rtl/>
        </w:rPr>
        <w:t>.</w:t>
      </w:r>
    </w:p>
    <w:p w:rsidR="00136097" w:rsidRPr="006A43FF" w:rsidRDefault="006E07A6" w:rsidP="006A43FF">
      <w:pPr>
        <w:ind w:firstLine="0"/>
        <w:rPr>
          <w:color w:val="auto"/>
          <w:rtl/>
        </w:rPr>
      </w:pPr>
      <w:r w:rsidRPr="00443823">
        <w:rPr>
          <w:rFonts w:hint="cs"/>
          <w:b/>
          <w:bCs/>
          <w:rtl/>
        </w:rPr>
        <w:t>القول الثاني</w:t>
      </w:r>
      <w:r>
        <w:rPr>
          <w:rFonts w:hint="cs"/>
          <w:rtl/>
        </w:rPr>
        <w:t xml:space="preserve"> :</w:t>
      </w:r>
      <w:r w:rsidRPr="009B4B50">
        <w:rPr>
          <w:rFonts w:hint="cs"/>
          <w:b/>
          <w:bCs/>
          <w:color w:val="FF0000"/>
          <w:rtl/>
        </w:rPr>
        <w:t xml:space="preserve"> </w:t>
      </w:r>
      <w:r w:rsidRPr="006440C4">
        <w:rPr>
          <w:rFonts w:hint="cs"/>
          <w:color w:val="auto"/>
          <w:rtl/>
        </w:rPr>
        <w:t>لا ي</w:t>
      </w:r>
      <w:r w:rsidR="006A43FF">
        <w:rPr>
          <w:rFonts w:hint="cs"/>
          <w:color w:val="auto"/>
          <w:rtl/>
        </w:rPr>
        <w:t>ُ</w:t>
      </w:r>
      <w:r w:rsidRPr="006440C4">
        <w:rPr>
          <w:rFonts w:hint="cs"/>
          <w:color w:val="auto"/>
          <w:rtl/>
        </w:rPr>
        <w:t xml:space="preserve">خرج في الاستسقاء منبر ،ولكن يتوكأ الإمام على عصا. وبه قال الحنفية </w:t>
      </w:r>
      <w:r w:rsidRPr="006440C4">
        <w:rPr>
          <w:rFonts w:hint="cs"/>
          <w:color w:val="auto"/>
          <w:vertAlign w:val="superscript"/>
          <w:rtl/>
        </w:rPr>
        <w:t>(</w:t>
      </w:r>
      <w:r w:rsidRPr="006440C4">
        <w:rPr>
          <w:rStyle w:val="ae"/>
          <w:color w:val="auto"/>
          <w:rtl/>
        </w:rPr>
        <w:footnoteReference w:id="8"/>
      </w:r>
      <w:r w:rsidRPr="006440C4">
        <w:rPr>
          <w:rFonts w:hint="cs"/>
          <w:color w:val="auto"/>
          <w:vertAlign w:val="superscript"/>
          <w:rtl/>
        </w:rPr>
        <w:t>)</w:t>
      </w:r>
      <w:r w:rsidRPr="006440C4">
        <w:rPr>
          <w:rFonts w:hint="cs"/>
          <w:color w:val="auto"/>
          <w:rtl/>
        </w:rPr>
        <w:t>، والمالكية</w:t>
      </w:r>
      <w:r w:rsidRPr="006440C4">
        <w:rPr>
          <w:rFonts w:hint="cs"/>
          <w:color w:val="auto"/>
          <w:vertAlign w:val="superscript"/>
          <w:rtl/>
        </w:rPr>
        <w:t xml:space="preserve"> (</w:t>
      </w:r>
      <w:r w:rsidRPr="006440C4">
        <w:rPr>
          <w:rStyle w:val="ae"/>
          <w:color w:val="auto"/>
          <w:rtl/>
        </w:rPr>
        <w:footnoteReference w:id="9"/>
      </w:r>
      <w:r w:rsidRPr="006440C4">
        <w:rPr>
          <w:rFonts w:hint="cs"/>
          <w:color w:val="auto"/>
          <w:vertAlign w:val="superscript"/>
          <w:rtl/>
        </w:rPr>
        <w:t>)</w:t>
      </w:r>
      <w:r w:rsidR="0011584A">
        <w:rPr>
          <w:rFonts w:hint="cs"/>
          <w:b/>
          <w:bCs/>
          <w:rtl/>
        </w:rPr>
        <w:t>.</w:t>
      </w:r>
    </w:p>
    <w:p w:rsidR="00AC5004" w:rsidRDefault="00AC5004" w:rsidP="0091555E">
      <w:pPr>
        <w:ind w:firstLine="0"/>
        <w:rPr>
          <w:b/>
          <w:bCs/>
          <w:rtl/>
        </w:rPr>
      </w:pPr>
    </w:p>
    <w:p w:rsidR="00AC5004" w:rsidRDefault="00AC5004" w:rsidP="0091555E">
      <w:pPr>
        <w:ind w:firstLine="0"/>
        <w:rPr>
          <w:b/>
          <w:bCs/>
          <w:rtl/>
        </w:rPr>
      </w:pPr>
    </w:p>
    <w:p w:rsidR="006E07A6" w:rsidRDefault="006E07A6" w:rsidP="0091555E">
      <w:pPr>
        <w:ind w:firstLine="0"/>
        <w:rPr>
          <w:b/>
          <w:bCs/>
          <w:rtl/>
        </w:rPr>
      </w:pPr>
      <w:r>
        <w:rPr>
          <w:rFonts w:hint="cs"/>
          <w:b/>
          <w:bCs/>
          <w:rtl/>
        </w:rPr>
        <w:lastRenderedPageBreak/>
        <w:t xml:space="preserve">ثالثاً : الأدلة : </w:t>
      </w:r>
    </w:p>
    <w:p w:rsidR="006A43FF" w:rsidRDefault="006A43FF" w:rsidP="00510F8D">
      <w:pPr>
        <w:pStyle w:val="afc"/>
        <w:numPr>
          <w:ilvl w:val="0"/>
          <w:numId w:val="2"/>
        </w:numPr>
        <w:rPr>
          <w:rtl/>
        </w:rPr>
      </w:pPr>
      <w:r>
        <w:rPr>
          <w:rFonts w:hint="cs"/>
          <w:b/>
          <w:bCs/>
          <w:rtl/>
        </w:rPr>
        <w:t>دليل أصحاب</w:t>
      </w:r>
      <w:r w:rsidR="006440C4" w:rsidRPr="006A43FF">
        <w:rPr>
          <w:rFonts w:hint="cs"/>
          <w:b/>
          <w:bCs/>
          <w:rtl/>
        </w:rPr>
        <w:t xml:space="preserve"> القول الأول</w:t>
      </w:r>
      <w:r w:rsidR="0091555E">
        <w:rPr>
          <w:rFonts w:hint="cs"/>
          <w:rtl/>
        </w:rPr>
        <w:t xml:space="preserve"> :</w:t>
      </w:r>
      <w:r w:rsidR="006440C4">
        <w:rPr>
          <w:rFonts w:hint="cs"/>
          <w:rtl/>
        </w:rPr>
        <w:t xml:space="preserve">استدلوا </w:t>
      </w:r>
      <w:r w:rsidR="006E07A6">
        <w:rPr>
          <w:rFonts w:hint="cs"/>
          <w:rtl/>
        </w:rPr>
        <w:t xml:space="preserve">بما </w:t>
      </w:r>
      <w:r>
        <w:rPr>
          <w:rFonts w:hint="cs"/>
          <w:rtl/>
        </w:rPr>
        <w:t>يلي:</w:t>
      </w:r>
    </w:p>
    <w:p w:rsidR="0091555E" w:rsidRDefault="006A43FF" w:rsidP="006A43FF">
      <w:pPr>
        <w:ind w:firstLine="0"/>
        <w:rPr>
          <w:rtl/>
        </w:rPr>
      </w:pPr>
      <w:r>
        <w:rPr>
          <w:rFonts w:hint="cs"/>
          <w:rtl/>
        </w:rPr>
        <w:t>ـ</w:t>
      </w:r>
      <w:r w:rsidR="006440C4">
        <w:rPr>
          <w:rFonts w:hint="cs"/>
          <w:rtl/>
        </w:rPr>
        <w:t xml:space="preserve"> عن</w:t>
      </w:r>
      <w:r w:rsidR="0091555E">
        <w:rPr>
          <w:rtl/>
        </w:rPr>
        <w:t xml:space="preserve"> عائشة</w:t>
      </w:r>
      <w:r>
        <w:rPr>
          <w:rFonts w:hint="cs"/>
          <w:rtl/>
        </w:rPr>
        <w:t xml:space="preserve"> ـ رضي الله عنها ـ</w:t>
      </w:r>
      <w:r w:rsidR="006440C4">
        <w:rPr>
          <w:rFonts w:hint="cs"/>
          <w:rtl/>
        </w:rPr>
        <w:t xml:space="preserve"> أنها قالت :</w:t>
      </w:r>
      <w:r w:rsidR="0091555E">
        <w:rPr>
          <w:rtl/>
        </w:rPr>
        <w:t xml:space="preserve"> </w:t>
      </w:r>
      <w:r>
        <w:rPr>
          <w:rFonts w:hint="cs"/>
          <w:rtl/>
        </w:rPr>
        <w:t xml:space="preserve">(( </w:t>
      </w:r>
      <w:r w:rsidR="0091555E">
        <w:rPr>
          <w:rtl/>
        </w:rPr>
        <w:t>شكى الناس إلى رسول الله صلى الله عليه وسلم قحط المطر</w:t>
      </w:r>
      <w:r w:rsidR="006440C4">
        <w:rPr>
          <w:rFonts w:hint="cs"/>
          <w:rtl/>
        </w:rPr>
        <w:t xml:space="preserve"> ،</w:t>
      </w:r>
      <w:r w:rsidR="0091555E">
        <w:rPr>
          <w:rtl/>
        </w:rPr>
        <w:t xml:space="preserve"> فأمر بمنبر فوضع له في المصلى</w:t>
      </w:r>
      <w:r>
        <w:rPr>
          <w:rFonts w:hint="cs"/>
          <w:rtl/>
        </w:rPr>
        <w:t>))</w:t>
      </w:r>
      <w:r w:rsidR="0091555E">
        <w:rPr>
          <w:rtl/>
        </w:rPr>
        <w:t xml:space="preserve"> </w:t>
      </w:r>
      <w:r w:rsidR="0091555E" w:rsidRPr="0081653C">
        <w:rPr>
          <w:rFonts w:hint="cs"/>
          <w:vertAlign w:val="superscript"/>
          <w:rtl/>
        </w:rPr>
        <w:t>(</w:t>
      </w:r>
      <w:r w:rsidR="0091555E" w:rsidRPr="0081653C">
        <w:rPr>
          <w:rStyle w:val="ae"/>
          <w:rtl/>
        </w:rPr>
        <w:footnoteReference w:id="10"/>
      </w:r>
      <w:r w:rsidR="0091555E" w:rsidRPr="0081653C">
        <w:rPr>
          <w:rFonts w:hint="cs"/>
          <w:vertAlign w:val="superscript"/>
          <w:rtl/>
        </w:rPr>
        <w:t>)</w:t>
      </w:r>
      <w:r w:rsidR="00136097">
        <w:rPr>
          <w:rFonts w:hint="cs"/>
          <w:rtl/>
        </w:rPr>
        <w:t xml:space="preserve"> </w:t>
      </w:r>
      <w:r>
        <w:rPr>
          <w:rFonts w:hint="cs"/>
          <w:rtl/>
        </w:rPr>
        <w:t>.</w:t>
      </w:r>
    </w:p>
    <w:p w:rsidR="00136097" w:rsidRPr="00510F8D" w:rsidRDefault="00136097" w:rsidP="00510F8D">
      <w:pPr>
        <w:ind w:firstLine="0"/>
        <w:rPr>
          <w:b/>
          <w:bCs/>
          <w:u w:val="single"/>
          <w:rtl/>
        </w:rPr>
      </w:pPr>
      <w:r w:rsidRPr="00510F8D">
        <w:rPr>
          <w:rFonts w:hint="cs"/>
          <w:b/>
          <w:bCs/>
          <w:u w:val="single"/>
          <w:rtl/>
        </w:rPr>
        <w:t>وجه الدلالة :</w:t>
      </w:r>
      <w:r>
        <w:rPr>
          <w:rFonts w:hint="cs"/>
          <w:rtl/>
        </w:rPr>
        <w:t xml:space="preserve">كونه أمر بوضع منبر له في المصلى دلَّ على جواز إخراج المنبر لصلاة الاستسقاء . </w:t>
      </w:r>
    </w:p>
    <w:p w:rsidR="006E07A6" w:rsidRPr="00510F8D" w:rsidRDefault="006E07A6" w:rsidP="00510F8D">
      <w:pPr>
        <w:pStyle w:val="afc"/>
        <w:numPr>
          <w:ilvl w:val="0"/>
          <w:numId w:val="2"/>
        </w:numPr>
        <w:rPr>
          <w:b/>
          <w:bCs/>
          <w:color w:val="auto"/>
          <w:rtl/>
        </w:rPr>
      </w:pPr>
      <w:r w:rsidRPr="006A43FF">
        <w:rPr>
          <w:rFonts w:hint="cs"/>
          <w:b/>
          <w:bCs/>
          <w:color w:val="auto"/>
          <w:rtl/>
        </w:rPr>
        <w:t>أدلة</w:t>
      </w:r>
      <w:r w:rsidR="006A43FF">
        <w:rPr>
          <w:rFonts w:hint="cs"/>
          <w:b/>
          <w:bCs/>
          <w:color w:val="auto"/>
          <w:rtl/>
        </w:rPr>
        <w:t xml:space="preserve"> أصحاب</w:t>
      </w:r>
      <w:r w:rsidRPr="006A43FF">
        <w:rPr>
          <w:rFonts w:hint="cs"/>
          <w:b/>
          <w:bCs/>
          <w:color w:val="auto"/>
          <w:rtl/>
        </w:rPr>
        <w:t xml:space="preserve"> القول الثاني : </w:t>
      </w:r>
      <w:r w:rsidRPr="00510F8D">
        <w:rPr>
          <w:rFonts w:hint="cs"/>
          <w:color w:val="auto"/>
          <w:rtl/>
        </w:rPr>
        <w:t xml:space="preserve">استدلوا بأدلة منها : </w:t>
      </w:r>
    </w:p>
    <w:p w:rsidR="009B4B50" w:rsidRDefault="006A43FF" w:rsidP="006A43FF">
      <w:pPr>
        <w:ind w:firstLine="0"/>
        <w:rPr>
          <w:rtl/>
        </w:rPr>
      </w:pPr>
      <w:r w:rsidRPr="006A43FF">
        <w:rPr>
          <w:rFonts w:hint="cs"/>
          <w:b/>
          <w:bCs/>
          <w:rtl/>
        </w:rPr>
        <w:t>الدليل الأول :</w:t>
      </w:r>
      <w:r>
        <w:rPr>
          <w:rFonts w:hint="cs"/>
          <w:rtl/>
        </w:rPr>
        <w:t xml:space="preserve"> </w:t>
      </w:r>
      <w:r w:rsidR="009B4B50" w:rsidRPr="00377CBA">
        <w:rPr>
          <w:rtl/>
        </w:rPr>
        <w:t>لم يكن للنبي صلى الله عليه وسلم منبر يخرج به إلى صلاة العيدين، ولا لأبي بكر ولا لعمر، وأول من أحدث له منبرا</w:t>
      </w:r>
      <w:r w:rsidR="006440C4">
        <w:rPr>
          <w:rFonts w:hint="cs"/>
          <w:rtl/>
        </w:rPr>
        <w:t>ً</w:t>
      </w:r>
      <w:r w:rsidR="009B4B50" w:rsidRPr="00377CBA">
        <w:rPr>
          <w:rtl/>
        </w:rPr>
        <w:t xml:space="preserve"> في العيدين عثمان بن عفان منبر من طين أحدثه له كثير بن الصلت</w:t>
      </w:r>
      <w:r w:rsidR="009B4B50" w:rsidRPr="00377CBA">
        <w:rPr>
          <w:rFonts w:hint="cs"/>
          <w:vertAlign w:val="superscript"/>
          <w:rtl/>
        </w:rPr>
        <w:t xml:space="preserve"> (</w:t>
      </w:r>
      <w:r w:rsidR="009B4B50" w:rsidRPr="00377CBA">
        <w:rPr>
          <w:vertAlign w:val="superscript"/>
          <w:rtl/>
        </w:rPr>
        <w:footnoteReference w:id="11"/>
      </w:r>
      <w:r w:rsidR="009B4B50" w:rsidRPr="00377CBA">
        <w:rPr>
          <w:rFonts w:hint="cs"/>
          <w:vertAlign w:val="superscript"/>
          <w:rtl/>
        </w:rPr>
        <w:t>)</w:t>
      </w:r>
      <w:r>
        <w:rPr>
          <w:rFonts w:hint="cs"/>
          <w:rtl/>
        </w:rPr>
        <w:t>.</w:t>
      </w:r>
    </w:p>
    <w:p w:rsidR="00C5563F" w:rsidRDefault="006A43FF" w:rsidP="006A43FF">
      <w:pPr>
        <w:ind w:firstLine="0"/>
      </w:pPr>
      <w:r w:rsidRPr="006A43FF">
        <w:rPr>
          <w:rFonts w:hint="cs"/>
          <w:b/>
          <w:bCs/>
          <w:rtl/>
        </w:rPr>
        <w:t>الدليل الثاني :</w:t>
      </w:r>
      <w:r>
        <w:rPr>
          <w:rFonts w:hint="cs"/>
          <w:rtl/>
        </w:rPr>
        <w:t xml:space="preserve"> </w:t>
      </w:r>
      <w:r w:rsidR="006440C4">
        <w:rPr>
          <w:rFonts w:hint="cs"/>
          <w:rtl/>
        </w:rPr>
        <w:t>و</w:t>
      </w:r>
      <w:r w:rsidR="009B4B50">
        <w:rPr>
          <w:rtl/>
        </w:rPr>
        <w:t xml:space="preserve">لأنه خلاف السنة </w:t>
      </w:r>
      <w:r w:rsidR="006E07A6">
        <w:rPr>
          <w:rFonts w:hint="cs"/>
          <w:rtl/>
        </w:rPr>
        <w:t>،</w:t>
      </w:r>
      <w:r w:rsidR="009B4B50">
        <w:rPr>
          <w:rtl/>
        </w:rPr>
        <w:t xml:space="preserve"> وقد عاب الناس على مروان بن الحكم عند إخراجه المنبر في الع</w:t>
      </w:r>
      <w:r>
        <w:rPr>
          <w:rtl/>
        </w:rPr>
        <w:t>يدين ، ونسبوه إلى مخالفة السنة</w:t>
      </w:r>
      <w:r w:rsidR="009B4B50" w:rsidRPr="00512A93">
        <w:rPr>
          <w:rFonts w:hint="cs"/>
          <w:vertAlign w:val="superscript"/>
          <w:rtl/>
        </w:rPr>
        <w:t xml:space="preserve"> </w:t>
      </w:r>
      <w:r w:rsidR="006440C4" w:rsidRPr="0081653C">
        <w:rPr>
          <w:rFonts w:hint="cs"/>
          <w:vertAlign w:val="superscript"/>
          <w:rtl/>
        </w:rPr>
        <w:t>(</w:t>
      </w:r>
      <w:r w:rsidR="006440C4" w:rsidRPr="0081653C">
        <w:rPr>
          <w:rStyle w:val="ae"/>
          <w:rtl/>
        </w:rPr>
        <w:footnoteReference w:id="12"/>
      </w:r>
      <w:r w:rsidR="006440C4" w:rsidRPr="0081653C">
        <w:rPr>
          <w:rFonts w:hint="cs"/>
          <w:vertAlign w:val="superscript"/>
          <w:rtl/>
        </w:rPr>
        <w:t>)</w:t>
      </w:r>
      <w:r>
        <w:rPr>
          <w:rFonts w:hint="cs"/>
          <w:rtl/>
        </w:rPr>
        <w:t>.</w:t>
      </w:r>
    </w:p>
    <w:p w:rsidR="006E07A6" w:rsidRPr="006E07A6" w:rsidRDefault="006E07A6" w:rsidP="006A43FF">
      <w:pPr>
        <w:ind w:firstLine="0"/>
        <w:rPr>
          <w:b/>
          <w:bCs/>
          <w:rtl/>
        </w:rPr>
      </w:pPr>
      <w:r w:rsidRPr="006E07A6">
        <w:rPr>
          <w:rFonts w:hint="cs"/>
          <w:b/>
          <w:bCs/>
          <w:rtl/>
        </w:rPr>
        <w:t>رابعاً : ال</w:t>
      </w:r>
      <w:r w:rsidR="006A43FF">
        <w:rPr>
          <w:rFonts w:hint="cs"/>
          <w:b/>
          <w:bCs/>
          <w:rtl/>
        </w:rPr>
        <w:t>رأي</w:t>
      </w:r>
      <w:r w:rsidRPr="006E07A6">
        <w:rPr>
          <w:rFonts w:hint="cs"/>
          <w:b/>
          <w:bCs/>
          <w:rtl/>
        </w:rPr>
        <w:t xml:space="preserve"> الراجح :</w:t>
      </w:r>
    </w:p>
    <w:p w:rsidR="006E07A6" w:rsidRDefault="006E07A6" w:rsidP="006E07A6">
      <w:pPr>
        <w:ind w:firstLine="720"/>
      </w:pPr>
      <w:r>
        <w:rPr>
          <w:rFonts w:hint="cs"/>
          <w:rtl/>
        </w:rPr>
        <w:t xml:space="preserve">والذي يترجح </w:t>
      </w:r>
      <w:r w:rsidR="00136097">
        <w:rPr>
          <w:rFonts w:hint="cs"/>
          <w:rtl/>
        </w:rPr>
        <w:t xml:space="preserve">ـ </w:t>
      </w:r>
      <w:r>
        <w:rPr>
          <w:rFonts w:hint="cs"/>
          <w:rtl/>
        </w:rPr>
        <w:t>والله أعلم</w:t>
      </w:r>
      <w:r w:rsidR="00136097">
        <w:rPr>
          <w:rFonts w:hint="cs"/>
          <w:rtl/>
        </w:rPr>
        <w:t xml:space="preserve"> ـ </w:t>
      </w:r>
      <w:r>
        <w:rPr>
          <w:rFonts w:hint="cs"/>
          <w:rtl/>
        </w:rPr>
        <w:t xml:space="preserve"> هو القول بإخراج المنبر لصلاة الاستسقاء هو الصواب لما ثبت في حديث عائشة رضي الله عنها</w:t>
      </w:r>
      <w:r w:rsidR="006A43FF">
        <w:rPr>
          <w:rFonts w:hint="cs"/>
          <w:rtl/>
        </w:rPr>
        <w:t xml:space="preserve"> المتقدم </w:t>
      </w:r>
      <w:r>
        <w:rPr>
          <w:rFonts w:hint="cs"/>
          <w:rtl/>
        </w:rPr>
        <w:t>.</w:t>
      </w:r>
    </w:p>
    <w:sectPr w:rsidR="006E07A6" w:rsidSect="00A956DF">
      <w:headerReference w:type="default" r:id="rId7"/>
      <w:footerReference w:type="default" r:id="rId8"/>
      <w:footnotePr>
        <w:numRestart w:val="eachPage"/>
      </w:footnotePr>
      <w:pgSz w:w="11906" w:h="16838"/>
      <w:pgMar w:top="1243" w:right="1985" w:bottom="1701" w:left="1701" w:header="709" w:footer="709" w:gutter="567"/>
      <w:pgNumType w:fmt="numberInDash" w:start="696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57D0" w:rsidRDefault="002057D0">
      <w:r>
        <w:separator/>
      </w:r>
    </w:p>
  </w:endnote>
  <w:endnote w:type="continuationSeparator" w:id="1">
    <w:p w:rsidR="002057D0" w:rsidRDefault="002057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78495985"/>
      <w:docPartObj>
        <w:docPartGallery w:val="Page Numbers (Bottom of Page)"/>
        <w:docPartUnique/>
      </w:docPartObj>
    </w:sdtPr>
    <w:sdtContent>
      <w:p w:rsidR="00EF5F9D" w:rsidRDefault="00634AAE" w:rsidP="00EF5F9D">
        <w:pPr>
          <w:pStyle w:val="afd"/>
          <w:jc w:val="center"/>
        </w:pPr>
        <w:fldSimple w:instr=" PAGE   \* MERGEFORMAT ">
          <w:r w:rsidR="00A956DF">
            <w:rPr>
              <w:noProof/>
              <w:rtl/>
            </w:rPr>
            <w:t xml:space="preserve">- </w:t>
          </w:r>
          <w:r w:rsidR="00A956DF" w:rsidRPr="00A956DF">
            <w:rPr>
              <w:b/>
              <w:bCs/>
              <w:noProof/>
              <w:rtl/>
            </w:rPr>
            <w:t>697</w:t>
          </w:r>
          <w:r w:rsidR="00A956DF">
            <w:rPr>
              <w:noProof/>
              <w:rtl/>
            </w:rPr>
            <w:t xml:space="preserve"> -</w:t>
          </w:r>
        </w:fldSimple>
      </w:p>
    </w:sdtContent>
  </w:sdt>
  <w:p w:rsidR="00EF5F9D" w:rsidRDefault="00EF5F9D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57D0" w:rsidRDefault="002057D0">
      <w:r>
        <w:separator/>
      </w:r>
    </w:p>
  </w:footnote>
  <w:footnote w:type="continuationSeparator" w:id="1">
    <w:p w:rsidR="002057D0" w:rsidRDefault="002057D0">
      <w:r>
        <w:continuationSeparator/>
      </w:r>
    </w:p>
  </w:footnote>
  <w:footnote w:id="2">
    <w:p w:rsidR="00136097" w:rsidRDefault="00136097" w:rsidP="00510F8D">
      <w:pPr>
        <w:pStyle w:val="af3"/>
        <w:ind w:left="423" w:hanging="425"/>
        <w:jc w:val="lowKashida"/>
        <w:rPr>
          <w:rFonts w:ascii="Traditional Arabic" w:hAnsi="Traditional Arabic"/>
          <w:sz w:val="32"/>
          <w:szCs w:val="32"/>
          <w:rtl/>
        </w:rPr>
      </w:pPr>
      <w:r w:rsidRPr="00512A93">
        <w:rPr>
          <w:rFonts w:ascii="Traditional Arabic" w:hAnsi="Traditional Arabic"/>
          <w:sz w:val="32"/>
          <w:szCs w:val="32"/>
        </w:rPr>
        <w:t>(</w:t>
      </w:r>
      <w:r w:rsidRPr="00512A9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512A93">
        <w:rPr>
          <w:rFonts w:ascii="Traditional Arabic" w:hAnsi="Traditional Arabic"/>
          <w:sz w:val="32"/>
          <w:szCs w:val="32"/>
        </w:rPr>
        <w:t>)</w:t>
      </w:r>
      <w:r w:rsidRPr="00512A93">
        <w:rPr>
          <w:rFonts w:ascii="Traditional Arabic" w:hAnsi="Traditional Arabic" w:hint="cs"/>
          <w:sz w:val="32"/>
          <w:szCs w:val="32"/>
          <w:rtl/>
        </w:rPr>
        <w:t xml:space="preserve"> </w:t>
      </w:r>
      <w:r>
        <w:rPr>
          <w:rFonts w:ascii="Traditional Arabic" w:hAnsi="Traditional Arabic" w:hint="cs"/>
          <w:sz w:val="32"/>
          <w:szCs w:val="32"/>
          <w:rtl/>
        </w:rPr>
        <w:t>المنبر في اللغة : مأخوذ من نبر الشيء إذا رفعه , يقال : نبر فلان نبرة : نطق بصوت رفيع .</w:t>
      </w:r>
    </w:p>
    <w:p w:rsidR="00136097" w:rsidRDefault="00136097" w:rsidP="00510F8D">
      <w:pPr>
        <w:pStyle w:val="af3"/>
        <w:ind w:left="423" w:firstLine="0"/>
        <w:jc w:val="lowKashida"/>
        <w:rPr>
          <w:rFonts w:ascii="Traditional Arabic" w:hAnsi="Traditional Arabic"/>
          <w:sz w:val="32"/>
          <w:szCs w:val="32"/>
          <w:rtl/>
        </w:rPr>
      </w:pPr>
      <w:r>
        <w:rPr>
          <w:rFonts w:ascii="Traditional Arabic" w:hAnsi="Traditional Arabic" w:hint="cs"/>
          <w:sz w:val="32"/>
          <w:szCs w:val="32"/>
          <w:rtl/>
        </w:rPr>
        <w:t>والمراد بالمنبر : المكان الذي ينطق منه الخطيب بصوته الرفيع غالباً .</w:t>
      </w:r>
    </w:p>
    <w:p w:rsidR="00136097" w:rsidRPr="00512A93" w:rsidRDefault="00136097" w:rsidP="00510F8D">
      <w:pPr>
        <w:pStyle w:val="af3"/>
        <w:ind w:left="423" w:firstLine="0"/>
        <w:jc w:val="lowKashida"/>
        <w:rPr>
          <w:rFonts w:ascii="Traditional Arabic" w:hAnsi="Traditional Arabic"/>
          <w:sz w:val="32"/>
          <w:szCs w:val="32"/>
          <w:rtl/>
        </w:rPr>
      </w:pPr>
      <w:r>
        <w:rPr>
          <w:rFonts w:ascii="Traditional Arabic" w:hAnsi="Traditional Arabic" w:hint="cs"/>
          <w:sz w:val="32"/>
          <w:szCs w:val="32"/>
          <w:rtl/>
        </w:rPr>
        <w:t>انظر : أساس البلاغة (ص928) , ومختار الصحاح ( ص643) .</w:t>
      </w:r>
    </w:p>
  </w:footnote>
  <w:footnote w:id="3">
    <w:p w:rsidR="00136097" w:rsidRPr="00512A93" w:rsidRDefault="00136097" w:rsidP="00510F8D">
      <w:pPr>
        <w:pStyle w:val="af3"/>
        <w:ind w:left="423" w:hanging="425"/>
        <w:jc w:val="lowKashida"/>
        <w:rPr>
          <w:rFonts w:ascii="Traditional Arabic" w:hAnsi="Traditional Arabic"/>
          <w:sz w:val="32"/>
          <w:szCs w:val="32"/>
          <w:rtl/>
        </w:rPr>
      </w:pPr>
      <w:r w:rsidRPr="00512A93">
        <w:rPr>
          <w:rFonts w:ascii="Traditional Arabic" w:hAnsi="Traditional Arabic"/>
          <w:sz w:val="32"/>
          <w:szCs w:val="32"/>
        </w:rPr>
        <w:t>(</w:t>
      </w:r>
      <w:r w:rsidRPr="00512A9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512A93">
        <w:rPr>
          <w:rFonts w:ascii="Traditional Arabic" w:hAnsi="Traditional Arabic"/>
          <w:sz w:val="32"/>
          <w:szCs w:val="32"/>
        </w:rPr>
        <w:t>)</w:t>
      </w:r>
      <w:r w:rsidRPr="00512A93">
        <w:rPr>
          <w:rFonts w:ascii="Traditional Arabic" w:hAnsi="Traditional Arabic" w:hint="cs"/>
          <w:sz w:val="32"/>
          <w:szCs w:val="32"/>
          <w:rtl/>
        </w:rPr>
        <w:t xml:space="preserve"> </w:t>
      </w:r>
      <w:r w:rsidRPr="00512A93">
        <w:rPr>
          <w:rFonts w:ascii="Traditional Arabic" w:hAnsi="Traditional Arabic"/>
          <w:sz w:val="32"/>
          <w:szCs w:val="32"/>
          <w:rtl/>
        </w:rPr>
        <w:t xml:space="preserve">انظر : </w:t>
      </w:r>
      <w:r>
        <w:rPr>
          <w:rFonts w:ascii="Traditional Arabic" w:hAnsi="Traditional Arabic" w:hint="cs"/>
          <w:sz w:val="32"/>
          <w:szCs w:val="32"/>
          <w:rtl/>
        </w:rPr>
        <w:t>مرعاة المفاتيح ( 5/189 ) .</w:t>
      </w:r>
    </w:p>
  </w:footnote>
  <w:footnote w:id="4">
    <w:p w:rsidR="006440C4" w:rsidRPr="00512A93" w:rsidRDefault="006440C4" w:rsidP="00510F8D">
      <w:pPr>
        <w:pStyle w:val="af3"/>
        <w:ind w:left="423" w:hanging="425"/>
        <w:jc w:val="lowKashida"/>
        <w:rPr>
          <w:rFonts w:ascii="Traditional Arabic" w:hAnsi="Traditional Arabic"/>
          <w:sz w:val="32"/>
          <w:szCs w:val="32"/>
          <w:rtl/>
        </w:rPr>
      </w:pPr>
      <w:r w:rsidRPr="00512A93">
        <w:rPr>
          <w:rFonts w:ascii="Traditional Arabic" w:hAnsi="Traditional Arabic"/>
          <w:sz w:val="32"/>
          <w:szCs w:val="32"/>
        </w:rPr>
        <w:t>(</w:t>
      </w:r>
      <w:r w:rsidRPr="00512A9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512A93">
        <w:rPr>
          <w:rFonts w:ascii="Traditional Arabic" w:hAnsi="Traditional Arabic"/>
          <w:sz w:val="32"/>
          <w:szCs w:val="32"/>
        </w:rPr>
        <w:t>)</w:t>
      </w:r>
      <w:r w:rsidRPr="00512A93">
        <w:rPr>
          <w:rFonts w:ascii="Traditional Arabic" w:hAnsi="Traditional Arabic" w:hint="cs"/>
          <w:sz w:val="32"/>
          <w:szCs w:val="32"/>
          <w:rtl/>
        </w:rPr>
        <w:t xml:space="preserve"> </w:t>
      </w:r>
      <w:r w:rsidRPr="00512A93">
        <w:rPr>
          <w:rFonts w:ascii="Traditional Arabic" w:hAnsi="Traditional Arabic"/>
          <w:sz w:val="32"/>
          <w:szCs w:val="32"/>
          <w:rtl/>
        </w:rPr>
        <w:t>انظر : الأم (1/249)</w:t>
      </w:r>
      <w:r w:rsidR="006E07A6">
        <w:rPr>
          <w:rFonts w:ascii="Traditional Arabic" w:hAnsi="Traditional Arabic" w:hint="cs"/>
          <w:sz w:val="32"/>
          <w:szCs w:val="32"/>
          <w:rtl/>
        </w:rPr>
        <w:t>.</w:t>
      </w:r>
    </w:p>
  </w:footnote>
  <w:footnote w:id="5">
    <w:p w:rsidR="006440C4" w:rsidRPr="00512A93" w:rsidRDefault="006440C4" w:rsidP="00510F8D">
      <w:pPr>
        <w:pStyle w:val="af3"/>
        <w:ind w:left="423" w:hanging="425"/>
        <w:jc w:val="lowKashida"/>
        <w:rPr>
          <w:rFonts w:ascii="Traditional Arabic" w:hAnsi="Traditional Arabic"/>
          <w:sz w:val="32"/>
          <w:szCs w:val="32"/>
        </w:rPr>
      </w:pPr>
      <w:r w:rsidRPr="00512A93">
        <w:rPr>
          <w:rFonts w:ascii="Traditional Arabic" w:hAnsi="Traditional Arabic"/>
          <w:sz w:val="32"/>
          <w:szCs w:val="32"/>
        </w:rPr>
        <w:t>(</w:t>
      </w:r>
      <w:r w:rsidRPr="00512A9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512A93">
        <w:rPr>
          <w:rFonts w:ascii="Traditional Arabic" w:hAnsi="Traditional Arabic"/>
          <w:sz w:val="32"/>
          <w:szCs w:val="32"/>
        </w:rPr>
        <w:t>)</w:t>
      </w:r>
      <w:r w:rsidRPr="00512A93">
        <w:rPr>
          <w:rFonts w:ascii="Traditional Arabic" w:hAnsi="Traditional Arabic" w:hint="cs"/>
          <w:sz w:val="32"/>
          <w:szCs w:val="32"/>
          <w:rtl/>
        </w:rPr>
        <w:t xml:space="preserve"> انظر : </w:t>
      </w:r>
      <w:r w:rsidRPr="00512A93">
        <w:rPr>
          <w:rFonts w:ascii="Traditional Arabic" w:hAnsi="Traditional Arabic"/>
          <w:sz w:val="32"/>
          <w:szCs w:val="32"/>
          <w:rtl/>
        </w:rPr>
        <w:t>المغني (3/342)</w:t>
      </w:r>
      <w:r>
        <w:rPr>
          <w:rFonts w:ascii="Traditional Arabic" w:hAnsi="Traditional Arabic" w:hint="cs"/>
          <w:sz w:val="32"/>
          <w:szCs w:val="32"/>
          <w:rtl/>
        </w:rPr>
        <w:t xml:space="preserve"> ، </w:t>
      </w:r>
      <w:r w:rsidRPr="00512A93">
        <w:rPr>
          <w:rFonts w:ascii="Traditional Arabic" w:hAnsi="Traditional Arabic"/>
          <w:sz w:val="32"/>
          <w:szCs w:val="32"/>
          <w:rtl/>
        </w:rPr>
        <w:t>الشرح الكبير لابن قدامة (2/284)</w:t>
      </w:r>
      <w:r>
        <w:rPr>
          <w:rFonts w:ascii="Traditional Arabic" w:hAnsi="Traditional Arabic" w:hint="cs"/>
          <w:sz w:val="32"/>
          <w:szCs w:val="32"/>
          <w:rtl/>
        </w:rPr>
        <w:t xml:space="preserve"> ، </w:t>
      </w:r>
      <w:r w:rsidRPr="00512A93">
        <w:rPr>
          <w:rFonts w:ascii="Traditional Arabic" w:hAnsi="Traditional Arabic"/>
          <w:sz w:val="32"/>
          <w:szCs w:val="32"/>
          <w:rtl/>
        </w:rPr>
        <w:t>المبدع شرح المقنع (2/186)</w:t>
      </w:r>
      <w:r>
        <w:rPr>
          <w:rFonts w:ascii="Traditional Arabic" w:hAnsi="Traditional Arabic" w:hint="cs"/>
          <w:sz w:val="32"/>
          <w:szCs w:val="32"/>
          <w:rtl/>
        </w:rPr>
        <w:t>.</w:t>
      </w:r>
    </w:p>
  </w:footnote>
  <w:footnote w:id="6">
    <w:p w:rsidR="006440C4" w:rsidRPr="00512A93" w:rsidRDefault="006440C4" w:rsidP="00510F8D">
      <w:pPr>
        <w:pStyle w:val="af3"/>
        <w:ind w:left="423" w:hanging="425"/>
        <w:jc w:val="lowKashida"/>
        <w:rPr>
          <w:rFonts w:ascii="Traditional Arabic" w:hAnsi="Traditional Arabic"/>
          <w:sz w:val="32"/>
          <w:szCs w:val="32"/>
        </w:rPr>
      </w:pPr>
      <w:r w:rsidRPr="00512A93">
        <w:rPr>
          <w:rFonts w:ascii="Traditional Arabic" w:hAnsi="Traditional Arabic"/>
          <w:sz w:val="32"/>
          <w:szCs w:val="32"/>
        </w:rPr>
        <w:t>(</w:t>
      </w:r>
      <w:r w:rsidRPr="00512A9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512A93">
        <w:rPr>
          <w:rFonts w:ascii="Traditional Arabic" w:hAnsi="Traditional Arabic"/>
          <w:sz w:val="32"/>
          <w:szCs w:val="32"/>
        </w:rPr>
        <w:t>)</w:t>
      </w:r>
      <w:r w:rsidRPr="00512A93">
        <w:rPr>
          <w:rFonts w:ascii="Traditional Arabic" w:hAnsi="Traditional Arabic"/>
          <w:sz w:val="32"/>
          <w:szCs w:val="32"/>
          <w:rtl/>
        </w:rPr>
        <w:t xml:space="preserve"> </w:t>
      </w:r>
      <w:r w:rsidRPr="00512A93">
        <w:rPr>
          <w:rFonts w:ascii="Traditional Arabic" w:hAnsi="Traditional Arabic" w:hint="cs"/>
          <w:sz w:val="32"/>
          <w:szCs w:val="32"/>
          <w:rtl/>
        </w:rPr>
        <w:t xml:space="preserve">انظر : </w:t>
      </w:r>
      <w:r w:rsidRPr="00512A93">
        <w:rPr>
          <w:rFonts w:ascii="Traditional Arabic" w:hAnsi="Traditional Arabic"/>
          <w:sz w:val="32"/>
          <w:szCs w:val="32"/>
          <w:rtl/>
        </w:rPr>
        <w:t>شرح فتح القدير (2/94)</w:t>
      </w:r>
      <w:r>
        <w:rPr>
          <w:rFonts w:ascii="Traditional Arabic" w:hAnsi="Traditional Arabic" w:hint="cs"/>
          <w:sz w:val="32"/>
          <w:szCs w:val="32"/>
          <w:rtl/>
        </w:rPr>
        <w:t xml:space="preserve"> ، </w:t>
      </w:r>
      <w:r w:rsidRPr="00512A93">
        <w:rPr>
          <w:rFonts w:ascii="Traditional Arabic" w:hAnsi="Traditional Arabic"/>
          <w:sz w:val="32"/>
          <w:szCs w:val="32"/>
          <w:rtl/>
        </w:rPr>
        <w:t>البحر الرائق (2/182)</w:t>
      </w:r>
      <w:r>
        <w:rPr>
          <w:rFonts w:ascii="Traditional Arabic" w:hAnsi="Traditional Arabic" w:hint="cs"/>
          <w:sz w:val="32"/>
          <w:szCs w:val="32"/>
          <w:rtl/>
        </w:rPr>
        <w:t>.</w:t>
      </w:r>
    </w:p>
  </w:footnote>
  <w:footnote w:id="7">
    <w:p w:rsidR="006440C4" w:rsidRPr="00512A93" w:rsidRDefault="006440C4" w:rsidP="00510F8D">
      <w:pPr>
        <w:pStyle w:val="af3"/>
        <w:ind w:left="423" w:hanging="425"/>
        <w:jc w:val="lowKashida"/>
        <w:rPr>
          <w:rFonts w:ascii="Traditional Arabic" w:hAnsi="Traditional Arabic"/>
          <w:sz w:val="32"/>
          <w:szCs w:val="32"/>
        </w:rPr>
      </w:pPr>
      <w:r w:rsidRPr="00512A93">
        <w:rPr>
          <w:rFonts w:ascii="Traditional Arabic" w:hAnsi="Traditional Arabic"/>
          <w:sz w:val="32"/>
          <w:szCs w:val="32"/>
        </w:rPr>
        <w:t>(</w:t>
      </w:r>
      <w:r w:rsidRPr="00512A9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512A93">
        <w:rPr>
          <w:rFonts w:ascii="Traditional Arabic" w:hAnsi="Traditional Arabic"/>
          <w:sz w:val="32"/>
          <w:szCs w:val="32"/>
        </w:rPr>
        <w:t>)</w:t>
      </w:r>
      <w:r w:rsidRPr="00512A93">
        <w:rPr>
          <w:rFonts w:ascii="Traditional Arabic" w:hAnsi="Traditional Arabic"/>
          <w:sz w:val="32"/>
          <w:szCs w:val="32"/>
          <w:rtl/>
        </w:rPr>
        <w:t xml:space="preserve"> </w:t>
      </w:r>
      <w:r w:rsidRPr="00512A93">
        <w:rPr>
          <w:rFonts w:ascii="Traditional Arabic" w:hAnsi="Traditional Arabic" w:hint="cs"/>
          <w:sz w:val="32"/>
          <w:szCs w:val="32"/>
          <w:rtl/>
        </w:rPr>
        <w:t xml:space="preserve">انظر : </w:t>
      </w:r>
      <w:r w:rsidRPr="00512A93">
        <w:rPr>
          <w:rFonts w:ascii="Traditional Arabic" w:hAnsi="Traditional Arabic"/>
          <w:sz w:val="32"/>
          <w:szCs w:val="32"/>
          <w:rtl/>
        </w:rPr>
        <w:t>الذخيرة للقرافي (2/434)</w:t>
      </w:r>
      <w:r>
        <w:rPr>
          <w:rFonts w:ascii="Traditional Arabic" w:hAnsi="Traditional Arabic" w:hint="cs"/>
          <w:sz w:val="32"/>
          <w:szCs w:val="32"/>
          <w:rtl/>
        </w:rPr>
        <w:t xml:space="preserve"> ،</w:t>
      </w:r>
      <w:r w:rsidRPr="006440C4">
        <w:rPr>
          <w:rFonts w:ascii="Traditional Arabic" w:hAnsi="Traditional Arabic"/>
          <w:sz w:val="32"/>
          <w:szCs w:val="32"/>
          <w:rtl/>
        </w:rPr>
        <w:t xml:space="preserve"> </w:t>
      </w:r>
      <w:r w:rsidRPr="00512A93">
        <w:rPr>
          <w:rFonts w:ascii="Traditional Arabic" w:hAnsi="Traditional Arabic"/>
          <w:sz w:val="32"/>
          <w:szCs w:val="32"/>
          <w:rtl/>
        </w:rPr>
        <w:t>التاج والإكليل (5/597).</w:t>
      </w:r>
    </w:p>
  </w:footnote>
  <w:footnote w:id="8">
    <w:p w:rsidR="006E07A6" w:rsidRPr="00512A93" w:rsidRDefault="006E07A6" w:rsidP="00510F8D">
      <w:pPr>
        <w:pStyle w:val="af3"/>
        <w:ind w:left="423" w:hanging="425"/>
        <w:jc w:val="lowKashida"/>
        <w:rPr>
          <w:rFonts w:ascii="Traditional Arabic" w:hAnsi="Traditional Arabic"/>
          <w:sz w:val="32"/>
          <w:szCs w:val="32"/>
        </w:rPr>
      </w:pPr>
      <w:r w:rsidRPr="00512A93">
        <w:rPr>
          <w:rFonts w:ascii="Traditional Arabic" w:hAnsi="Traditional Arabic"/>
          <w:sz w:val="32"/>
          <w:szCs w:val="32"/>
        </w:rPr>
        <w:t>(</w:t>
      </w:r>
      <w:r w:rsidRPr="00512A9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512A93">
        <w:rPr>
          <w:rFonts w:ascii="Traditional Arabic" w:hAnsi="Traditional Arabic"/>
          <w:sz w:val="32"/>
          <w:szCs w:val="32"/>
        </w:rPr>
        <w:t>)</w:t>
      </w:r>
      <w:r w:rsidRPr="00512A93">
        <w:rPr>
          <w:rFonts w:ascii="Traditional Arabic" w:hAnsi="Traditional Arabic"/>
          <w:sz w:val="32"/>
          <w:szCs w:val="32"/>
          <w:rtl/>
        </w:rPr>
        <w:t xml:space="preserve"> </w:t>
      </w:r>
      <w:r w:rsidRPr="00512A93">
        <w:rPr>
          <w:rFonts w:ascii="Traditional Arabic" w:hAnsi="Traditional Arabic" w:hint="cs"/>
          <w:sz w:val="32"/>
          <w:szCs w:val="32"/>
          <w:rtl/>
        </w:rPr>
        <w:t xml:space="preserve">انظر : </w:t>
      </w:r>
      <w:r w:rsidRPr="00512A93">
        <w:rPr>
          <w:rFonts w:ascii="Traditional Arabic" w:hAnsi="Traditional Arabic"/>
          <w:sz w:val="32"/>
          <w:szCs w:val="32"/>
          <w:rtl/>
        </w:rPr>
        <w:t>شرح فتح القدير (2/94)</w:t>
      </w:r>
      <w:r>
        <w:rPr>
          <w:rFonts w:ascii="Traditional Arabic" w:hAnsi="Traditional Arabic" w:hint="cs"/>
          <w:sz w:val="32"/>
          <w:szCs w:val="32"/>
          <w:rtl/>
        </w:rPr>
        <w:t xml:space="preserve"> ، </w:t>
      </w:r>
      <w:r w:rsidRPr="00512A93">
        <w:rPr>
          <w:rFonts w:ascii="Traditional Arabic" w:hAnsi="Traditional Arabic"/>
          <w:sz w:val="32"/>
          <w:szCs w:val="32"/>
          <w:rtl/>
        </w:rPr>
        <w:t>البحر الرائق (2/182)</w:t>
      </w:r>
      <w:r>
        <w:rPr>
          <w:rFonts w:ascii="Traditional Arabic" w:hAnsi="Traditional Arabic" w:hint="cs"/>
          <w:sz w:val="32"/>
          <w:szCs w:val="32"/>
          <w:rtl/>
        </w:rPr>
        <w:t xml:space="preserve"> ،</w:t>
      </w:r>
      <w:r w:rsidRPr="006440C4">
        <w:rPr>
          <w:rFonts w:ascii="Traditional Arabic" w:hAnsi="Traditional Arabic"/>
          <w:sz w:val="32"/>
          <w:szCs w:val="32"/>
          <w:rtl/>
        </w:rPr>
        <w:t xml:space="preserve"> </w:t>
      </w:r>
      <w:r w:rsidRPr="00512A93">
        <w:rPr>
          <w:rFonts w:ascii="Traditional Arabic" w:hAnsi="Traditional Arabic"/>
          <w:sz w:val="32"/>
          <w:szCs w:val="32"/>
          <w:rtl/>
        </w:rPr>
        <w:t xml:space="preserve">بدائع الصنائع </w:t>
      </w:r>
      <w:r>
        <w:rPr>
          <w:rFonts w:ascii="Traditional Arabic" w:hAnsi="Traditional Arabic" w:hint="cs"/>
          <w:sz w:val="32"/>
          <w:szCs w:val="32"/>
          <w:rtl/>
        </w:rPr>
        <w:t>(</w:t>
      </w:r>
      <w:r>
        <w:rPr>
          <w:rFonts w:ascii="Traditional Arabic" w:hAnsi="Traditional Arabic"/>
          <w:sz w:val="32"/>
          <w:szCs w:val="32"/>
          <w:rtl/>
        </w:rPr>
        <w:t>1</w:t>
      </w:r>
      <w:r w:rsidRPr="00512A93">
        <w:rPr>
          <w:rFonts w:ascii="Traditional Arabic" w:hAnsi="Traditional Arabic"/>
          <w:sz w:val="32"/>
          <w:szCs w:val="32"/>
          <w:rtl/>
        </w:rPr>
        <w:t>/ 283</w:t>
      </w:r>
      <w:r>
        <w:rPr>
          <w:rFonts w:ascii="Traditional Arabic" w:hAnsi="Traditional Arabic" w:hint="cs"/>
          <w:sz w:val="32"/>
          <w:szCs w:val="32"/>
          <w:rtl/>
        </w:rPr>
        <w:t>)</w:t>
      </w:r>
      <w:r w:rsidRPr="00512A93">
        <w:rPr>
          <w:rFonts w:ascii="Traditional Arabic" w:hAnsi="Traditional Arabic"/>
          <w:sz w:val="32"/>
          <w:szCs w:val="32"/>
          <w:rtl/>
        </w:rPr>
        <w:t xml:space="preserve"> ، حاشية ابن عابدين (3/71)</w:t>
      </w:r>
      <w:r>
        <w:rPr>
          <w:rFonts w:ascii="Traditional Arabic" w:hAnsi="Traditional Arabic" w:hint="cs"/>
          <w:sz w:val="32"/>
          <w:szCs w:val="32"/>
          <w:rtl/>
        </w:rPr>
        <w:t xml:space="preserve"> ، </w:t>
      </w:r>
      <w:r w:rsidRPr="00512A93">
        <w:rPr>
          <w:rFonts w:ascii="Traditional Arabic" w:hAnsi="Traditional Arabic"/>
          <w:sz w:val="32"/>
          <w:szCs w:val="32"/>
          <w:rtl/>
        </w:rPr>
        <w:t xml:space="preserve">المجموع </w:t>
      </w:r>
      <w:r>
        <w:rPr>
          <w:rFonts w:ascii="Traditional Arabic" w:hAnsi="Traditional Arabic" w:hint="cs"/>
          <w:sz w:val="32"/>
          <w:szCs w:val="32"/>
          <w:rtl/>
        </w:rPr>
        <w:t>(</w:t>
      </w:r>
      <w:r>
        <w:rPr>
          <w:rFonts w:ascii="Traditional Arabic" w:hAnsi="Traditional Arabic"/>
          <w:sz w:val="32"/>
          <w:szCs w:val="32"/>
          <w:rtl/>
        </w:rPr>
        <w:t>5/</w:t>
      </w:r>
      <w:r w:rsidRPr="00512A93">
        <w:rPr>
          <w:rFonts w:ascii="Traditional Arabic" w:hAnsi="Traditional Arabic"/>
          <w:sz w:val="32"/>
          <w:szCs w:val="32"/>
          <w:rtl/>
        </w:rPr>
        <w:t>84</w:t>
      </w:r>
      <w:r>
        <w:rPr>
          <w:rFonts w:ascii="Traditional Arabic" w:hAnsi="Traditional Arabic" w:hint="cs"/>
          <w:sz w:val="32"/>
          <w:szCs w:val="32"/>
          <w:rtl/>
        </w:rPr>
        <w:t xml:space="preserve">) </w:t>
      </w:r>
      <w:r w:rsidRPr="00512A93">
        <w:rPr>
          <w:rFonts w:ascii="Traditional Arabic" w:hAnsi="Traditional Arabic"/>
          <w:sz w:val="32"/>
          <w:szCs w:val="32"/>
          <w:rtl/>
        </w:rPr>
        <w:t xml:space="preserve">، حاشية العدوي </w:t>
      </w:r>
      <w:r>
        <w:rPr>
          <w:rFonts w:ascii="Traditional Arabic" w:hAnsi="Traditional Arabic" w:hint="cs"/>
          <w:sz w:val="32"/>
          <w:szCs w:val="32"/>
          <w:rtl/>
        </w:rPr>
        <w:t>(</w:t>
      </w:r>
      <w:r>
        <w:rPr>
          <w:rFonts w:ascii="Traditional Arabic" w:hAnsi="Traditional Arabic"/>
          <w:sz w:val="32"/>
          <w:szCs w:val="32"/>
          <w:rtl/>
        </w:rPr>
        <w:t>2/</w:t>
      </w:r>
      <w:r w:rsidRPr="00512A93">
        <w:rPr>
          <w:rFonts w:ascii="Traditional Arabic" w:hAnsi="Traditional Arabic"/>
          <w:sz w:val="32"/>
          <w:szCs w:val="32"/>
          <w:rtl/>
        </w:rPr>
        <w:t>16</w:t>
      </w:r>
      <w:r>
        <w:rPr>
          <w:rFonts w:ascii="Traditional Arabic" w:hAnsi="Traditional Arabic" w:hint="cs"/>
          <w:sz w:val="32"/>
          <w:szCs w:val="32"/>
          <w:rtl/>
        </w:rPr>
        <w:t>).</w:t>
      </w:r>
    </w:p>
  </w:footnote>
  <w:footnote w:id="9">
    <w:p w:rsidR="006E07A6" w:rsidRPr="00512A93" w:rsidRDefault="006E07A6" w:rsidP="00510F8D">
      <w:pPr>
        <w:pStyle w:val="af3"/>
        <w:ind w:left="423" w:hanging="425"/>
        <w:jc w:val="lowKashida"/>
        <w:rPr>
          <w:rFonts w:ascii="Traditional Arabic" w:hAnsi="Traditional Arabic"/>
          <w:sz w:val="32"/>
          <w:szCs w:val="32"/>
        </w:rPr>
      </w:pPr>
      <w:r w:rsidRPr="00512A93">
        <w:rPr>
          <w:rFonts w:ascii="Traditional Arabic" w:hAnsi="Traditional Arabic"/>
          <w:sz w:val="32"/>
          <w:szCs w:val="32"/>
        </w:rPr>
        <w:t>(</w:t>
      </w:r>
      <w:r w:rsidRPr="00512A9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512A93">
        <w:rPr>
          <w:rFonts w:ascii="Traditional Arabic" w:hAnsi="Traditional Arabic"/>
          <w:sz w:val="32"/>
          <w:szCs w:val="32"/>
        </w:rPr>
        <w:t>)</w:t>
      </w:r>
      <w:r w:rsidRPr="00512A93">
        <w:rPr>
          <w:rFonts w:ascii="Traditional Arabic" w:hAnsi="Traditional Arabic"/>
          <w:sz w:val="32"/>
          <w:szCs w:val="32"/>
          <w:rtl/>
        </w:rPr>
        <w:t xml:space="preserve"> </w:t>
      </w:r>
      <w:r w:rsidRPr="00512A93">
        <w:rPr>
          <w:rFonts w:ascii="Traditional Arabic" w:hAnsi="Traditional Arabic" w:hint="cs"/>
          <w:sz w:val="32"/>
          <w:szCs w:val="32"/>
          <w:rtl/>
        </w:rPr>
        <w:t xml:space="preserve">انظر : </w:t>
      </w:r>
      <w:r w:rsidRPr="00512A93">
        <w:rPr>
          <w:rFonts w:ascii="Traditional Arabic" w:hAnsi="Traditional Arabic"/>
          <w:sz w:val="32"/>
          <w:szCs w:val="32"/>
          <w:rtl/>
        </w:rPr>
        <w:t>الذخيرة للقرافي (2/ 434)</w:t>
      </w:r>
      <w:r w:rsidRPr="00512A93">
        <w:rPr>
          <w:rFonts w:ascii="Traditional Arabic" w:hAnsi="Traditional Arabic" w:hint="cs"/>
          <w:sz w:val="32"/>
          <w:szCs w:val="32"/>
          <w:rtl/>
        </w:rPr>
        <w:t xml:space="preserve"> ، </w:t>
      </w:r>
      <w:r w:rsidRPr="00512A93">
        <w:rPr>
          <w:rFonts w:ascii="Traditional Arabic" w:hAnsi="Traditional Arabic"/>
          <w:sz w:val="32"/>
          <w:szCs w:val="32"/>
          <w:rtl/>
        </w:rPr>
        <w:t>المدونة (1/ 244)</w:t>
      </w:r>
      <w:r w:rsidRPr="00512A93">
        <w:rPr>
          <w:rFonts w:ascii="Traditional Arabic" w:hAnsi="Traditional Arabic" w:hint="cs"/>
          <w:sz w:val="32"/>
          <w:szCs w:val="32"/>
          <w:rtl/>
        </w:rPr>
        <w:t xml:space="preserve"> ، حاشية </w:t>
      </w:r>
      <w:r w:rsidRPr="00512A93">
        <w:rPr>
          <w:rFonts w:ascii="Traditional Arabic" w:hAnsi="Traditional Arabic"/>
          <w:sz w:val="32"/>
          <w:szCs w:val="32"/>
          <w:rtl/>
        </w:rPr>
        <w:t xml:space="preserve">العدوي على الخرشي </w:t>
      </w:r>
      <w:r w:rsidRPr="00512A93">
        <w:rPr>
          <w:rFonts w:ascii="Traditional Arabic" w:hAnsi="Traditional Arabic" w:hint="cs"/>
          <w:sz w:val="32"/>
          <w:szCs w:val="32"/>
          <w:rtl/>
        </w:rPr>
        <w:t>(</w:t>
      </w:r>
      <w:r w:rsidRPr="00512A93">
        <w:rPr>
          <w:rFonts w:ascii="Traditional Arabic" w:hAnsi="Traditional Arabic"/>
          <w:sz w:val="32"/>
          <w:szCs w:val="32"/>
          <w:rtl/>
        </w:rPr>
        <w:t>2/16</w:t>
      </w:r>
      <w:r w:rsidRPr="00512A93">
        <w:rPr>
          <w:rFonts w:ascii="Traditional Arabic" w:hAnsi="Traditional Arabic" w:hint="cs"/>
          <w:sz w:val="32"/>
          <w:szCs w:val="32"/>
          <w:rtl/>
        </w:rPr>
        <w:t>)</w:t>
      </w:r>
      <w:r w:rsidRPr="006440C4">
        <w:rPr>
          <w:rFonts w:ascii="Traditional Arabic" w:hAnsi="Traditional Arabic"/>
          <w:sz w:val="32"/>
          <w:szCs w:val="32"/>
          <w:rtl/>
        </w:rPr>
        <w:t xml:space="preserve"> </w:t>
      </w:r>
      <w:r>
        <w:rPr>
          <w:rFonts w:ascii="Traditional Arabic" w:hAnsi="Traditional Arabic" w:hint="cs"/>
          <w:sz w:val="32"/>
          <w:szCs w:val="32"/>
          <w:rtl/>
        </w:rPr>
        <w:t xml:space="preserve">، </w:t>
      </w:r>
      <w:r w:rsidRPr="00512A93">
        <w:rPr>
          <w:rFonts w:ascii="Traditional Arabic" w:hAnsi="Traditional Arabic"/>
          <w:sz w:val="32"/>
          <w:szCs w:val="32"/>
          <w:rtl/>
        </w:rPr>
        <w:t>التاج والإكليل (5/597).</w:t>
      </w:r>
    </w:p>
  </w:footnote>
  <w:footnote w:id="10">
    <w:p w:rsidR="006440C4" w:rsidRPr="006440C4" w:rsidRDefault="006440C4" w:rsidP="00A956DF">
      <w:pPr>
        <w:pStyle w:val="af3"/>
        <w:ind w:left="423" w:hanging="425"/>
        <w:jc w:val="lowKashida"/>
        <w:rPr>
          <w:rFonts w:ascii="Traditional Arabic" w:hAnsi="Traditional Arabic"/>
          <w:sz w:val="32"/>
          <w:szCs w:val="32"/>
        </w:rPr>
      </w:pPr>
      <w:r w:rsidRPr="00512A93">
        <w:rPr>
          <w:rFonts w:ascii="Traditional Arabic" w:hAnsi="Traditional Arabic"/>
          <w:sz w:val="32"/>
          <w:szCs w:val="32"/>
        </w:rPr>
        <w:t>(</w:t>
      </w:r>
      <w:r w:rsidRPr="00512A9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512A93">
        <w:rPr>
          <w:rFonts w:ascii="Traditional Arabic" w:hAnsi="Traditional Arabic"/>
          <w:sz w:val="32"/>
          <w:szCs w:val="32"/>
        </w:rPr>
        <w:t>)</w:t>
      </w:r>
      <w:r w:rsidR="006E07A6">
        <w:rPr>
          <w:rFonts w:ascii="Traditional Arabic" w:hAnsi="Traditional Arabic" w:hint="cs"/>
          <w:sz w:val="32"/>
          <w:szCs w:val="32"/>
          <w:rtl/>
        </w:rPr>
        <w:t xml:space="preserve"> </w:t>
      </w:r>
      <w:r w:rsidR="00B85112">
        <w:rPr>
          <w:rFonts w:ascii="Traditional Arabic" w:hAnsi="Traditional Arabic" w:hint="cs"/>
          <w:sz w:val="32"/>
          <w:szCs w:val="32"/>
          <w:rtl/>
        </w:rPr>
        <w:t>تقدم</w:t>
      </w:r>
      <w:r w:rsidR="006E07A6">
        <w:rPr>
          <w:rFonts w:ascii="Traditional Arabic" w:hAnsi="Traditional Arabic" w:hint="cs"/>
          <w:sz w:val="32"/>
          <w:szCs w:val="32"/>
          <w:rtl/>
        </w:rPr>
        <w:t xml:space="preserve"> تخريجه</w:t>
      </w:r>
      <w:r w:rsidR="006A43FF">
        <w:rPr>
          <w:rFonts w:ascii="Traditional Arabic" w:hAnsi="Traditional Arabic" w:hint="cs"/>
          <w:sz w:val="32"/>
          <w:szCs w:val="32"/>
          <w:rtl/>
        </w:rPr>
        <w:t xml:space="preserve"> </w:t>
      </w:r>
      <w:r w:rsidR="00B85112">
        <w:rPr>
          <w:rFonts w:ascii="Traditional Arabic" w:hAnsi="Traditional Arabic" w:hint="cs"/>
          <w:sz w:val="32"/>
          <w:szCs w:val="32"/>
          <w:rtl/>
        </w:rPr>
        <w:t>ص (6</w:t>
      </w:r>
      <w:r w:rsidR="00A956DF">
        <w:rPr>
          <w:rFonts w:ascii="Traditional Arabic" w:hAnsi="Traditional Arabic" w:hint="cs"/>
          <w:sz w:val="32"/>
          <w:szCs w:val="32"/>
          <w:rtl/>
        </w:rPr>
        <w:t>80</w:t>
      </w:r>
      <w:r w:rsidR="00B85112">
        <w:rPr>
          <w:rFonts w:ascii="Traditional Arabic" w:hAnsi="Traditional Arabic" w:hint="cs"/>
          <w:sz w:val="32"/>
          <w:szCs w:val="32"/>
          <w:rtl/>
        </w:rPr>
        <w:t xml:space="preserve">) </w:t>
      </w:r>
      <w:r w:rsidR="006E07A6">
        <w:rPr>
          <w:rFonts w:ascii="Traditional Arabic" w:hAnsi="Traditional Arabic" w:hint="cs"/>
          <w:sz w:val="32"/>
          <w:szCs w:val="32"/>
          <w:rtl/>
        </w:rPr>
        <w:t xml:space="preserve"> . </w:t>
      </w:r>
    </w:p>
  </w:footnote>
  <w:footnote w:id="11">
    <w:p w:rsidR="006440C4" w:rsidRPr="00512A93" w:rsidRDefault="006440C4" w:rsidP="00510F8D">
      <w:pPr>
        <w:pStyle w:val="af3"/>
        <w:ind w:left="423" w:hanging="425"/>
        <w:jc w:val="lowKashida"/>
        <w:rPr>
          <w:rFonts w:ascii="Traditional Arabic" w:hAnsi="Traditional Arabic"/>
          <w:sz w:val="32"/>
          <w:szCs w:val="32"/>
        </w:rPr>
      </w:pPr>
      <w:r w:rsidRPr="00512A93">
        <w:rPr>
          <w:rFonts w:ascii="Traditional Arabic" w:hAnsi="Traditional Arabic"/>
          <w:sz w:val="32"/>
          <w:szCs w:val="32"/>
        </w:rPr>
        <w:t>(</w:t>
      </w:r>
      <w:r w:rsidRPr="00512A9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512A93">
        <w:rPr>
          <w:rFonts w:ascii="Traditional Arabic" w:hAnsi="Traditional Arabic"/>
          <w:sz w:val="32"/>
          <w:szCs w:val="32"/>
        </w:rPr>
        <w:t>)</w:t>
      </w:r>
      <w:r w:rsidRPr="00512A93">
        <w:rPr>
          <w:rFonts w:ascii="Traditional Arabic" w:hAnsi="Traditional Arabic" w:hint="cs"/>
          <w:sz w:val="32"/>
          <w:szCs w:val="32"/>
          <w:rtl/>
        </w:rPr>
        <w:t xml:space="preserve"> انظر : </w:t>
      </w:r>
      <w:r w:rsidRPr="00512A93">
        <w:rPr>
          <w:rFonts w:ascii="Traditional Arabic" w:hAnsi="Traditional Arabic"/>
          <w:sz w:val="32"/>
          <w:szCs w:val="32"/>
          <w:rtl/>
        </w:rPr>
        <w:t>المدونة (1/244)</w:t>
      </w:r>
      <w:r w:rsidR="0011584A">
        <w:rPr>
          <w:rFonts w:ascii="Traditional Arabic" w:hAnsi="Traditional Arabic" w:hint="cs"/>
          <w:sz w:val="32"/>
          <w:szCs w:val="32"/>
          <w:rtl/>
        </w:rPr>
        <w:t xml:space="preserve"> , الذخيرة (2/434) .</w:t>
      </w:r>
    </w:p>
  </w:footnote>
  <w:footnote w:id="12">
    <w:p w:rsidR="006440C4" w:rsidRPr="00512A93" w:rsidRDefault="006440C4" w:rsidP="00510F8D">
      <w:pPr>
        <w:pStyle w:val="af3"/>
        <w:ind w:left="423" w:hanging="425"/>
        <w:jc w:val="lowKashida"/>
        <w:rPr>
          <w:rFonts w:ascii="Traditional Arabic" w:hAnsi="Traditional Arabic"/>
          <w:sz w:val="32"/>
          <w:szCs w:val="32"/>
        </w:rPr>
      </w:pPr>
      <w:r w:rsidRPr="00512A93">
        <w:rPr>
          <w:rFonts w:ascii="Traditional Arabic" w:hAnsi="Traditional Arabic"/>
          <w:sz w:val="32"/>
          <w:szCs w:val="32"/>
        </w:rPr>
        <w:t>(</w:t>
      </w:r>
      <w:r w:rsidRPr="00512A9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512A93">
        <w:rPr>
          <w:rFonts w:ascii="Traditional Arabic" w:hAnsi="Traditional Arabic"/>
          <w:sz w:val="32"/>
          <w:szCs w:val="32"/>
        </w:rPr>
        <w:t>)</w:t>
      </w:r>
      <w:r w:rsidR="006E07A6">
        <w:rPr>
          <w:rFonts w:ascii="Traditional Arabic" w:hAnsi="Traditional Arabic" w:hint="cs"/>
          <w:sz w:val="32"/>
          <w:szCs w:val="32"/>
          <w:rtl/>
        </w:rPr>
        <w:t xml:space="preserve"> </w:t>
      </w:r>
      <w:r w:rsidRPr="00512A93">
        <w:rPr>
          <w:rFonts w:ascii="Traditional Arabic" w:hAnsi="Traditional Arabic"/>
          <w:sz w:val="32"/>
          <w:szCs w:val="32"/>
          <w:rtl/>
        </w:rPr>
        <w:t xml:space="preserve">انظر : بدائع الصنائع (2/261) </w:t>
      </w:r>
      <w:r>
        <w:rPr>
          <w:rFonts w:ascii="Traditional Arabic" w:hAnsi="Traditional Arabic" w:hint="cs"/>
          <w:sz w:val="32"/>
          <w:szCs w:val="32"/>
          <w:rtl/>
        </w:rPr>
        <w:t>،</w:t>
      </w:r>
      <w:r w:rsidRPr="006440C4">
        <w:rPr>
          <w:rFonts w:ascii="Traditional Arabic" w:hAnsi="Traditional Arabic"/>
          <w:sz w:val="32"/>
          <w:szCs w:val="32"/>
          <w:rtl/>
        </w:rPr>
        <w:t xml:space="preserve"> </w:t>
      </w:r>
      <w:r w:rsidRPr="00512A93">
        <w:rPr>
          <w:rFonts w:ascii="Traditional Arabic" w:hAnsi="Traditional Arabic"/>
          <w:sz w:val="32"/>
          <w:szCs w:val="32"/>
          <w:rtl/>
        </w:rPr>
        <w:t>المبدع شرح المقنع (2/186)</w:t>
      </w:r>
      <w:r>
        <w:rPr>
          <w:rFonts w:ascii="Traditional Arabic" w:hAnsi="Traditional Arabic" w:hint="cs"/>
          <w:sz w:val="32"/>
          <w:szCs w:val="32"/>
          <w:rtl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1DDD10725DD84BD7842AD808E5CB61B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10F8D" w:rsidRPr="00510F8D" w:rsidRDefault="00510F8D" w:rsidP="00510F8D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="mohammad bold art 1"/>
            <w:sz w:val="24"/>
            <w:szCs w:val="24"/>
          </w:rPr>
        </w:pPr>
        <w:r w:rsidRPr="00510F8D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المطلب السابع عشر: حكم إخراج المنبر لصلاة الاستسقاء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0001B7"/>
    <w:multiLevelType w:val="hybridMultilevel"/>
    <w:tmpl w:val="39FAB9F4"/>
    <w:lvl w:ilvl="0" w:tplc="8EC0F0B0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E763213"/>
    <w:multiLevelType w:val="hybridMultilevel"/>
    <w:tmpl w:val="353A693C"/>
    <w:lvl w:ilvl="0" w:tplc="9BEACC5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AE29B3"/>
    <w:rsid w:val="00060952"/>
    <w:rsid w:val="000A5E8C"/>
    <w:rsid w:val="000F2A3F"/>
    <w:rsid w:val="0011584A"/>
    <w:rsid w:val="00136097"/>
    <w:rsid w:val="001471FA"/>
    <w:rsid w:val="001B3220"/>
    <w:rsid w:val="002057D0"/>
    <w:rsid w:val="002107D8"/>
    <w:rsid w:val="00263FB7"/>
    <w:rsid w:val="00305526"/>
    <w:rsid w:val="00336EC0"/>
    <w:rsid w:val="003747A2"/>
    <w:rsid w:val="00377AAC"/>
    <w:rsid w:val="004108C6"/>
    <w:rsid w:val="00412F2C"/>
    <w:rsid w:val="00423B55"/>
    <w:rsid w:val="004360E9"/>
    <w:rsid w:val="00443823"/>
    <w:rsid w:val="004445F8"/>
    <w:rsid w:val="0046232C"/>
    <w:rsid w:val="004A2F6B"/>
    <w:rsid w:val="00501FCF"/>
    <w:rsid w:val="00510F8D"/>
    <w:rsid w:val="00512A93"/>
    <w:rsid w:val="005B4436"/>
    <w:rsid w:val="005B6E1F"/>
    <w:rsid w:val="00634AAE"/>
    <w:rsid w:val="006440C4"/>
    <w:rsid w:val="006623C7"/>
    <w:rsid w:val="00682B6F"/>
    <w:rsid w:val="006A43FF"/>
    <w:rsid w:val="006A72C1"/>
    <w:rsid w:val="006E07A6"/>
    <w:rsid w:val="0077601E"/>
    <w:rsid w:val="007A42A6"/>
    <w:rsid w:val="007D1D4B"/>
    <w:rsid w:val="00810E20"/>
    <w:rsid w:val="00845D44"/>
    <w:rsid w:val="00875E98"/>
    <w:rsid w:val="00895A1F"/>
    <w:rsid w:val="0091555E"/>
    <w:rsid w:val="00923805"/>
    <w:rsid w:val="009B4B50"/>
    <w:rsid w:val="009B7238"/>
    <w:rsid w:val="00A44C74"/>
    <w:rsid w:val="00A52731"/>
    <w:rsid w:val="00A80F3F"/>
    <w:rsid w:val="00A86940"/>
    <w:rsid w:val="00A934A2"/>
    <w:rsid w:val="00A956DF"/>
    <w:rsid w:val="00AC5004"/>
    <w:rsid w:val="00AE29B3"/>
    <w:rsid w:val="00B2566B"/>
    <w:rsid w:val="00B432B8"/>
    <w:rsid w:val="00B73802"/>
    <w:rsid w:val="00B85112"/>
    <w:rsid w:val="00B94450"/>
    <w:rsid w:val="00BD05B2"/>
    <w:rsid w:val="00BD069D"/>
    <w:rsid w:val="00BD0BDF"/>
    <w:rsid w:val="00BF119E"/>
    <w:rsid w:val="00C126BD"/>
    <w:rsid w:val="00C5563F"/>
    <w:rsid w:val="00C649B8"/>
    <w:rsid w:val="00C73A8C"/>
    <w:rsid w:val="00CB21FE"/>
    <w:rsid w:val="00CC16FB"/>
    <w:rsid w:val="00CC2581"/>
    <w:rsid w:val="00CE6E4F"/>
    <w:rsid w:val="00D4781A"/>
    <w:rsid w:val="00D53643"/>
    <w:rsid w:val="00DB73A7"/>
    <w:rsid w:val="00DC3D03"/>
    <w:rsid w:val="00DE4B2E"/>
    <w:rsid w:val="00DF7385"/>
    <w:rsid w:val="00E01312"/>
    <w:rsid w:val="00E0440F"/>
    <w:rsid w:val="00E135AB"/>
    <w:rsid w:val="00E24F81"/>
    <w:rsid w:val="00E30AFA"/>
    <w:rsid w:val="00E64E14"/>
    <w:rsid w:val="00EA23B4"/>
    <w:rsid w:val="00EC0214"/>
    <w:rsid w:val="00EF5F9D"/>
    <w:rsid w:val="00F12CA0"/>
    <w:rsid w:val="00F237B4"/>
    <w:rsid w:val="00F37697"/>
    <w:rsid w:val="00F67EDD"/>
    <w:rsid w:val="00FA5D93"/>
    <w:rsid w:val="00FB59F6"/>
    <w:rsid w:val="00FC7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29B3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336EC0"/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List Paragraph"/>
    <w:basedOn w:val="a"/>
    <w:uiPriority w:val="34"/>
    <w:qFormat/>
    <w:rsid w:val="006A43FF"/>
    <w:pPr>
      <w:ind w:left="720"/>
      <w:contextualSpacing/>
    </w:pPr>
  </w:style>
  <w:style w:type="paragraph" w:styleId="afd">
    <w:name w:val="footer"/>
    <w:basedOn w:val="a"/>
    <w:link w:val="Char0"/>
    <w:uiPriority w:val="99"/>
    <w:rsid w:val="00510F8D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d"/>
    <w:uiPriority w:val="99"/>
    <w:rsid w:val="00510F8D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510F8D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DDD10725DD84BD7842AD808E5CB61BD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244FD518-320E-46A6-93DD-0D57ACF66878}"/>
      </w:docPartPr>
      <w:docPartBody>
        <w:p w:rsidR="000A0B45" w:rsidRDefault="0020102C" w:rsidP="0020102C">
          <w:pPr>
            <w:pStyle w:val="1DDD10725DD84BD7842AD808E5CB61BD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0102C"/>
    <w:rsid w:val="000A0B45"/>
    <w:rsid w:val="0020102C"/>
    <w:rsid w:val="00684503"/>
    <w:rsid w:val="00835D12"/>
    <w:rsid w:val="00B44E68"/>
    <w:rsid w:val="00C30E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B4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DDD10725DD84BD7842AD808E5CB61BD">
    <w:name w:val="1DDD10725DD84BD7842AD808E5CB61BD"/>
    <w:rsid w:val="0020102C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المسألة الرابعة : حكم إخراج المنبر لصلاة الاستسقاء</vt:lpstr>
    </vt:vector>
  </TitlesOfParts>
  <Company>DELL</Company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السابع عشر: حكم إخراج المنبر لصلاة الاستسقاء</dc:title>
  <dc:subject/>
  <dc:creator>DELL</dc:creator>
  <cp:keywords/>
  <dc:description/>
  <cp:lastModifiedBy>xp</cp:lastModifiedBy>
  <cp:revision>12</cp:revision>
  <dcterms:created xsi:type="dcterms:W3CDTF">2012-07-12T19:23:00Z</dcterms:created>
  <dcterms:modified xsi:type="dcterms:W3CDTF">2012-09-23T11:07:00Z</dcterms:modified>
</cp:coreProperties>
</file>