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33" w:rsidRPr="00D36C77" w:rsidRDefault="0046341A" w:rsidP="003D5233">
      <w:pPr>
        <w:spacing w:after="0" w:line="240" w:lineRule="auto"/>
        <w:jc w:val="center"/>
        <w:rPr>
          <w:rFonts w:ascii="Traditional Arabic" w:eastAsia="Calibri" w:hAnsi="Traditional Arabic" w:cs="AL-Mateen"/>
          <w:b/>
          <w:bCs/>
          <w:sz w:val="36"/>
          <w:szCs w:val="36"/>
          <w:rtl/>
        </w:rPr>
      </w:pPr>
      <w:r w:rsidRPr="00D36C77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المطلب التاسع : حكم وضع قطيفة</w:t>
      </w:r>
      <w:r w:rsidR="000C5621" w:rsidRPr="00D36C77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</w:t>
      </w:r>
      <w:r w:rsidR="00B81792" w:rsidRPr="00D36C77">
        <w:rPr>
          <w:rStyle w:val="a4"/>
          <w:rFonts w:ascii="Traditional Arabic" w:hAnsi="Traditional Arabic" w:cs="AL-Mateen"/>
          <w:sz w:val="36"/>
          <w:szCs w:val="36"/>
          <w:rtl/>
        </w:rPr>
        <w:t>(</w:t>
      </w:r>
      <w:r w:rsidR="00B81792" w:rsidRPr="00D36C77">
        <w:rPr>
          <w:rStyle w:val="a4"/>
          <w:rFonts w:ascii="Traditional Arabic" w:hAnsi="Traditional Arabic" w:cs="AL-Mateen"/>
          <w:sz w:val="36"/>
          <w:szCs w:val="36"/>
          <w:rtl/>
        </w:rPr>
        <w:footnoteReference w:id="2"/>
      </w:r>
      <w:r w:rsidR="00B81792" w:rsidRPr="00D36C77">
        <w:rPr>
          <w:rStyle w:val="a4"/>
          <w:rFonts w:ascii="Traditional Arabic" w:hAnsi="Traditional Arabic" w:cs="AL-Mateen"/>
          <w:sz w:val="36"/>
          <w:szCs w:val="36"/>
          <w:rtl/>
        </w:rPr>
        <w:t>)</w:t>
      </w:r>
      <w:r w:rsidR="00B81792" w:rsidRPr="00D36C77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</w:t>
      </w:r>
      <w:r w:rsidRPr="00D36C77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أو مخدة</w:t>
      </w:r>
      <w:r w:rsidR="000C5621" w:rsidRPr="00D36C77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</w:t>
      </w:r>
      <w:r w:rsidR="00B81792" w:rsidRPr="00D36C77">
        <w:rPr>
          <w:rStyle w:val="a4"/>
          <w:rFonts w:ascii="Traditional Arabic" w:hAnsi="Traditional Arabic" w:cs="AL-Mateen"/>
          <w:sz w:val="36"/>
          <w:szCs w:val="36"/>
          <w:rtl/>
        </w:rPr>
        <w:t>(</w:t>
      </w:r>
      <w:r w:rsidR="00B81792" w:rsidRPr="00D36C77">
        <w:rPr>
          <w:rStyle w:val="a4"/>
          <w:rFonts w:ascii="Traditional Arabic" w:hAnsi="Traditional Arabic" w:cs="AL-Mateen"/>
          <w:sz w:val="36"/>
          <w:szCs w:val="36"/>
          <w:rtl/>
        </w:rPr>
        <w:footnoteReference w:id="3"/>
      </w:r>
      <w:r w:rsidR="00B81792" w:rsidRPr="00D36C77">
        <w:rPr>
          <w:rStyle w:val="a4"/>
          <w:rFonts w:ascii="Traditional Arabic" w:hAnsi="Traditional Arabic" w:cs="AL-Mateen"/>
          <w:sz w:val="36"/>
          <w:szCs w:val="36"/>
          <w:rtl/>
        </w:rPr>
        <w:t>)</w:t>
      </w:r>
      <w:r w:rsidRPr="00D36C77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تحت الميت في القبر</w:t>
      </w:r>
      <w:r w:rsidR="00D36C77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.</w:t>
      </w:r>
    </w:p>
    <w:p w:rsidR="0046341A" w:rsidRPr="00B81792" w:rsidRDefault="0046341A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8179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أولاً : رأي الشيخ المباركفوري ـ رحمه الله ـ في المسألة : </w:t>
      </w:r>
    </w:p>
    <w:p w:rsidR="0046341A" w:rsidRPr="00B81792" w:rsidRDefault="0046341A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8179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قال ـ رحمه الله ـ : </w:t>
      </w:r>
      <w:r w:rsidRPr="00392A4E">
        <w:rPr>
          <w:rFonts w:ascii="Traditional Arabic" w:eastAsia="Calibri" w:hAnsi="Traditional Arabic" w:cs="Traditional Arabic" w:hint="cs"/>
          <w:sz w:val="36"/>
          <w:szCs w:val="36"/>
          <w:rtl/>
        </w:rPr>
        <w:t>" والصواب كراهته , كما قال الجمهور ( أي كراهة وضع قطيفة أو مخدة تحت الميت في القبر) "</w:t>
      </w:r>
      <w:r w:rsidRPr="00B8179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B8179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. </w:t>
      </w:r>
    </w:p>
    <w:p w:rsidR="0046341A" w:rsidRPr="00B81792" w:rsidRDefault="0046341A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81792">
        <w:rPr>
          <w:rFonts w:eastAsia="Calibri" w:cs="Traditional Arabic" w:hint="cs"/>
          <w:b/>
          <w:bCs/>
          <w:sz w:val="36"/>
          <w:szCs w:val="36"/>
          <w:rtl/>
        </w:rPr>
        <w:t>ثاني</w:t>
      </w:r>
      <w:r w:rsidRPr="00B81792">
        <w:rPr>
          <w:rFonts w:eastAsia="Calibri" w:cs="Traditional Arabic"/>
          <w:b/>
          <w:bCs/>
          <w:sz w:val="36"/>
          <w:szCs w:val="36"/>
          <w:rtl/>
        </w:rPr>
        <w:t>ا</w:t>
      </w:r>
      <w:r w:rsidRPr="00B81792">
        <w:rPr>
          <w:rFonts w:eastAsia="Calibri" w:cs="Traditional Arabic" w:hint="cs"/>
          <w:b/>
          <w:bCs/>
          <w:sz w:val="36"/>
          <w:szCs w:val="36"/>
          <w:rtl/>
        </w:rPr>
        <w:t>ً : أقوال العلماء في المسألة :</w:t>
      </w:r>
    </w:p>
    <w:p w:rsidR="0046341A" w:rsidRPr="00B81792" w:rsidRDefault="0046341A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>اختلف العلماء في حكم وضع قط</w:t>
      </w:r>
      <w:r w:rsid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يفة أو مخدة تحت الميت في القبر </w:t>
      </w:r>
      <w:r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>على قولين :</w:t>
      </w:r>
    </w:p>
    <w:p w:rsidR="0046341A" w:rsidRPr="00392A4E" w:rsidRDefault="0046341A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8179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القول الأول :</w:t>
      </w:r>
      <w:r w:rsidR="00392A4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3D2D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>ذهب الجمهور من الحنفية</w:t>
      </w:r>
      <w:r w:rsidR="00860B7E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D2D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>, والمالكية</w:t>
      </w:r>
      <w:r w:rsidR="00860B7E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D2D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, والشافعية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D2D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>, والحنابلة</w:t>
      </w:r>
      <w:r w:rsidR="00860B7E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D2D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إلى كراهة وضع مخدة أو قطيفة تحت الميت في القبر .</w:t>
      </w:r>
    </w:p>
    <w:p w:rsidR="003D2D35" w:rsidRPr="00392A4E" w:rsidRDefault="003D2D35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8179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القول الثاني :</w:t>
      </w:r>
      <w:r w:rsidR="00392A4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ذهب الإمام أحمد في رواية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>, وابن حزم</w:t>
      </w:r>
      <w:r w:rsidR="000A27C9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إلى جواز وضع قطيفة أو مخدة تحت الميت في القبر .</w:t>
      </w:r>
    </w:p>
    <w:p w:rsidR="003D2D35" w:rsidRPr="00B81792" w:rsidRDefault="003D2D35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8179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ثالثاً : سبب الخلاف :</w:t>
      </w:r>
    </w:p>
    <w:p w:rsidR="003D2D35" w:rsidRPr="00B81792" w:rsidRDefault="003D2D35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>سبب اختلافهم هو اختلافهم في الاستدلال بحديث شقران ـ رضي الله عنه ـ هل كان ذلك الفعل باجتهاد منه دون علم الصحابة ـ رضي الله عنهم  ـ , أو أنهم شاهدوه وأقروه على هذا الفعل , وهل بقيت هذه القطيفة أو أخرجت بعد ذلك .</w:t>
      </w:r>
    </w:p>
    <w:p w:rsidR="00C454CE" w:rsidRDefault="00C454CE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C454CE" w:rsidRDefault="00C454CE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C454CE" w:rsidRDefault="00C454CE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3D2D35" w:rsidRPr="00B81792" w:rsidRDefault="003D2D35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8179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رابعاً : الأدلة : </w:t>
      </w:r>
    </w:p>
    <w:p w:rsidR="003D2D35" w:rsidRPr="003D5233" w:rsidRDefault="003D2D35" w:rsidP="003D5233">
      <w:pPr>
        <w:pStyle w:val="a6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392A4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 أصحاب القول الأول :</w:t>
      </w:r>
      <w:r w:rsidRPr="003D523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استدلوا بما يلي : </w:t>
      </w:r>
    </w:p>
    <w:p w:rsidR="003D2D35" w:rsidRPr="00B81792" w:rsidRDefault="00392A4E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92A4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3D2D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عمر بن الخطاب ـ رضي الله عنه ـ أنه قال : " إذا أنزلتموني في اللحد فأفضوا بخدي إلى الأرض "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3D2D35" w:rsidRPr="00B81792" w:rsidRDefault="003D2D35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>وهذا لا يتحقق إذا وضع تحته قطيفة .</w:t>
      </w:r>
    </w:p>
    <w:p w:rsidR="003D2D35" w:rsidRPr="00B81792" w:rsidRDefault="00392A4E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92A4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3D2D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أبي موسى الأشعري ـ رضي الله عنه ـ قال : " لا تجعلوا بيني وبين الأرض شيئا "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2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  <w:r w:rsidR="003D2D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</w:p>
    <w:p w:rsidR="003D2D35" w:rsidRPr="00B81792" w:rsidRDefault="00392A4E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92A4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الثالث :</w:t>
      </w:r>
      <w:r w:rsidR="003D2D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ابن عباس ـ رضي الله عنهما ـ " أنه كره أن يلقى تحت الميت في القبر شيء "</w:t>
      </w:r>
      <w:r w:rsidR="00B81792" w:rsidRPr="00B81792">
        <w:rPr>
          <w:rStyle w:val="a4"/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3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3D2D35" w:rsidRPr="00B81792" w:rsidRDefault="003D2D35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>وجه الدلالة من الآثار السابقة في كراهة وضع مخدة أو قطيفة تحت الميت في قبره .</w:t>
      </w:r>
    </w:p>
    <w:p w:rsidR="003D2D35" w:rsidRPr="00B81792" w:rsidRDefault="00392A4E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92A4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الرابع :</w:t>
      </w:r>
      <w:r w:rsidR="003D2D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أنَّ هذا الفعل لم يثبت عن النبي صلى الله عليه وسلم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4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D2D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>, والحجة في فعله عليه الصلاة والسلام .</w:t>
      </w:r>
    </w:p>
    <w:p w:rsidR="003D2D35" w:rsidRPr="00B81792" w:rsidRDefault="00392A4E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92A4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الخامس :</w:t>
      </w:r>
      <w:r w:rsidR="003D2D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إذا حصل هذا فهو خاص بالأنبياء , لأنهم أحياء في قبورهم فلا يجوز لنا ذلك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5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D2D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C454CE" w:rsidRDefault="00C454CE" w:rsidP="00C454CE">
      <w:pPr>
        <w:pStyle w:val="a6"/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</w:p>
    <w:p w:rsidR="00C454CE" w:rsidRDefault="00C454CE" w:rsidP="00C454CE">
      <w:pPr>
        <w:pStyle w:val="a6"/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</w:p>
    <w:p w:rsidR="00C973C1" w:rsidRPr="003D5233" w:rsidRDefault="003D2D35" w:rsidP="003D5233">
      <w:pPr>
        <w:pStyle w:val="a6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392A4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>أدلة أصحاب القول الثاني :</w:t>
      </w:r>
      <w:r w:rsidR="00C973C1" w:rsidRPr="003D523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استدلوا بما يلي : </w:t>
      </w:r>
    </w:p>
    <w:p w:rsidR="003D5233" w:rsidRDefault="00392A4E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92A4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C973C1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جعفر بن محمد عن أبيه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6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C973C1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قال : " الذي ألحد رسول الله صلى الله </w:t>
      </w:r>
    </w:p>
    <w:p w:rsidR="00C973C1" w:rsidRPr="00B81792" w:rsidRDefault="00C973C1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>عليه وسلم أبو طلحة</w:t>
      </w:r>
      <w:r w:rsidR="00532701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7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, والذي ألقى القطيفة تحته شقران</w:t>
      </w:r>
      <w:r w:rsidR="00532701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8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مولى رسول الله صلى الله عليه وسلم , قال جعفر : وأخبرني عبيد الله بن أبي رافع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9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قال : سمعت شقران يقول : أنا والله اطرحت القطيفة تحت رسول الله صلى الله عليه وسلم في القبر "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0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917A93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C973C1" w:rsidRPr="003D5233" w:rsidRDefault="00C973C1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3D5233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 :</w:t>
      </w:r>
      <w:r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>إن ترك الله سبحانه وتعالى الناس يفعلون هذا في دفن رسوله المعصوم من الناس ولم يمنع منه يدل على الجواز , ولو كان فيه نهي لصرف الله عز وجل هذا الفعل عن نبيه .</w:t>
      </w:r>
    </w:p>
    <w:p w:rsidR="00C973C1" w:rsidRPr="00B81792" w:rsidRDefault="00392A4E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92A4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C973C1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عبد الله بن عباس ـ رضي الله عنهما ـ قال : " جُعل في قبر رسول الله صلى</w:t>
      </w:r>
      <w:r w:rsidR="00575C9D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الله عليه وسلم قطيفة حمراء "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1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C973C1" w:rsidRPr="00B81792" w:rsidRDefault="00392A4E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92A4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>الدليل الثالث :</w:t>
      </w:r>
      <w:r w:rsidR="00C973C1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عدم إنكار الصحابة ـ رضي الله عنهم ـ إلقاء القطيفة تحته علي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ه السلام إجماع منهم على الجواز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2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C973C1" w:rsidRPr="00B81792" w:rsidRDefault="00392A4E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92A4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الرابع :</w:t>
      </w:r>
      <w:r w:rsidR="00C973C1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أن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C973C1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هذا الثوب من جملة ما يُكساه الميت في كفنه </w:t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B81792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3"/>
      </w:r>
      <w:r w:rsidR="00B8179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C973C1" w:rsidRPr="00B81792" w:rsidRDefault="00C973C1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8179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خامساً : الرأي الراجح :</w:t>
      </w:r>
    </w:p>
    <w:p w:rsidR="00355835" w:rsidRPr="00B81792" w:rsidRDefault="00C973C1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>الذي يظهر</w:t>
      </w:r>
      <w:r w:rsidR="00C454C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لي رجحانه</w:t>
      </w:r>
      <w:r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ـ والعلم عند الله تعالى ـ </w:t>
      </w:r>
      <w:r w:rsidR="003558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>هو القول بكراهة وضع قطيفة أو مخدة تحت الميت في قبره , وذلك لما يلي :</w:t>
      </w:r>
    </w:p>
    <w:p w:rsidR="00355835" w:rsidRPr="00B81792" w:rsidRDefault="00392A4E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92A4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</w:t>
      </w:r>
      <w:r w:rsidR="003558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لأن</w:t>
      </w:r>
      <w:r w:rsidR="00C454CE"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3558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ه لم يثبت عن النبي صلى الله عليه وسلم أنه وضع 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مخدة أو قطيفة تحت ميت في قبره , </w:t>
      </w:r>
      <w:r w:rsidR="003558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>والحجة كما ذكرنا في فعله عليه الصلاة والسلام .</w:t>
      </w:r>
    </w:p>
    <w:p w:rsidR="00355835" w:rsidRPr="00B81792" w:rsidRDefault="00392A4E" w:rsidP="003D523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392A4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ثانياً :</w:t>
      </w:r>
      <w:r w:rsidR="00355835" w:rsidRPr="00B817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لم يثبت عن الصحابة ـ رضوان الله عليهم ـ  أنهم وضعوا قطيفة , أو مخدة تحت ميت في قبره , ولو ثبت لنقل إلينا .</w:t>
      </w:r>
    </w:p>
    <w:p w:rsidR="003D2D35" w:rsidRPr="00B81792" w:rsidRDefault="003D2D35" w:rsidP="003D5233">
      <w:pPr>
        <w:spacing w:after="0"/>
        <w:rPr>
          <w:sz w:val="32"/>
          <w:szCs w:val="32"/>
        </w:rPr>
      </w:pPr>
    </w:p>
    <w:sectPr w:rsidR="003D2D35" w:rsidRPr="00B81792" w:rsidSect="000568E8">
      <w:headerReference w:type="default" r:id="rId8"/>
      <w:footerReference w:type="default" r:id="rId9"/>
      <w:footnotePr>
        <w:numRestart w:val="eachPage"/>
      </w:footnotePr>
      <w:pgSz w:w="11906" w:h="16838"/>
      <w:pgMar w:top="1245" w:right="1800" w:bottom="1440" w:left="1800" w:header="708" w:footer="708" w:gutter="0"/>
      <w:pgNumType w:fmt="numberInDash" w:start="72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F0D" w:rsidRDefault="002E6F0D" w:rsidP="0046341A">
      <w:pPr>
        <w:spacing w:after="0" w:line="240" w:lineRule="auto"/>
      </w:pPr>
      <w:r>
        <w:separator/>
      </w:r>
    </w:p>
  </w:endnote>
  <w:endnote w:type="continuationSeparator" w:id="1">
    <w:p w:rsidR="002E6F0D" w:rsidRDefault="002E6F0D" w:rsidP="00463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9050172"/>
      <w:docPartObj>
        <w:docPartGallery w:val="Page Numbers (Bottom of Page)"/>
        <w:docPartUnique/>
      </w:docPartObj>
    </w:sdtPr>
    <w:sdtContent>
      <w:p w:rsidR="00D36C77" w:rsidRDefault="0059350A" w:rsidP="00D36C77">
        <w:pPr>
          <w:pStyle w:val="a8"/>
          <w:jc w:val="center"/>
        </w:pPr>
        <w:fldSimple w:instr=" PAGE   \* MERGEFORMAT ">
          <w:r w:rsidR="000568E8">
            <w:rPr>
              <w:noProof/>
              <w:rtl/>
            </w:rPr>
            <w:t xml:space="preserve">- </w:t>
          </w:r>
          <w:r w:rsidR="000568E8" w:rsidRPr="000568E8">
            <w:rPr>
              <w:b/>
              <w:bCs/>
              <w:noProof/>
              <w:rtl/>
            </w:rPr>
            <w:t>728</w:t>
          </w:r>
          <w:r w:rsidR="000568E8">
            <w:rPr>
              <w:noProof/>
              <w:rtl/>
            </w:rPr>
            <w:t xml:space="preserve"> -</w:t>
          </w:r>
        </w:fldSimple>
      </w:p>
    </w:sdtContent>
  </w:sdt>
  <w:p w:rsidR="00D36C77" w:rsidRDefault="00D36C7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F0D" w:rsidRDefault="002E6F0D" w:rsidP="003D5233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2E6F0D" w:rsidRDefault="002E6F0D" w:rsidP="003D5233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B81792" w:rsidRPr="00B81792" w:rsidRDefault="00B81792" w:rsidP="003D5233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القطيفة : دثار مخمَّل , والجمع قطائف وقُطُفُ بضمتين . انظر : القاموس المحيط </w:t>
      </w:r>
      <w:r w:rsidR="005366E0">
        <w:rPr>
          <w:rFonts w:ascii="Traditional Arabic" w:eastAsia="Calibri" w:hAnsi="Traditional Arabic" w:cs="Traditional Arabic" w:hint="cs"/>
          <w:sz w:val="32"/>
          <w:szCs w:val="32"/>
          <w:rtl/>
        </w:rPr>
        <w:t>ص (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845</w:t>
      </w:r>
      <w:r w:rsidR="005366E0">
        <w:rPr>
          <w:rFonts w:ascii="Traditional Arabic" w:eastAsia="Calibri" w:hAnsi="Traditional Arabic" w:cs="Traditional Arabic" w:hint="cs"/>
          <w:sz w:val="32"/>
          <w:szCs w:val="32"/>
          <w:rtl/>
        </w:rPr>
        <w:t>)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تاج العروس (24/270) .</w:t>
      </w:r>
    </w:p>
  </w:footnote>
  <w:footnote w:id="3">
    <w:p w:rsidR="00B81792" w:rsidRPr="003D5033" w:rsidRDefault="00B81792" w:rsidP="003D523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مِخدة</w:t>
      </w:r>
      <w:r>
        <w:rPr>
          <w:rFonts w:hint="cs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بكسر الميم مشتقة من الخد لأنه يوضع عليها . انظر : تحرير ألفاظ التنبيه</w:t>
      </w:r>
      <w:r w:rsidR="00392A4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ص (258)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.</w:t>
      </w:r>
    </w:p>
  </w:footnote>
  <w:footnote w:id="4">
    <w:p w:rsidR="00B81792" w:rsidRPr="00B81792" w:rsidRDefault="00B81792" w:rsidP="003D5233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المفاتيح ( 5/427) .</w:t>
      </w:r>
      <w:r w:rsidRPr="00B81792">
        <w:rPr>
          <w:rFonts w:ascii="Traditional Arabic" w:eastAsia="Calibri" w:hAnsi="Traditional Arabic" w:cs="Traditional Arabic"/>
          <w:sz w:val="32"/>
          <w:szCs w:val="32"/>
          <w:rtl/>
        </w:rPr>
        <w:t xml:space="preserve"> </w:t>
      </w:r>
    </w:p>
  </w:footnote>
  <w:footnote w:id="5">
    <w:p w:rsidR="00B81792" w:rsidRPr="003D5033" w:rsidRDefault="00B81792" w:rsidP="003D523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البناية شرح الهداية (3/253) , حاشية ابن عابدين ( 2/234) .</w:t>
      </w:r>
      <w:r w:rsidRPr="003D50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</w:footnote>
  <w:footnote w:id="6">
    <w:p w:rsidR="00B81792" w:rsidRPr="003D5033" w:rsidRDefault="00B81792" w:rsidP="003D523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حاشية العدوي (1/422) , مواهب الجليل (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2/228) , شرح مختصر خليل (2/131)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.</w:t>
      </w:r>
    </w:p>
  </w:footnote>
  <w:footnote w:id="7">
    <w:p w:rsidR="00B81792" w:rsidRPr="003D5033" w:rsidRDefault="00B81792" w:rsidP="003D523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تحفة المحتاج (3/194) , المجموع (5/293) , أسنى المطالب (1/327) .</w:t>
      </w:r>
      <w:r>
        <w:rPr>
          <w:rFonts w:hint="cs"/>
          <w:rtl/>
        </w:rPr>
        <w:t xml:space="preserve">  </w:t>
      </w:r>
    </w:p>
  </w:footnote>
  <w:footnote w:id="8">
    <w:p w:rsidR="00B81792" w:rsidRPr="00B81792" w:rsidRDefault="00B81792" w:rsidP="003D5233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المغني (3/428) , المبدع (2/272) , الإنصاف (2/547) .</w:t>
      </w:r>
    </w:p>
  </w:footnote>
  <w:footnote w:id="9">
    <w:p w:rsidR="00B81792" w:rsidRPr="00B81792" w:rsidRDefault="00B81792" w:rsidP="003D5233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الإنصاف (2/547) .</w:t>
      </w:r>
    </w:p>
  </w:footnote>
  <w:footnote w:id="10">
    <w:p w:rsidR="00B81792" w:rsidRPr="003D5033" w:rsidRDefault="00B81792" w:rsidP="003D523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المحلى (5/164) .</w:t>
      </w:r>
    </w:p>
  </w:footnote>
  <w:footnote w:id="11">
    <w:p w:rsidR="00B81792" w:rsidRPr="003D5033" w:rsidRDefault="00B81792" w:rsidP="003D523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ذكره ابن بطال في شرحه للبخاري , وابن قدامة في المغني . انظر : شرح ابن بطال (3/338) , المغني ( 3/428) .</w:t>
      </w:r>
    </w:p>
  </w:footnote>
  <w:footnote w:id="12">
    <w:p w:rsidR="00B81792" w:rsidRPr="003D5033" w:rsidRDefault="00B81792" w:rsidP="003D523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ذكره الألباني في إرواء الغليل وقال : لم أقف على سنده . انظر : إرواء الغليل (3/197)</w:t>
      </w:r>
      <w:r>
        <w:rPr>
          <w:rFonts w:hint="cs"/>
          <w:rtl/>
        </w:rPr>
        <w:t xml:space="preserve"> .</w:t>
      </w:r>
    </w:p>
  </w:footnote>
  <w:footnote w:id="13">
    <w:p w:rsidR="00B81792" w:rsidRPr="003D5033" w:rsidRDefault="00B81792" w:rsidP="003D523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البيهقي في السنن الكبرى ,</w:t>
      </w:r>
      <w:r w:rsidR="00392A4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ما روي في قطيفة رسول الله صلى الله عليه وسلم (3/573)</w:t>
      </w:r>
      <w:r w:rsidR="00392A4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(6722)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وذكره الترمذي في سننه ,</w:t>
      </w:r>
      <w:r w:rsidR="00392A4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أبواب الجنائز ,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ما جاء في الثوب الواحد يلقى تحت الميت (3/356)</w:t>
      </w:r>
      <w:r w:rsidR="00392A4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ضمن الحديث رقم (1048)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 وهذه الرواية عن ابن عباس ـ رضي الله عنهما ـ ضعيفة ضعفها ا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لألباني في إرواء الغليل (3/196)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.</w:t>
      </w:r>
    </w:p>
  </w:footnote>
  <w:footnote w:id="14">
    <w:p w:rsidR="00B81792" w:rsidRPr="003D5033" w:rsidRDefault="00B81792" w:rsidP="003D523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الكوكب الدري ( 2/194) .</w:t>
      </w:r>
    </w:p>
  </w:footnote>
  <w:footnote w:id="15">
    <w:p w:rsidR="00B81792" w:rsidRPr="003D5033" w:rsidRDefault="00B81792" w:rsidP="003D523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المصدر السابق</w:t>
      </w:r>
      <w:r>
        <w:rPr>
          <w:rFonts w:hint="cs"/>
          <w:rtl/>
        </w:rPr>
        <w:t xml:space="preserve"> .</w:t>
      </w:r>
    </w:p>
  </w:footnote>
  <w:footnote w:id="16">
    <w:p w:rsidR="00B81792" w:rsidRPr="003D5033" w:rsidRDefault="00B81792" w:rsidP="003D523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جعفر بن محمد بن علي بن الحسين بن علي بن أبي طالب الهاشمي , أبو عبد الله المعروف بالصادق , صدوق فقيه إمام من السادسة مات سنة ثمان وأربعين , روى له الإمام مسلم وأصحاب السنن . والبخاري في الأدب المفرد . انظر : تقريب التهذيب (1/163) . وأبوه محمد بن علي بن الحسين بن علي بن أبي طالب , أبو جعفر الباقر , ثقة فاضل , مات سنة بضع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عشرة روى له الجماعة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. انظر : تقريب التهذيب (2/114) .</w:t>
      </w:r>
      <w:r>
        <w:rPr>
          <w:rFonts w:hint="cs"/>
          <w:rtl/>
        </w:rPr>
        <w:t xml:space="preserve">  </w:t>
      </w:r>
    </w:p>
  </w:footnote>
  <w:footnote w:id="17">
    <w:p w:rsidR="00B81792" w:rsidRPr="00B81792" w:rsidRDefault="00B81792" w:rsidP="003D5233">
      <w:pPr>
        <w:pStyle w:val="a3"/>
        <w:ind w:left="368" w:hanging="426"/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زيد بن سهل بن الأسود بن حرام الأنصاري النجاري , أبو طلحة مشهور بكنيته , من كبار الصحابة , شهد بدراً وما بعدها , مات سنة أربع وثلاثين , وقيل عاش بعد النبي صلى الله عليه وسلم أربعين سنة . انظر : تقريب التهذيب (1/329) .</w:t>
      </w:r>
    </w:p>
  </w:footnote>
  <w:footnote w:id="18">
    <w:p w:rsidR="00B81792" w:rsidRPr="003D5033" w:rsidRDefault="00B81792" w:rsidP="003D523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شقران , مولى رسول الله صلى الله عليه وسلم قيل اسمه صالح , شهد بدراً وهو مملوك ثم عتق , قال ابن حجر : أظنه مات في خلافة عثمان روى له الترمذي . انظر : تقريب التهذيب (1/421) .</w:t>
      </w:r>
    </w:p>
  </w:footnote>
  <w:footnote w:id="19">
    <w:p w:rsidR="00B81792" w:rsidRPr="003D5033" w:rsidRDefault="00B81792" w:rsidP="003D523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917A9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عبيد الله بن أبي رافع المدني , مولى النبي صلى الله عليه وسلم ,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ثقة من الثالثة , روى له الجماعة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. انظر : تقريب التهذيب (1/631) .</w:t>
      </w:r>
      <w:r>
        <w:rPr>
          <w:rFonts w:hint="cs"/>
          <w:rtl/>
        </w:rPr>
        <w:t xml:space="preserve">  </w:t>
      </w:r>
    </w:p>
  </w:footnote>
  <w:footnote w:id="20">
    <w:p w:rsidR="00B81792" w:rsidRPr="003D5033" w:rsidRDefault="00B81792" w:rsidP="003D5233">
      <w:pPr>
        <w:pStyle w:val="a3"/>
        <w:ind w:left="368" w:hanging="426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الترمذي في سننه ,</w:t>
      </w:r>
      <w:r w:rsidR="001F447C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أبواب الجنائز ,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ما جاء في الثوب الواح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د يلقى تحت الميت (3/356)</w:t>
      </w:r>
      <w:r w:rsidR="001F447C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(1048)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و</w:t>
      </w:r>
      <w:r w:rsidR="001F447C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قال : " هذا حديثٌ حسنٌ صحيح "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.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وصححه الألباني في إرواء الغليل (3/197) .</w:t>
      </w:r>
      <w:r>
        <w:rPr>
          <w:rFonts w:hint="cs"/>
          <w:rtl/>
        </w:rPr>
        <w:t xml:space="preserve"> </w:t>
      </w:r>
      <w:r w:rsidRPr="003D50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</w:footnote>
  <w:footnote w:id="21">
    <w:p w:rsidR="00B81792" w:rsidRPr="003D5233" w:rsidRDefault="00B81792" w:rsidP="003D5233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أخرجه مسلم, في كتاب الجنائز , باب جعل القطيفة في القبر (2/665) برقم ( 967) .</w:t>
      </w:r>
      <w:r>
        <w:rPr>
          <w:rFonts w:hint="cs"/>
          <w:rtl/>
        </w:rPr>
        <w:t xml:space="preserve">    </w:t>
      </w:r>
    </w:p>
  </w:footnote>
  <w:footnote w:id="22">
    <w:p w:rsidR="00B81792" w:rsidRPr="003D5033" w:rsidRDefault="00B81792" w:rsidP="003D523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المحلى (5/164) .</w:t>
      </w:r>
    </w:p>
  </w:footnote>
  <w:footnote w:id="23">
    <w:p w:rsidR="00B81792" w:rsidRPr="003D5033" w:rsidRDefault="00B81792" w:rsidP="003D523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179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المحلى (5/164)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sz w:val="24"/>
        <w:szCs w:val="24"/>
        <w:rtl/>
      </w:rPr>
      <w:alias w:val="العنوان"/>
      <w:id w:val="77738743"/>
      <w:placeholder>
        <w:docPart w:val="2F6C0CBD574A47EA8040D1B12C3208C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D5233" w:rsidRPr="003D5233" w:rsidRDefault="003D5233" w:rsidP="003D5233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3D5233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المطلب</w:t>
        </w:r>
        <w:r w:rsidRPr="003D5233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D5233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التاسع</w:t>
        </w:r>
        <w:r w:rsidRPr="003D5233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: </w:t>
        </w:r>
        <w:r w:rsidRPr="003D5233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حكم</w:t>
        </w:r>
        <w:r w:rsidRPr="003D5233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D5233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وضع</w:t>
        </w:r>
        <w:r w:rsidRPr="003D5233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D5233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قطيفة</w:t>
        </w:r>
        <w:r w:rsidRPr="003D5233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D5233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أو</w:t>
        </w:r>
        <w:r w:rsidRPr="003D5233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D5233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مخدة</w:t>
        </w:r>
        <w:r w:rsidRPr="003D5233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D5233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تحت</w:t>
        </w:r>
        <w:r w:rsidRPr="003D5233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D5233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الميت</w:t>
        </w:r>
        <w:r w:rsidRPr="003D5233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D5233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في</w:t>
        </w:r>
        <w:r w:rsidRPr="003D5233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3D5233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القبر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B2C0E"/>
    <w:multiLevelType w:val="hybridMultilevel"/>
    <w:tmpl w:val="2D14D750"/>
    <w:lvl w:ilvl="0" w:tplc="0D48ED16">
      <w:numFmt w:val="bullet"/>
      <w:lvlText w:val=""/>
      <w:lvlJc w:val="left"/>
      <w:pPr>
        <w:ind w:left="720" w:hanging="360"/>
      </w:pPr>
      <w:rPr>
        <w:rFonts w:ascii="Symbol" w:eastAsia="Calibr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095EB1"/>
    <w:multiLevelType w:val="hybridMultilevel"/>
    <w:tmpl w:val="6994AD18"/>
    <w:lvl w:ilvl="0" w:tplc="4B042B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6341A"/>
    <w:rsid w:val="000568E8"/>
    <w:rsid w:val="000A27C9"/>
    <w:rsid w:val="000C5621"/>
    <w:rsid w:val="001F447C"/>
    <w:rsid w:val="00273FCF"/>
    <w:rsid w:val="002D7EA7"/>
    <w:rsid w:val="002E6F0D"/>
    <w:rsid w:val="00355835"/>
    <w:rsid w:val="00385176"/>
    <w:rsid w:val="00392A4E"/>
    <w:rsid w:val="003D2D35"/>
    <w:rsid w:val="003D5233"/>
    <w:rsid w:val="003E0488"/>
    <w:rsid w:val="0046341A"/>
    <w:rsid w:val="004676D5"/>
    <w:rsid w:val="00474978"/>
    <w:rsid w:val="00481ECB"/>
    <w:rsid w:val="004D70B3"/>
    <w:rsid w:val="005076FE"/>
    <w:rsid w:val="00532701"/>
    <w:rsid w:val="005366E0"/>
    <w:rsid w:val="00575C9D"/>
    <w:rsid w:val="0059350A"/>
    <w:rsid w:val="005C3BAB"/>
    <w:rsid w:val="00717D57"/>
    <w:rsid w:val="00860B7E"/>
    <w:rsid w:val="00865ABD"/>
    <w:rsid w:val="00917A93"/>
    <w:rsid w:val="00924000"/>
    <w:rsid w:val="00A964FF"/>
    <w:rsid w:val="00B20F84"/>
    <w:rsid w:val="00B81792"/>
    <w:rsid w:val="00B82CB2"/>
    <w:rsid w:val="00BA6F0A"/>
    <w:rsid w:val="00BD5B54"/>
    <w:rsid w:val="00C454CE"/>
    <w:rsid w:val="00C973C1"/>
    <w:rsid w:val="00D36C77"/>
    <w:rsid w:val="00DB652D"/>
    <w:rsid w:val="00E1440A"/>
    <w:rsid w:val="00E606D3"/>
    <w:rsid w:val="00E64097"/>
    <w:rsid w:val="00E65AE4"/>
    <w:rsid w:val="00ED1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7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46341A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46341A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46341A"/>
    <w:rPr>
      <w:vertAlign w:val="superscript"/>
    </w:rPr>
  </w:style>
  <w:style w:type="character" w:styleId="a5">
    <w:name w:val="Emphasis"/>
    <w:basedOn w:val="a0"/>
    <w:qFormat/>
    <w:rsid w:val="0046341A"/>
    <w:rPr>
      <w:i/>
      <w:iCs/>
    </w:rPr>
  </w:style>
  <w:style w:type="paragraph" w:styleId="a6">
    <w:name w:val="List Paragraph"/>
    <w:basedOn w:val="a"/>
    <w:uiPriority w:val="34"/>
    <w:qFormat/>
    <w:rsid w:val="003D2D35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3D523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3D5233"/>
  </w:style>
  <w:style w:type="paragraph" w:styleId="a8">
    <w:name w:val="footer"/>
    <w:basedOn w:val="a"/>
    <w:link w:val="Char1"/>
    <w:uiPriority w:val="99"/>
    <w:unhideWhenUsed/>
    <w:rsid w:val="003D523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rsid w:val="003D5233"/>
  </w:style>
  <w:style w:type="paragraph" w:styleId="a9">
    <w:name w:val="Balloon Text"/>
    <w:basedOn w:val="a"/>
    <w:link w:val="Char2"/>
    <w:uiPriority w:val="99"/>
    <w:semiHidden/>
    <w:unhideWhenUsed/>
    <w:rsid w:val="003D5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3D52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F6C0CBD574A47EA8040D1B12C3208C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4E2CB32-0144-4B7F-BF08-F30AE019AF9A}"/>
      </w:docPartPr>
      <w:docPartBody>
        <w:p w:rsidR="001604A8" w:rsidRDefault="00D14BA2" w:rsidP="00D14BA2">
          <w:pPr>
            <w:pStyle w:val="2F6C0CBD574A47EA8040D1B12C3208C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14BA2"/>
    <w:rsid w:val="001604A8"/>
    <w:rsid w:val="00314AAE"/>
    <w:rsid w:val="005C3DD7"/>
    <w:rsid w:val="006D6166"/>
    <w:rsid w:val="00CF652B"/>
    <w:rsid w:val="00D14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A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F6C0CBD574A47EA8040D1B12C3208C7">
    <w:name w:val="2F6C0CBD574A47EA8040D1B12C3208C7"/>
    <w:rsid w:val="00D14BA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E7E1A-1C8E-4A52-A115-7FFF8467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التاسع : حكم وضع قطيفة أو مخدة تحت الميت في القبر</dc:title>
  <dc:subject/>
  <dc:creator>xp</dc:creator>
  <cp:keywords/>
  <dc:description/>
  <cp:lastModifiedBy>xp</cp:lastModifiedBy>
  <cp:revision>12</cp:revision>
  <dcterms:created xsi:type="dcterms:W3CDTF">2012-07-30T14:04:00Z</dcterms:created>
  <dcterms:modified xsi:type="dcterms:W3CDTF">2012-09-23T11:14:00Z</dcterms:modified>
</cp:coreProperties>
</file>