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8A7" w:rsidRPr="00945C9D" w:rsidRDefault="005C18A7" w:rsidP="003A088D">
      <w:pPr>
        <w:jc w:val="center"/>
        <w:rPr>
          <w:rFonts w:ascii="Traditional Arabic" w:eastAsia="Calibri" w:hAnsi="Traditional Arabic" w:cs="AL-Mateen"/>
          <w:b/>
          <w:bCs/>
          <w:sz w:val="36"/>
          <w:szCs w:val="36"/>
          <w:rtl/>
        </w:rPr>
      </w:pPr>
      <w:r w:rsidRPr="00945C9D">
        <w:rPr>
          <w:rFonts w:ascii="Traditional Arabic" w:eastAsia="Calibri" w:hAnsi="Traditional Arabic" w:cs="AL-Mateen" w:hint="cs"/>
          <w:b/>
          <w:bCs/>
          <w:sz w:val="36"/>
          <w:szCs w:val="36"/>
          <w:rtl/>
        </w:rPr>
        <w:t>المطلب الرابع :حكم الجم</w:t>
      </w:r>
      <w:r w:rsidR="00F95F24" w:rsidRPr="00945C9D">
        <w:rPr>
          <w:rFonts w:ascii="Traditional Arabic" w:eastAsia="Calibri" w:hAnsi="Traditional Arabic" w:cs="AL-Mateen" w:hint="cs"/>
          <w:b/>
          <w:bCs/>
          <w:sz w:val="36"/>
          <w:szCs w:val="36"/>
          <w:rtl/>
        </w:rPr>
        <w:t>ع بين التحميد والتسميع للمأموم</w:t>
      </w:r>
      <w:r w:rsidR="00FC0635">
        <w:rPr>
          <w:rFonts w:ascii="Traditional Arabic" w:eastAsia="Calibri" w:hAnsi="Traditional Arabic" w:cs="AL-Mateen" w:hint="cs"/>
          <w:b/>
          <w:bCs/>
          <w:sz w:val="36"/>
          <w:szCs w:val="36"/>
          <w:rtl/>
        </w:rPr>
        <w:t xml:space="preserve"> .</w:t>
      </w:r>
    </w:p>
    <w:p w:rsidR="00EF5DA4" w:rsidRPr="00D45137" w:rsidRDefault="0012293D" w:rsidP="003A088D">
      <w:pPr>
        <w:jc w:val="both"/>
        <w:rPr>
          <w:rFonts w:ascii="Traditional Arabic" w:eastAsia="Calibri" w:hAnsi="Traditional Arabic" w:cs="Traditional Arabic"/>
          <w:b/>
          <w:bCs/>
          <w:sz w:val="36"/>
          <w:szCs w:val="36"/>
          <w:rtl/>
        </w:rPr>
      </w:pPr>
      <w:r>
        <w:rPr>
          <w:rFonts w:ascii="Traditional Arabic" w:eastAsia="Calibri" w:hAnsi="Traditional Arabic" w:cs="Traditional Arabic" w:hint="cs"/>
          <w:b/>
          <w:bCs/>
          <w:sz w:val="36"/>
          <w:szCs w:val="36"/>
          <w:rtl/>
        </w:rPr>
        <w:t>أولاً</w:t>
      </w:r>
      <w:r w:rsidR="00EF5DA4" w:rsidRPr="00D45137">
        <w:rPr>
          <w:rFonts w:ascii="Traditional Arabic" w:eastAsia="Calibri" w:hAnsi="Traditional Arabic" w:cs="Traditional Arabic" w:hint="cs"/>
          <w:b/>
          <w:bCs/>
          <w:sz w:val="36"/>
          <w:szCs w:val="36"/>
          <w:rtl/>
        </w:rPr>
        <w:t>: رأي الشيخ المبا</w:t>
      </w:r>
      <w:r>
        <w:rPr>
          <w:rFonts w:ascii="Traditional Arabic" w:eastAsia="Calibri" w:hAnsi="Traditional Arabic" w:cs="Traditional Arabic" w:hint="cs"/>
          <w:b/>
          <w:bCs/>
          <w:sz w:val="36"/>
          <w:szCs w:val="36"/>
          <w:rtl/>
        </w:rPr>
        <w:t>ركفوري ـ رحمه الله ـ في المسألة</w:t>
      </w:r>
      <w:r w:rsidR="00EF5DA4" w:rsidRPr="00D45137">
        <w:rPr>
          <w:rFonts w:ascii="Traditional Arabic" w:eastAsia="Calibri" w:hAnsi="Traditional Arabic" w:cs="Traditional Arabic" w:hint="cs"/>
          <w:b/>
          <w:bCs/>
          <w:sz w:val="36"/>
          <w:szCs w:val="36"/>
          <w:rtl/>
        </w:rPr>
        <w:t xml:space="preserve">: </w:t>
      </w:r>
    </w:p>
    <w:p w:rsidR="005C18A7" w:rsidRPr="0012293D" w:rsidRDefault="0012293D" w:rsidP="003A088D">
      <w:pPr>
        <w:jc w:val="both"/>
        <w:rPr>
          <w:rFonts w:ascii="Traditional Arabic" w:eastAsia="Calibri" w:hAnsi="Traditional Arabic" w:cs="Traditional Arabic"/>
          <w:b/>
          <w:bCs/>
          <w:sz w:val="36"/>
          <w:szCs w:val="36"/>
          <w:rtl/>
        </w:rPr>
      </w:pPr>
      <w:r>
        <w:rPr>
          <w:rFonts w:ascii="Traditional Arabic" w:eastAsia="Calibri" w:hAnsi="Traditional Arabic" w:cs="Traditional Arabic" w:hint="cs"/>
          <w:b/>
          <w:bCs/>
          <w:sz w:val="36"/>
          <w:szCs w:val="36"/>
          <w:rtl/>
        </w:rPr>
        <w:t>قال ـ رحمه الله ـ</w:t>
      </w:r>
      <w:r w:rsidR="00EF5DA4" w:rsidRPr="00D45137">
        <w:rPr>
          <w:rFonts w:ascii="Traditional Arabic" w:eastAsia="Calibri" w:hAnsi="Traditional Arabic" w:cs="Traditional Arabic" w:hint="cs"/>
          <w:b/>
          <w:bCs/>
          <w:sz w:val="36"/>
          <w:szCs w:val="36"/>
          <w:rtl/>
        </w:rPr>
        <w:t>:</w:t>
      </w:r>
      <w:r w:rsidR="005C18A7" w:rsidRPr="00D45137">
        <w:rPr>
          <w:rFonts w:ascii="Traditional Arabic" w:eastAsia="Calibri" w:hAnsi="Traditional Arabic" w:cs="Traditional Arabic" w:hint="cs"/>
          <w:sz w:val="36"/>
          <w:szCs w:val="36"/>
          <w:rtl/>
        </w:rPr>
        <w:t xml:space="preserve">" </w:t>
      </w:r>
      <w:r w:rsidR="00EF5DA4" w:rsidRPr="00D45137">
        <w:rPr>
          <w:rFonts w:ascii="Traditional Arabic" w:eastAsia="Calibri" w:hAnsi="Traditional Arabic" w:cs="Traditional Arabic" w:hint="cs"/>
          <w:sz w:val="36"/>
          <w:szCs w:val="36"/>
          <w:rtl/>
        </w:rPr>
        <w:t xml:space="preserve">وليس في جمع المأموم بين </w:t>
      </w:r>
      <w:r w:rsidR="00945C9D">
        <w:rPr>
          <w:rFonts w:ascii="Traditional Arabic" w:eastAsia="Calibri" w:hAnsi="Traditional Arabic" w:cs="Traditional Arabic" w:hint="cs"/>
          <w:sz w:val="36"/>
          <w:szCs w:val="36"/>
          <w:rtl/>
        </w:rPr>
        <w:t>التسميع والتحميد حديث صحيح صريح</w:t>
      </w:r>
      <w:r w:rsidR="005C18A7" w:rsidRPr="00D45137">
        <w:rPr>
          <w:rFonts w:ascii="Traditional Arabic" w:eastAsia="Calibri" w:hAnsi="Traditional Arabic" w:cs="Traditional Arabic" w:hint="cs"/>
          <w:sz w:val="36"/>
          <w:szCs w:val="36"/>
          <w:rtl/>
        </w:rPr>
        <w:t xml:space="preserve">" </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2"/>
      </w:r>
      <w:r w:rsidR="00D45137" w:rsidRPr="00D45137">
        <w:rPr>
          <w:rStyle w:val="a5"/>
          <w:rFonts w:ascii="Tahoma" w:hAnsi="Tahoma" w:cs="Traditional Arabic"/>
          <w:sz w:val="36"/>
          <w:szCs w:val="36"/>
          <w:rtl/>
        </w:rPr>
        <w:t>)</w:t>
      </w:r>
      <w:r w:rsidR="00D45137" w:rsidRPr="00D45137">
        <w:rPr>
          <w:rFonts w:ascii="Traditional Arabic" w:eastAsia="Calibri" w:hAnsi="Traditional Arabic" w:cs="Traditional Arabic" w:hint="cs"/>
          <w:sz w:val="36"/>
          <w:szCs w:val="36"/>
          <w:rtl/>
        </w:rPr>
        <w:t xml:space="preserve"> .</w:t>
      </w:r>
    </w:p>
    <w:p w:rsidR="00EF5DA4" w:rsidRPr="00F95F24" w:rsidRDefault="00EF5DA4" w:rsidP="003A088D">
      <w:pPr>
        <w:jc w:val="both"/>
        <w:rPr>
          <w:rFonts w:ascii="Traditional Arabic" w:eastAsia="Calibri" w:hAnsi="Traditional Arabic" w:cs="Traditional Arabic"/>
          <w:b/>
          <w:bCs/>
          <w:sz w:val="36"/>
          <w:szCs w:val="36"/>
          <w:rtl/>
        </w:rPr>
      </w:pPr>
      <w:r w:rsidRPr="00F95F24">
        <w:rPr>
          <w:rFonts w:eastAsia="Calibri" w:cs="Traditional Arabic" w:hint="cs"/>
          <w:b/>
          <w:bCs/>
          <w:sz w:val="36"/>
          <w:szCs w:val="36"/>
          <w:rtl/>
        </w:rPr>
        <w:t>ثاني</w:t>
      </w:r>
      <w:r w:rsidRPr="00F95F24">
        <w:rPr>
          <w:rFonts w:eastAsia="Calibri" w:cs="Traditional Arabic"/>
          <w:b/>
          <w:bCs/>
          <w:sz w:val="36"/>
          <w:szCs w:val="36"/>
          <w:rtl/>
        </w:rPr>
        <w:t>ا</w:t>
      </w:r>
      <w:r w:rsidR="0012293D">
        <w:rPr>
          <w:rFonts w:eastAsia="Calibri" w:cs="Traditional Arabic" w:hint="cs"/>
          <w:b/>
          <w:bCs/>
          <w:sz w:val="36"/>
          <w:szCs w:val="36"/>
          <w:rtl/>
        </w:rPr>
        <w:t>ً</w:t>
      </w:r>
      <w:r w:rsidRPr="00F95F24">
        <w:rPr>
          <w:rFonts w:eastAsia="Calibri" w:cs="Traditional Arabic" w:hint="cs"/>
          <w:b/>
          <w:bCs/>
          <w:sz w:val="36"/>
          <w:szCs w:val="36"/>
          <w:rtl/>
        </w:rPr>
        <w:t>: أقوال العلماء في المسألة :</w:t>
      </w:r>
      <w:r w:rsidRPr="00F95F24">
        <w:rPr>
          <w:rFonts w:ascii="Traditional Arabic" w:eastAsia="Calibri" w:hAnsi="Traditional Arabic" w:cs="Traditional Arabic" w:hint="cs"/>
          <w:b/>
          <w:bCs/>
          <w:sz w:val="36"/>
          <w:szCs w:val="36"/>
          <w:rtl/>
        </w:rPr>
        <w:t xml:space="preserve"> </w:t>
      </w:r>
    </w:p>
    <w:p w:rsidR="005C18A7" w:rsidRPr="00D45137" w:rsidRDefault="005C18A7" w:rsidP="003A088D">
      <w:pPr>
        <w:jc w:val="both"/>
        <w:rPr>
          <w:rFonts w:ascii="Traditional Arabic" w:eastAsia="Calibri" w:hAnsi="Traditional Arabic" w:cs="Traditional Arabic"/>
          <w:sz w:val="36"/>
          <w:szCs w:val="36"/>
          <w:rtl/>
        </w:rPr>
      </w:pPr>
      <w:r w:rsidRPr="00D45137">
        <w:rPr>
          <w:rFonts w:ascii="Traditional Arabic" w:eastAsia="Calibri" w:hAnsi="Traditional Arabic" w:cs="Traditional Arabic" w:hint="cs"/>
          <w:sz w:val="36"/>
          <w:szCs w:val="36"/>
          <w:rtl/>
        </w:rPr>
        <w:t>اختلف العلماء في هذه المسألة على قولين:</w:t>
      </w:r>
    </w:p>
    <w:p w:rsidR="005C18A7" w:rsidRPr="0012293D" w:rsidRDefault="0012293D" w:rsidP="00490564">
      <w:pPr>
        <w:jc w:val="both"/>
        <w:rPr>
          <w:rFonts w:ascii="Traditional Arabic" w:eastAsia="Calibri" w:hAnsi="Traditional Arabic" w:cs="Traditional Arabic"/>
          <w:b/>
          <w:bCs/>
          <w:sz w:val="36"/>
          <w:szCs w:val="36"/>
          <w:rtl/>
        </w:rPr>
      </w:pPr>
      <w:r>
        <w:rPr>
          <w:rFonts w:ascii="Traditional Arabic" w:eastAsia="Calibri" w:hAnsi="Traditional Arabic" w:cs="Traditional Arabic" w:hint="cs"/>
          <w:b/>
          <w:bCs/>
          <w:sz w:val="36"/>
          <w:szCs w:val="36"/>
          <w:rtl/>
        </w:rPr>
        <w:t>القول الأول</w:t>
      </w:r>
      <w:r w:rsidR="005C18A7" w:rsidRPr="00D45137">
        <w:rPr>
          <w:rFonts w:ascii="Traditional Arabic" w:eastAsia="Calibri" w:hAnsi="Traditional Arabic" w:cs="Traditional Arabic" w:hint="cs"/>
          <w:b/>
          <w:bCs/>
          <w:sz w:val="36"/>
          <w:szCs w:val="36"/>
          <w:rtl/>
        </w:rPr>
        <w:t>:</w:t>
      </w:r>
      <w:r w:rsidR="00490564">
        <w:rPr>
          <w:rFonts w:ascii="Traditional Arabic" w:eastAsia="Calibri" w:hAnsi="Traditional Arabic" w:cs="Traditional Arabic" w:hint="cs"/>
          <w:sz w:val="36"/>
          <w:szCs w:val="36"/>
          <w:rtl/>
        </w:rPr>
        <w:t xml:space="preserve"> ذهب</w:t>
      </w:r>
      <w:r w:rsidR="00490564" w:rsidRPr="00D45137">
        <w:rPr>
          <w:rFonts w:ascii="Traditional Arabic" w:eastAsia="Calibri" w:hAnsi="Traditional Arabic" w:cs="Traditional Arabic" w:hint="cs"/>
          <w:sz w:val="36"/>
          <w:szCs w:val="36"/>
          <w:rtl/>
        </w:rPr>
        <w:t xml:space="preserve"> الجمهور من الحنيفة</w:t>
      </w:r>
      <w:r w:rsidR="00490564" w:rsidRPr="00D45137">
        <w:rPr>
          <w:rStyle w:val="a5"/>
          <w:rFonts w:ascii="Tahoma" w:hAnsi="Tahoma" w:cs="Traditional Arabic"/>
          <w:sz w:val="36"/>
          <w:szCs w:val="36"/>
          <w:rtl/>
        </w:rPr>
        <w:t>(</w:t>
      </w:r>
      <w:r w:rsidR="00490564" w:rsidRPr="00D45137">
        <w:rPr>
          <w:rStyle w:val="a5"/>
          <w:rFonts w:ascii="Tahoma" w:hAnsi="Tahoma" w:cs="Traditional Arabic"/>
          <w:sz w:val="36"/>
          <w:szCs w:val="36"/>
          <w:rtl/>
        </w:rPr>
        <w:footnoteReference w:id="3"/>
      </w:r>
      <w:r w:rsidR="00490564" w:rsidRPr="00D45137">
        <w:rPr>
          <w:rStyle w:val="a5"/>
          <w:rFonts w:ascii="Tahoma" w:hAnsi="Tahoma" w:cs="Traditional Arabic"/>
          <w:sz w:val="36"/>
          <w:szCs w:val="36"/>
          <w:rtl/>
        </w:rPr>
        <w:t>)</w:t>
      </w:r>
      <w:r w:rsidR="00490564" w:rsidRPr="00D45137">
        <w:rPr>
          <w:rFonts w:ascii="Traditional Arabic" w:eastAsia="Calibri" w:hAnsi="Traditional Arabic" w:cs="Traditional Arabic" w:hint="cs"/>
          <w:sz w:val="36"/>
          <w:szCs w:val="36"/>
          <w:rtl/>
        </w:rPr>
        <w:t xml:space="preserve"> ، والمالكية</w:t>
      </w:r>
      <w:r w:rsidR="00490564" w:rsidRPr="00D45137">
        <w:rPr>
          <w:rStyle w:val="a5"/>
          <w:rFonts w:ascii="Tahoma" w:hAnsi="Tahoma" w:cs="Traditional Arabic"/>
          <w:sz w:val="36"/>
          <w:szCs w:val="36"/>
          <w:rtl/>
        </w:rPr>
        <w:t>(</w:t>
      </w:r>
      <w:r w:rsidR="00490564" w:rsidRPr="00D45137">
        <w:rPr>
          <w:rStyle w:val="a5"/>
          <w:rFonts w:ascii="Tahoma" w:hAnsi="Tahoma" w:cs="Traditional Arabic"/>
          <w:sz w:val="36"/>
          <w:szCs w:val="36"/>
          <w:rtl/>
        </w:rPr>
        <w:footnoteReference w:id="4"/>
      </w:r>
      <w:r w:rsidR="00490564" w:rsidRPr="00D45137">
        <w:rPr>
          <w:rStyle w:val="a5"/>
          <w:rFonts w:ascii="Tahoma" w:hAnsi="Tahoma" w:cs="Traditional Arabic"/>
          <w:sz w:val="36"/>
          <w:szCs w:val="36"/>
          <w:rtl/>
        </w:rPr>
        <w:t>)</w:t>
      </w:r>
      <w:r w:rsidR="00490564" w:rsidRPr="00D45137">
        <w:rPr>
          <w:rFonts w:ascii="Traditional Arabic" w:eastAsia="Calibri" w:hAnsi="Traditional Arabic" w:cs="Traditional Arabic" w:hint="cs"/>
          <w:sz w:val="36"/>
          <w:szCs w:val="36"/>
          <w:rtl/>
        </w:rPr>
        <w:t xml:space="preserve">، </w:t>
      </w:r>
      <w:r w:rsidR="00D9431D">
        <w:rPr>
          <w:rFonts w:ascii="Traditional Arabic" w:eastAsia="Calibri" w:hAnsi="Traditional Arabic" w:cs="Traditional Arabic" w:hint="cs"/>
          <w:sz w:val="36"/>
          <w:szCs w:val="36"/>
          <w:rtl/>
        </w:rPr>
        <w:t>و</w:t>
      </w:r>
      <w:r w:rsidR="00490564" w:rsidRPr="00D45137">
        <w:rPr>
          <w:rFonts w:ascii="Traditional Arabic" w:eastAsia="Calibri" w:hAnsi="Traditional Arabic" w:cs="Traditional Arabic" w:hint="cs"/>
          <w:sz w:val="36"/>
          <w:szCs w:val="36"/>
          <w:rtl/>
        </w:rPr>
        <w:t>الحنابلة</w:t>
      </w:r>
      <w:r w:rsidR="00490564" w:rsidRPr="00D45137">
        <w:rPr>
          <w:rStyle w:val="a5"/>
          <w:rFonts w:ascii="Tahoma" w:hAnsi="Tahoma" w:cs="Traditional Arabic"/>
          <w:sz w:val="36"/>
          <w:szCs w:val="36"/>
          <w:rtl/>
        </w:rPr>
        <w:t>(</w:t>
      </w:r>
      <w:r w:rsidR="00490564" w:rsidRPr="00D45137">
        <w:rPr>
          <w:rStyle w:val="a5"/>
          <w:rFonts w:ascii="Tahoma" w:hAnsi="Tahoma" w:cs="Traditional Arabic"/>
          <w:sz w:val="36"/>
          <w:szCs w:val="36"/>
          <w:rtl/>
        </w:rPr>
        <w:footnoteReference w:id="5"/>
      </w:r>
      <w:r w:rsidR="00490564" w:rsidRPr="00D45137">
        <w:rPr>
          <w:rStyle w:val="a5"/>
          <w:rFonts w:ascii="Tahoma" w:hAnsi="Tahoma" w:cs="Traditional Arabic"/>
          <w:sz w:val="36"/>
          <w:szCs w:val="36"/>
          <w:rtl/>
        </w:rPr>
        <w:t>)</w:t>
      </w:r>
      <w:r w:rsidR="00490564">
        <w:rPr>
          <w:rFonts w:ascii="Traditional Arabic" w:eastAsia="Calibri" w:hAnsi="Traditional Arabic" w:cs="Traditional Arabic" w:hint="cs"/>
          <w:sz w:val="36"/>
          <w:szCs w:val="36"/>
          <w:rtl/>
        </w:rPr>
        <w:t xml:space="preserve"> إلى </w:t>
      </w:r>
      <w:r w:rsidR="005C18A7" w:rsidRPr="00D45137">
        <w:rPr>
          <w:rFonts w:ascii="Traditional Arabic" w:eastAsia="Calibri" w:hAnsi="Traditional Arabic" w:cs="Traditional Arabic" w:hint="cs"/>
          <w:sz w:val="36"/>
          <w:szCs w:val="36"/>
          <w:rtl/>
        </w:rPr>
        <w:t>أن</w:t>
      </w:r>
      <w:r w:rsidR="00490564">
        <w:rPr>
          <w:rFonts w:ascii="Traditional Arabic" w:eastAsia="Calibri" w:hAnsi="Traditional Arabic" w:cs="Traditional Arabic" w:hint="cs"/>
          <w:sz w:val="36"/>
          <w:szCs w:val="36"/>
          <w:rtl/>
        </w:rPr>
        <w:t>َّ</w:t>
      </w:r>
      <w:r w:rsidR="005C18A7" w:rsidRPr="00D45137">
        <w:rPr>
          <w:rFonts w:ascii="Traditional Arabic" w:eastAsia="Calibri" w:hAnsi="Traditional Arabic" w:cs="Traditional Arabic" w:hint="cs"/>
          <w:sz w:val="36"/>
          <w:szCs w:val="36"/>
          <w:rtl/>
        </w:rPr>
        <w:t xml:space="preserve"> المأموم لا يقول ( سمع الله لمن حمده ) </w:t>
      </w:r>
      <w:r w:rsidR="00490564">
        <w:rPr>
          <w:rFonts w:ascii="Traditional Arabic" w:eastAsia="Calibri" w:hAnsi="Traditional Arabic" w:cs="Traditional Arabic" w:hint="cs"/>
          <w:sz w:val="36"/>
          <w:szCs w:val="36"/>
          <w:rtl/>
        </w:rPr>
        <w:t>.</w:t>
      </w:r>
    </w:p>
    <w:p w:rsidR="00EF5DA4" w:rsidRPr="0012293D" w:rsidRDefault="005C18A7" w:rsidP="00490564">
      <w:pPr>
        <w:jc w:val="both"/>
        <w:rPr>
          <w:rFonts w:ascii="Traditional Arabic" w:eastAsia="Calibri" w:hAnsi="Traditional Arabic" w:cs="Traditional Arabic"/>
          <w:b/>
          <w:bCs/>
          <w:sz w:val="36"/>
          <w:szCs w:val="36"/>
          <w:rtl/>
        </w:rPr>
      </w:pPr>
      <w:r w:rsidRPr="00D45137">
        <w:rPr>
          <w:rFonts w:ascii="Traditional Arabic" w:eastAsia="Calibri" w:hAnsi="Traditional Arabic" w:cs="Traditional Arabic" w:hint="cs"/>
          <w:b/>
          <w:bCs/>
          <w:sz w:val="36"/>
          <w:szCs w:val="36"/>
          <w:rtl/>
        </w:rPr>
        <w:t>القول الثاني:</w:t>
      </w:r>
      <w:r w:rsidR="00490564" w:rsidRPr="00490564">
        <w:rPr>
          <w:rFonts w:ascii="Traditional Arabic" w:eastAsia="Calibri" w:hAnsi="Traditional Arabic" w:cs="Traditional Arabic" w:hint="cs"/>
          <w:sz w:val="36"/>
          <w:szCs w:val="36"/>
          <w:rtl/>
        </w:rPr>
        <w:t xml:space="preserve"> </w:t>
      </w:r>
      <w:r w:rsidR="00490564">
        <w:rPr>
          <w:rFonts w:ascii="Traditional Arabic" w:eastAsia="Calibri" w:hAnsi="Traditional Arabic" w:cs="Traditional Arabic" w:hint="cs"/>
          <w:sz w:val="36"/>
          <w:szCs w:val="36"/>
          <w:rtl/>
        </w:rPr>
        <w:t>ذهب</w:t>
      </w:r>
      <w:r w:rsidR="00490564" w:rsidRPr="00D45137">
        <w:rPr>
          <w:rFonts w:ascii="Traditional Arabic" w:eastAsia="Calibri" w:hAnsi="Traditional Arabic" w:cs="Traditional Arabic" w:hint="cs"/>
          <w:sz w:val="36"/>
          <w:szCs w:val="36"/>
          <w:rtl/>
        </w:rPr>
        <w:t xml:space="preserve"> به الشافعية</w:t>
      </w:r>
      <w:r w:rsidR="00490564" w:rsidRPr="00D45137">
        <w:rPr>
          <w:rStyle w:val="a5"/>
          <w:rFonts w:ascii="Tahoma" w:hAnsi="Tahoma" w:cs="Traditional Arabic"/>
          <w:sz w:val="36"/>
          <w:szCs w:val="36"/>
          <w:rtl/>
        </w:rPr>
        <w:t>(</w:t>
      </w:r>
      <w:r w:rsidR="00490564" w:rsidRPr="00D45137">
        <w:rPr>
          <w:rStyle w:val="a5"/>
          <w:rFonts w:ascii="Tahoma" w:hAnsi="Tahoma" w:cs="Traditional Arabic"/>
          <w:sz w:val="36"/>
          <w:szCs w:val="36"/>
          <w:rtl/>
        </w:rPr>
        <w:footnoteReference w:id="6"/>
      </w:r>
      <w:r w:rsidR="00490564" w:rsidRPr="00D45137">
        <w:rPr>
          <w:rStyle w:val="a5"/>
          <w:rFonts w:ascii="Tahoma" w:hAnsi="Tahoma" w:cs="Traditional Arabic"/>
          <w:sz w:val="36"/>
          <w:szCs w:val="36"/>
          <w:rtl/>
        </w:rPr>
        <w:t>)</w:t>
      </w:r>
      <w:r w:rsidR="00490564" w:rsidRPr="00D45137">
        <w:rPr>
          <w:rFonts w:ascii="Traditional Arabic" w:eastAsia="Calibri" w:hAnsi="Traditional Arabic" w:cs="Traditional Arabic" w:hint="cs"/>
          <w:sz w:val="36"/>
          <w:szCs w:val="36"/>
          <w:rtl/>
        </w:rPr>
        <w:t>، والحنابلة في رواية</w:t>
      </w:r>
      <w:r w:rsidR="00490564" w:rsidRPr="00D45137">
        <w:rPr>
          <w:rStyle w:val="a5"/>
          <w:rFonts w:ascii="Tahoma" w:hAnsi="Tahoma" w:cs="Traditional Arabic"/>
          <w:sz w:val="36"/>
          <w:szCs w:val="36"/>
          <w:rtl/>
        </w:rPr>
        <w:t>(</w:t>
      </w:r>
      <w:r w:rsidR="00490564" w:rsidRPr="00D45137">
        <w:rPr>
          <w:rStyle w:val="a5"/>
          <w:rFonts w:ascii="Tahoma" w:hAnsi="Tahoma" w:cs="Traditional Arabic"/>
          <w:sz w:val="36"/>
          <w:szCs w:val="36"/>
          <w:rtl/>
        </w:rPr>
        <w:footnoteReference w:id="7"/>
      </w:r>
      <w:r w:rsidR="00490564" w:rsidRPr="00D45137">
        <w:rPr>
          <w:rStyle w:val="a5"/>
          <w:rFonts w:ascii="Tahoma" w:hAnsi="Tahoma" w:cs="Traditional Arabic"/>
          <w:sz w:val="36"/>
          <w:szCs w:val="36"/>
          <w:rtl/>
        </w:rPr>
        <w:t>)</w:t>
      </w:r>
      <w:r w:rsidR="00490564">
        <w:rPr>
          <w:rFonts w:ascii="Traditional Arabic" w:eastAsia="Calibri" w:hAnsi="Traditional Arabic" w:cs="Traditional Arabic" w:hint="cs"/>
          <w:sz w:val="36"/>
          <w:szCs w:val="36"/>
          <w:rtl/>
        </w:rPr>
        <w:t xml:space="preserve">إلى </w:t>
      </w:r>
      <w:r w:rsidRPr="00D45137">
        <w:rPr>
          <w:rFonts w:ascii="Traditional Arabic" w:eastAsia="Calibri" w:hAnsi="Traditional Arabic" w:cs="Traditional Arabic" w:hint="cs"/>
          <w:sz w:val="36"/>
          <w:szCs w:val="36"/>
          <w:rtl/>
        </w:rPr>
        <w:t>أن</w:t>
      </w:r>
      <w:r w:rsidR="00490564">
        <w:rPr>
          <w:rFonts w:ascii="Traditional Arabic" w:eastAsia="Calibri" w:hAnsi="Traditional Arabic" w:cs="Traditional Arabic" w:hint="cs"/>
          <w:sz w:val="36"/>
          <w:szCs w:val="36"/>
          <w:rtl/>
        </w:rPr>
        <w:t>َّ</w:t>
      </w:r>
      <w:r w:rsidRPr="00D45137">
        <w:rPr>
          <w:rFonts w:ascii="Traditional Arabic" w:eastAsia="Calibri" w:hAnsi="Traditional Arabic" w:cs="Traditional Arabic" w:hint="cs"/>
          <w:sz w:val="36"/>
          <w:szCs w:val="36"/>
          <w:rtl/>
        </w:rPr>
        <w:t xml:space="preserve"> المأموم يقول ( سمع الله لمن حمده) </w:t>
      </w:r>
      <w:r w:rsidR="00490564">
        <w:rPr>
          <w:rFonts w:ascii="Traditional Arabic" w:eastAsia="Calibri" w:hAnsi="Traditional Arabic" w:cs="Traditional Arabic" w:hint="cs"/>
          <w:sz w:val="36"/>
          <w:szCs w:val="36"/>
          <w:rtl/>
        </w:rPr>
        <w:t>.</w:t>
      </w:r>
    </w:p>
    <w:p w:rsidR="00EF5DA4" w:rsidRPr="00D45137" w:rsidRDefault="0012293D" w:rsidP="003A088D">
      <w:pPr>
        <w:jc w:val="both"/>
        <w:rPr>
          <w:rFonts w:ascii="Traditional Arabic" w:eastAsia="Calibri" w:hAnsi="Traditional Arabic" w:cs="Traditional Arabic"/>
          <w:b/>
          <w:bCs/>
          <w:sz w:val="36"/>
          <w:szCs w:val="36"/>
          <w:rtl/>
        </w:rPr>
      </w:pPr>
      <w:r>
        <w:rPr>
          <w:rFonts w:ascii="Traditional Arabic" w:eastAsia="Calibri" w:hAnsi="Traditional Arabic" w:cs="Traditional Arabic" w:hint="cs"/>
          <w:b/>
          <w:bCs/>
          <w:sz w:val="36"/>
          <w:szCs w:val="36"/>
          <w:rtl/>
        </w:rPr>
        <w:t>ثالثاً</w:t>
      </w:r>
      <w:r w:rsidR="007A24F6">
        <w:rPr>
          <w:rFonts w:ascii="Traditional Arabic" w:eastAsia="Calibri" w:hAnsi="Traditional Arabic" w:cs="Traditional Arabic" w:hint="cs"/>
          <w:b/>
          <w:bCs/>
          <w:sz w:val="36"/>
          <w:szCs w:val="36"/>
          <w:rtl/>
        </w:rPr>
        <w:t>: الأدلة</w:t>
      </w:r>
      <w:r w:rsidR="00EF5DA4" w:rsidRPr="00D45137">
        <w:rPr>
          <w:rFonts w:ascii="Traditional Arabic" w:eastAsia="Calibri" w:hAnsi="Traditional Arabic" w:cs="Traditional Arabic" w:hint="cs"/>
          <w:b/>
          <w:bCs/>
          <w:sz w:val="36"/>
          <w:szCs w:val="36"/>
          <w:rtl/>
        </w:rPr>
        <w:t xml:space="preserve">: </w:t>
      </w:r>
    </w:p>
    <w:p w:rsidR="005C18A7" w:rsidRPr="00FA1BAA" w:rsidRDefault="005C18A7" w:rsidP="003A088D">
      <w:pPr>
        <w:pStyle w:val="a3"/>
        <w:numPr>
          <w:ilvl w:val="0"/>
          <w:numId w:val="2"/>
        </w:numPr>
        <w:jc w:val="both"/>
        <w:rPr>
          <w:rFonts w:ascii="Traditional Arabic" w:eastAsia="Calibri" w:hAnsi="Traditional Arabic" w:cs="Traditional Arabic"/>
          <w:b/>
          <w:bCs/>
          <w:sz w:val="36"/>
          <w:szCs w:val="36"/>
          <w:rtl/>
        </w:rPr>
      </w:pPr>
      <w:r w:rsidRPr="00FA1BAA">
        <w:rPr>
          <w:rFonts w:ascii="Traditional Arabic" w:eastAsia="Calibri" w:hAnsi="Traditional Arabic" w:cs="Traditional Arabic" w:hint="cs"/>
          <w:b/>
          <w:bCs/>
          <w:sz w:val="36"/>
          <w:szCs w:val="36"/>
          <w:rtl/>
        </w:rPr>
        <w:t>دليل أصحاب القول الأول:</w:t>
      </w:r>
    </w:p>
    <w:p w:rsidR="00BE469A" w:rsidRDefault="00891BF5" w:rsidP="003A088D">
      <w:pPr>
        <w:jc w:val="both"/>
        <w:rPr>
          <w:rFonts w:ascii="Traditional Arabic" w:eastAsia="Calibri" w:hAnsi="Traditional Arabic" w:cs="Traditional Arabic"/>
          <w:sz w:val="36"/>
          <w:szCs w:val="36"/>
          <w:rtl/>
        </w:rPr>
      </w:pPr>
      <w:r>
        <w:rPr>
          <w:rFonts w:ascii="Traditional Arabic" w:eastAsia="Calibri" w:hAnsi="Traditional Arabic" w:cs="Traditional Arabic" w:hint="cs"/>
          <w:sz w:val="36"/>
          <w:szCs w:val="36"/>
          <w:rtl/>
        </w:rPr>
        <w:t>عن</w:t>
      </w:r>
      <w:r w:rsidR="005C18A7" w:rsidRPr="00D45137">
        <w:rPr>
          <w:rFonts w:ascii="Traditional Arabic" w:eastAsia="Calibri" w:hAnsi="Traditional Arabic" w:cs="Traditional Arabic" w:hint="cs"/>
          <w:sz w:val="36"/>
          <w:szCs w:val="36"/>
          <w:rtl/>
        </w:rPr>
        <w:t xml:space="preserve"> أبي هريرة </w:t>
      </w:r>
      <w:r w:rsidR="005C18A7" w:rsidRPr="00D45137">
        <w:rPr>
          <w:rFonts w:ascii="Traditional Arabic" w:eastAsia="Calibri" w:hAnsi="Traditional Arabic" w:cs="Traditional Arabic"/>
          <w:sz w:val="36"/>
          <w:szCs w:val="36"/>
        </w:rPr>
        <w:sym w:font="AGA Arabesque" w:char="F074"/>
      </w:r>
      <w:r w:rsidR="0012293D">
        <w:rPr>
          <w:rFonts w:ascii="Traditional Arabic" w:eastAsia="Calibri" w:hAnsi="Traditional Arabic" w:cs="Traditional Arabic" w:hint="cs"/>
          <w:sz w:val="36"/>
          <w:szCs w:val="36"/>
          <w:rtl/>
        </w:rPr>
        <w:t xml:space="preserve"> قال</w:t>
      </w:r>
      <w:r w:rsidR="005C18A7" w:rsidRPr="00D45137">
        <w:rPr>
          <w:rFonts w:ascii="Traditional Arabic" w:eastAsia="Calibri" w:hAnsi="Traditional Arabic" w:cs="Traditional Arabic" w:hint="cs"/>
          <w:sz w:val="36"/>
          <w:szCs w:val="36"/>
          <w:rtl/>
        </w:rPr>
        <w:t xml:space="preserve">: قال النبي </w:t>
      </w:r>
      <w:r w:rsidR="005C18A7" w:rsidRPr="00D45137">
        <w:rPr>
          <w:rFonts w:ascii="Traditional Arabic" w:eastAsia="Calibri" w:hAnsi="Traditional Arabic" w:cs="Traditional Arabic" w:hint="cs"/>
          <w:sz w:val="36"/>
          <w:szCs w:val="36"/>
        </w:rPr>
        <w:sym w:font="AGA Arabesque" w:char="F072"/>
      </w:r>
      <w:r w:rsidR="00D9431D">
        <w:rPr>
          <w:rFonts w:ascii="Traditional Arabic" w:eastAsia="Calibri" w:hAnsi="Traditional Arabic" w:cs="Traditional Arabic" w:hint="cs"/>
          <w:sz w:val="36"/>
          <w:szCs w:val="36"/>
          <w:rtl/>
        </w:rPr>
        <w:t xml:space="preserve"> (( إنما جعل الإ</w:t>
      </w:r>
      <w:r w:rsidR="005C18A7" w:rsidRPr="00D45137">
        <w:rPr>
          <w:rFonts w:ascii="Traditional Arabic" w:eastAsia="Calibri" w:hAnsi="Traditional Arabic" w:cs="Traditional Arabic" w:hint="cs"/>
          <w:sz w:val="36"/>
          <w:szCs w:val="36"/>
          <w:rtl/>
        </w:rPr>
        <w:t xml:space="preserve">مام ليؤتم به، فإذا كبر فكبروا، وإذا </w:t>
      </w:r>
    </w:p>
    <w:p w:rsidR="00BE469A" w:rsidRDefault="005C18A7" w:rsidP="003A088D">
      <w:pPr>
        <w:jc w:val="both"/>
        <w:rPr>
          <w:rFonts w:ascii="Traditional Arabic" w:eastAsia="Calibri" w:hAnsi="Traditional Arabic" w:cs="Traditional Arabic"/>
          <w:sz w:val="36"/>
          <w:szCs w:val="36"/>
          <w:rtl/>
        </w:rPr>
      </w:pPr>
      <w:r w:rsidRPr="00D45137">
        <w:rPr>
          <w:rFonts w:ascii="Traditional Arabic" w:eastAsia="Calibri" w:hAnsi="Traditional Arabic" w:cs="Traditional Arabic" w:hint="cs"/>
          <w:sz w:val="36"/>
          <w:szCs w:val="36"/>
          <w:rtl/>
        </w:rPr>
        <w:t xml:space="preserve">ركع فاركعوا، وإذا قال سمع الله لمن حمده، فقولوا ربنا ولك الحمد، وإذا سجد فاسجدوا  </w:t>
      </w:r>
    </w:p>
    <w:p w:rsidR="00945C9D" w:rsidRPr="008B73F8" w:rsidRDefault="005C18A7" w:rsidP="008B73F8">
      <w:pPr>
        <w:jc w:val="both"/>
        <w:rPr>
          <w:rFonts w:ascii="Traditional Arabic" w:eastAsia="Calibri" w:hAnsi="Traditional Arabic" w:cs="Traditional Arabic"/>
          <w:sz w:val="36"/>
          <w:szCs w:val="36"/>
          <w:rtl/>
        </w:rPr>
      </w:pPr>
      <w:r w:rsidRPr="00D45137">
        <w:rPr>
          <w:rFonts w:ascii="Traditional Arabic" w:eastAsia="Calibri" w:hAnsi="Traditional Arabic" w:cs="Traditional Arabic" w:hint="cs"/>
          <w:sz w:val="36"/>
          <w:szCs w:val="36"/>
          <w:rtl/>
        </w:rPr>
        <w:t>وإذ</w:t>
      </w:r>
      <w:r w:rsidR="00BE469A">
        <w:rPr>
          <w:rFonts w:ascii="Traditional Arabic" w:eastAsia="Calibri" w:hAnsi="Traditional Arabic" w:cs="Traditional Arabic" w:hint="cs"/>
          <w:sz w:val="36"/>
          <w:szCs w:val="36"/>
          <w:rtl/>
        </w:rPr>
        <w:t>ا صلى جالسا، فصلوا جلوسا أجمعون</w:t>
      </w:r>
      <w:r w:rsidRPr="00D45137">
        <w:rPr>
          <w:rFonts w:ascii="Traditional Arabic" w:eastAsia="Calibri" w:hAnsi="Traditional Arabic" w:cs="Traditional Arabic" w:hint="cs"/>
          <w:sz w:val="36"/>
          <w:szCs w:val="36"/>
          <w:rtl/>
        </w:rPr>
        <w:t>))</w:t>
      </w:r>
      <w:r w:rsidR="00D45137" w:rsidRPr="00D45137">
        <w:rPr>
          <w:rStyle w:val="a5"/>
          <w:rFonts w:ascii="Tahoma" w:hAnsi="Tahoma" w:cs="Traditional Arabic"/>
          <w:sz w:val="36"/>
          <w:szCs w:val="36"/>
          <w:rtl/>
        </w:rPr>
        <w:t xml:space="preserve"> (</w:t>
      </w:r>
      <w:r w:rsidR="00D45137" w:rsidRPr="00D45137">
        <w:rPr>
          <w:rStyle w:val="a5"/>
          <w:rFonts w:ascii="Tahoma" w:hAnsi="Tahoma" w:cs="Traditional Arabic"/>
          <w:sz w:val="36"/>
          <w:szCs w:val="36"/>
          <w:rtl/>
        </w:rPr>
        <w:footnoteReference w:id="8"/>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w:t>
      </w:r>
    </w:p>
    <w:p w:rsidR="005C18A7" w:rsidRPr="00FA1BAA" w:rsidRDefault="003B4CAA" w:rsidP="003A088D">
      <w:pPr>
        <w:jc w:val="both"/>
        <w:rPr>
          <w:rFonts w:ascii="Traditional Arabic" w:eastAsia="Calibri" w:hAnsi="Traditional Arabic" w:cs="Traditional Arabic"/>
          <w:b/>
          <w:bCs/>
          <w:sz w:val="36"/>
          <w:szCs w:val="36"/>
          <w:u w:val="single"/>
          <w:rtl/>
        </w:rPr>
      </w:pPr>
      <w:r>
        <w:rPr>
          <w:rFonts w:ascii="Traditional Arabic" w:eastAsia="Calibri" w:hAnsi="Traditional Arabic" w:cs="Traditional Arabic" w:hint="cs"/>
          <w:b/>
          <w:bCs/>
          <w:sz w:val="36"/>
          <w:szCs w:val="36"/>
          <w:u w:val="single"/>
          <w:rtl/>
        </w:rPr>
        <w:t>وجه الدلالة</w:t>
      </w:r>
      <w:r w:rsidR="005C18A7" w:rsidRPr="00FA1BAA">
        <w:rPr>
          <w:rFonts w:ascii="Traditional Arabic" w:eastAsia="Calibri" w:hAnsi="Traditional Arabic" w:cs="Traditional Arabic" w:hint="cs"/>
          <w:b/>
          <w:bCs/>
          <w:sz w:val="36"/>
          <w:szCs w:val="36"/>
          <w:u w:val="single"/>
          <w:rtl/>
        </w:rPr>
        <w:t>:</w:t>
      </w:r>
    </w:p>
    <w:p w:rsidR="003A088D" w:rsidRDefault="005C18A7" w:rsidP="003A088D">
      <w:pPr>
        <w:jc w:val="both"/>
        <w:rPr>
          <w:rFonts w:ascii="Traditional Arabic" w:eastAsia="Calibri" w:hAnsi="Traditional Arabic" w:cs="Traditional Arabic"/>
          <w:sz w:val="36"/>
          <w:szCs w:val="36"/>
          <w:rtl/>
        </w:rPr>
      </w:pPr>
      <w:r w:rsidRPr="00D45137">
        <w:rPr>
          <w:rFonts w:ascii="Traditional Arabic" w:eastAsia="Calibri" w:hAnsi="Traditional Arabic" w:cs="Traditional Arabic" w:hint="cs"/>
          <w:sz w:val="36"/>
          <w:szCs w:val="36"/>
          <w:rtl/>
        </w:rPr>
        <w:t>أن</w:t>
      </w:r>
      <w:r w:rsidR="00945C9D">
        <w:rPr>
          <w:rFonts w:ascii="Traditional Arabic" w:eastAsia="Calibri" w:hAnsi="Traditional Arabic" w:cs="Traditional Arabic" w:hint="cs"/>
          <w:sz w:val="36"/>
          <w:szCs w:val="36"/>
          <w:rtl/>
        </w:rPr>
        <w:t>َّ</w:t>
      </w:r>
      <w:r w:rsidRPr="00D45137">
        <w:rPr>
          <w:rFonts w:ascii="Traditional Arabic" w:eastAsia="Calibri" w:hAnsi="Traditional Arabic" w:cs="Traditional Arabic" w:hint="cs"/>
          <w:sz w:val="36"/>
          <w:szCs w:val="36"/>
          <w:rtl/>
        </w:rPr>
        <w:t xml:space="preserve">ه ميز بين </w:t>
      </w:r>
      <w:r w:rsidR="0012293D">
        <w:rPr>
          <w:rFonts w:ascii="Traditional Arabic" w:eastAsia="Calibri" w:hAnsi="Traditional Arabic" w:cs="Traditional Arabic" w:hint="cs"/>
          <w:sz w:val="36"/>
          <w:szCs w:val="36"/>
          <w:rtl/>
        </w:rPr>
        <w:t>ما يقوله</w:t>
      </w:r>
      <w:r w:rsidRPr="00D45137">
        <w:rPr>
          <w:rFonts w:ascii="Traditional Arabic" w:eastAsia="Calibri" w:hAnsi="Traditional Arabic" w:cs="Traditional Arabic" w:hint="cs"/>
          <w:sz w:val="36"/>
          <w:szCs w:val="36"/>
          <w:rtl/>
        </w:rPr>
        <w:t xml:space="preserve"> الإمام وما يقوله المأموم فدل على اختصاص المأموم بقوله : (( ربنا </w:t>
      </w:r>
    </w:p>
    <w:p w:rsidR="005C18A7" w:rsidRPr="00D45137" w:rsidRDefault="005C18A7" w:rsidP="003A088D">
      <w:pPr>
        <w:jc w:val="both"/>
        <w:rPr>
          <w:rFonts w:ascii="Traditional Arabic" w:eastAsia="Calibri" w:hAnsi="Traditional Arabic" w:cs="Traditional Arabic"/>
          <w:sz w:val="36"/>
          <w:szCs w:val="36"/>
          <w:rtl/>
        </w:rPr>
      </w:pPr>
      <w:r w:rsidRPr="00D45137">
        <w:rPr>
          <w:rFonts w:ascii="Traditional Arabic" w:eastAsia="Calibri" w:hAnsi="Traditional Arabic" w:cs="Traditional Arabic" w:hint="cs"/>
          <w:sz w:val="36"/>
          <w:szCs w:val="36"/>
          <w:rtl/>
        </w:rPr>
        <w:lastRenderedPageBreak/>
        <w:t>ولك الحمد))</w:t>
      </w:r>
      <w:r w:rsidR="00D45137" w:rsidRPr="00D45137">
        <w:rPr>
          <w:rStyle w:val="a5"/>
          <w:rFonts w:ascii="Tahoma" w:hAnsi="Tahoma" w:cs="Traditional Arabic"/>
          <w:sz w:val="36"/>
          <w:szCs w:val="36"/>
          <w:rtl/>
        </w:rPr>
        <w:t xml:space="preserve"> (</w:t>
      </w:r>
      <w:r w:rsidR="00D45137" w:rsidRPr="00D45137">
        <w:rPr>
          <w:rStyle w:val="a5"/>
          <w:rFonts w:ascii="Tahoma" w:hAnsi="Tahoma" w:cs="Traditional Arabic"/>
          <w:sz w:val="36"/>
          <w:szCs w:val="36"/>
          <w:rtl/>
        </w:rPr>
        <w:footnoteReference w:id="9"/>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xml:space="preserve"> ثم قال إن</w:t>
      </w:r>
      <w:r w:rsidR="00490564">
        <w:rPr>
          <w:rFonts w:ascii="Traditional Arabic" w:eastAsia="Calibri" w:hAnsi="Traditional Arabic" w:cs="Traditional Arabic" w:hint="cs"/>
          <w:sz w:val="36"/>
          <w:szCs w:val="36"/>
          <w:rtl/>
        </w:rPr>
        <w:t>َّ</w:t>
      </w:r>
      <w:r w:rsidRPr="00D45137">
        <w:rPr>
          <w:rFonts w:ascii="Traditional Arabic" w:eastAsia="Calibri" w:hAnsi="Traditional Arabic" w:cs="Traditional Arabic" w:hint="cs"/>
          <w:sz w:val="36"/>
          <w:szCs w:val="36"/>
          <w:rtl/>
        </w:rPr>
        <w:t xml:space="preserve"> قول المأموم هذه الجملة عقيب تسميع الإمام، يقتضي أن يكون ذلك عقبه مباشرة من غير فصل لأن الفاء للتعقيب</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0"/>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w:t>
      </w:r>
    </w:p>
    <w:p w:rsidR="005C18A7" w:rsidRPr="00FA1BAA" w:rsidRDefault="005C18A7" w:rsidP="003A088D">
      <w:pPr>
        <w:pStyle w:val="a3"/>
        <w:numPr>
          <w:ilvl w:val="0"/>
          <w:numId w:val="2"/>
        </w:numPr>
        <w:jc w:val="both"/>
        <w:rPr>
          <w:rFonts w:ascii="Traditional Arabic" w:eastAsia="Calibri" w:hAnsi="Traditional Arabic" w:cs="Traditional Arabic"/>
          <w:b/>
          <w:bCs/>
          <w:sz w:val="36"/>
          <w:szCs w:val="36"/>
          <w:rtl/>
        </w:rPr>
      </w:pPr>
      <w:r w:rsidRPr="00FA1BAA">
        <w:rPr>
          <w:rFonts w:ascii="Traditional Arabic" w:eastAsia="Calibri" w:hAnsi="Traditional Arabic" w:cs="Traditional Arabic" w:hint="cs"/>
          <w:b/>
          <w:bCs/>
          <w:sz w:val="36"/>
          <w:szCs w:val="36"/>
          <w:rtl/>
        </w:rPr>
        <w:t>دليل أصحاب القول الثاني:</w:t>
      </w:r>
    </w:p>
    <w:p w:rsidR="005C18A7" w:rsidRPr="00D45137" w:rsidRDefault="005C18A7" w:rsidP="00490564">
      <w:pPr>
        <w:jc w:val="both"/>
        <w:rPr>
          <w:rFonts w:ascii="Traditional Arabic" w:eastAsia="Calibri" w:hAnsi="Traditional Arabic" w:cs="Traditional Arabic"/>
          <w:b/>
          <w:bCs/>
          <w:sz w:val="36"/>
          <w:szCs w:val="36"/>
        </w:rPr>
      </w:pPr>
      <w:r w:rsidRPr="00D45137">
        <w:rPr>
          <w:rFonts w:ascii="Traditional Arabic" w:eastAsia="Calibri" w:hAnsi="Traditional Arabic" w:cs="Traditional Arabic" w:hint="cs"/>
          <w:sz w:val="36"/>
          <w:szCs w:val="36"/>
          <w:rtl/>
        </w:rPr>
        <w:t xml:space="preserve">أن النبي </w:t>
      </w:r>
      <w:r w:rsidRPr="00D45137">
        <w:rPr>
          <w:rFonts w:ascii="Traditional Arabic" w:eastAsia="Calibri" w:hAnsi="Traditional Arabic" w:cs="Traditional Arabic" w:hint="cs"/>
          <w:sz w:val="36"/>
          <w:szCs w:val="36"/>
        </w:rPr>
        <w:sym w:font="AGA Arabesque" w:char="F072"/>
      </w:r>
      <w:r w:rsidRPr="00D45137">
        <w:rPr>
          <w:rFonts w:ascii="Traditional Arabic" w:eastAsia="Calibri" w:hAnsi="Traditional Arabic" w:cs="Traditional Arabic" w:hint="cs"/>
          <w:sz w:val="36"/>
          <w:szCs w:val="36"/>
          <w:rtl/>
        </w:rPr>
        <w:t xml:space="preserve"> كان يجمع بين قوله ( سمع الله لمن حمده ) وقوله ( ربنا لك الحمد ) يدل لذلك حديث أبي هريرة </w:t>
      </w:r>
      <w:r w:rsidRPr="00D45137">
        <w:rPr>
          <w:rFonts w:ascii="Traditional Arabic" w:eastAsia="Calibri" w:hAnsi="Traditional Arabic" w:cs="Traditional Arabic" w:hint="cs"/>
          <w:sz w:val="36"/>
          <w:szCs w:val="36"/>
        </w:rPr>
        <w:sym w:font="AGA Arabesque" w:char="F074"/>
      </w:r>
      <w:r w:rsidR="008B73F8">
        <w:rPr>
          <w:rFonts w:ascii="Traditional Arabic" w:eastAsia="Calibri" w:hAnsi="Traditional Arabic" w:cs="Traditional Arabic" w:hint="cs"/>
          <w:sz w:val="36"/>
          <w:szCs w:val="36"/>
          <w:rtl/>
        </w:rPr>
        <w:t xml:space="preserve"> قال (( كان </w:t>
      </w:r>
      <w:r w:rsidRPr="00D45137">
        <w:rPr>
          <w:rFonts w:ascii="Traditional Arabic" w:eastAsia="Calibri" w:hAnsi="Traditional Arabic" w:cs="Traditional Arabic" w:hint="cs"/>
          <w:sz w:val="36"/>
          <w:szCs w:val="36"/>
          <w:rtl/>
        </w:rPr>
        <w:t xml:space="preserve">رسول الله </w:t>
      </w:r>
      <w:r w:rsidRPr="00D45137">
        <w:rPr>
          <w:rFonts w:ascii="Traditional Arabic" w:eastAsia="Calibri" w:hAnsi="Traditional Arabic" w:cs="Traditional Arabic" w:hint="cs"/>
          <w:sz w:val="36"/>
          <w:szCs w:val="36"/>
        </w:rPr>
        <w:sym w:font="AGA Arabesque" w:char="F072"/>
      </w:r>
      <w:r w:rsidRPr="00D45137">
        <w:rPr>
          <w:rFonts w:ascii="Traditional Arabic" w:eastAsia="Calibri" w:hAnsi="Traditional Arabic" w:cs="Traditional Arabic" w:hint="cs"/>
          <w:sz w:val="36"/>
          <w:szCs w:val="36"/>
          <w:rtl/>
        </w:rPr>
        <w:t xml:space="preserve"> إذا قام إلى الصلاة يكبر حين يقوم، ثم يكبر حين يركع، ثم يقول: (( سمع الله لمن حمده)) حين يرفع صلبه من الركعة، ثم يقول وهو قائم : (( ربنا لك الحمد )) ....)) الحديث</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1"/>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xml:space="preserve">، ويجب علينا أن نصلي كما كان يصلي لحديث بن الحويرث أن النبي </w:t>
      </w:r>
      <w:r w:rsidRPr="00D45137">
        <w:rPr>
          <w:rFonts w:ascii="Traditional Arabic" w:eastAsia="Calibri" w:hAnsi="Traditional Arabic" w:cs="Traditional Arabic" w:hint="cs"/>
          <w:sz w:val="36"/>
          <w:szCs w:val="36"/>
        </w:rPr>
        <w:sym w:font="AGA Arabesque" w:char="F072"/>
      </w:r>
      <w:r w:rsidRPr="00D45137">
        <w:rPr>
          <w:rFonts w:ascii="Traditional Arabic" w:eastAsia="Calibri" w:hAnsi="Traditional Arabic" w:cs="Traditional Arabic" w:hint="cs"/>
          <w:sz w:val="36"/>
          <w:szCs w:val="36"/>
          <w:rtl/>
        </w:rPr>
        <w:t xml:space="preserve"> قال: (( صلوا كما رأيتموني أصلي))</w:t>
      </w:r>
      <w:r w:rsidRPr="00D45137">
        <w:rPr>
          <w:rFonts w:ascii="Traditional Arabic" w:eastAsia="Calibri" w:hAnsi="Traditional Arabic" w:cs="Traditional Arabic" w:hint="cs"/>
          <w:b/>
          <w:bCs/>
          <w:sz w:val="36"/>
          <w:szCs w:val="36"/>
          <w:rtl/>
        </w:rPr>
        <w:t xml:space="preserve"> </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2"/>
      </w:r>
      <w:r w:rsidR="00D45137" w:rsidRPr="00D45137">
        <w:rPr>
          <w:rStyle w:val="a5"/>
          <w:rFonts w:ascii="Tahoma" w:hAnsi="Tahoma" w:cs="Traditional Arabic"/>
          <w:sz w:val="36"/>
          <w:szCs w:val="36"/>
          <w:rtl/>
        </w:rPr>
        <w:t>)</w:t>
      </w:r>
      <w:r w:rsidR="00490564" w:rsidRPr="00D45137">
        <w:rPr>
          <w:rStyle w:val="a5"/>
          <w:rFonts w:ascii="Tahoma" w:hAnsi="Tahoma" w:cs="Traditional Arabic"/>
          <w:sz w:val="36"/>
          <w:szCs w:val="36"/>
          <w:rtl/>
        </w:rPr>
        <w:t xml:space="preserve"> </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3"/>
      </w:r>
      <w:r w:rsidR="00D45137" w:rsidRPr="00D45137">
        <w:rPr>
          <w:rStyle w:val="a5"/>
          <w:rFonts w:ascii="Tahoma" w:hAnsi="Tahoma" w:cs="Traditional Arabic"/>
          <w:sz w:val="36"/>
          <w:szCs w:val="36"/>
          <w:rtl/>
        </w:rPr>
        <w:t>)</w:t>
      </w:r>
      <w:r w:rsidR="00490564">
        <w:rPr>
          <w:rFonts w:ascii="Traditional Arabic" w:eastAsia="Calibri" w:hAnsi="Traditional Arabic" w:cs="Traditional Arabic" w:hint="cs"/>
          <w:b/>
          <w:bCs/>
          <w:sz w:val="36"/>
          <w:szCs w:val="36"/>
          <w:rtl/>
        </w:rPr>
        <w:t>.</w:t>
      </w:r>
    </w:p>
    <w:p w:rsidR="005C18A7" w:rsidRPr="00D45137" w:rsidRDefault="0012293D" w:rsidP="003A088D">
      <w:pPr>
        <w:jc w:val="both"/>
        <w:rPr>
          <w:rFonts w:ascii="Traditional Arabic" w:eastAsia="Calibri" w:hAnsi="Traditional Arabic" w:cs="Traditional Arabic"/>
          <w:b/>
          <w:bCs/>
          <w:sz w:val="36"/>
          <w:szCs w:val="36"/>
          <w:rtl/>
        </w:rPr>
      </w:pPr>
      <w:r>
        <w:rPr>
          <w:rFonts w:ascii="Traditional Arabic" w:eastAsia="Calibri" w:hAnsi="Traditional Arabic" w:cs="Traditional Arabic" w:hint="cs"/>
          <w:b/>
          <w:bCs/>
          <w:sz w:val="36"/>
          <w:szCs w:val="36"/>
          <w:rtl/>
        </w:rPr>
        <w:t>رابعاً</w:t>
      </w:r>
      <w:r w:rsidR="00EF5DA4" w:rsidRPr="00D45137">
        <w:rPr>
          <w:rFonts w:ascii="Traditional Arabic" w:eastAsia="Calibri" w:hAnsi="Traditional Arabic" w:cs="Traditional Arabic" w:hint="cs"/>
          <w:b/>
          <w:bCs/>
          <w:sz w:val="36"/>
          <w:szCs w:val="36"/>
          <w:rtl/>
        </w:rPr>
        <w:t xml:space="preserve">: الرأي الراجح </w:t>
      </w:r>
      <w:r w:rsidR="005C18A7" w:rsidRPr="00D45137">
        <w:rPr>
          <w:rFonts w:ascii="Traditional Arabic" w:eastAsia="Calibri" w:hAnsi="Traditional Arabic" w:cs="Traditional Arabic" w:hint="cs"/>
          <w:b/>
          <w:bCs/>
          <w:sz w:val="36"/>
          <w:szCs w:val="36"/>
          <w:rtl/>
        </w:rPr>
        <w:t>:</w:t>
      </w:r>
    </w:p>
    <w:p w:rsidR="00FA1BAA" w:rsidRDefault="005C18A7" w:rsidP="003A088D">
      <w:pPr>
        <w:jc w:val="both"/>
        <w:rPr>
          <w:rFonts w:ascii="Traditional Arabic" w:eastAsia="Calibri" w:hAnsi="Traditional Arabic" w:cs="Traditional Arabic"/>
          <w:sz w:val="36"/>
          <w:szCs w:val="36"/>
          <w:rtl/>
        </w:rPr>
      </w:pPr>
      <w:r w:rsidRPr="00D45137">
        <w:rPr>
          <w:rFonts w:ascii="Traditional Arabic" w:eastAsia="Calibri" w:hAnsi="Traditional Arabic" w:cs="Traditional Arabic" w:hint="cs"/>
          <w:sz w:val="36"/>
          <w:szCs w:val="36"/>
          <w:rtl/>
        </w:rPr>
        <w:t>الذي يظهر</w:t>
      </w:r>
      <w:r w:rsidR="00490564">
        <w:rPr>
          <w:rFonts w:ascii="Traditional Arabic" w:eastAsia="Calibri" w:hAnsi="Traditional Arabic" w:cs="Traditional Arabic" w:hint="cs"/>
          <w:sz w:val="36"/>
          <w:szCs w:val="36"/>
          <w:rtl/>
        </w:rPr>
        <w:t xml:space="preserve"> لي رجحانه</w:t>
      </w:r>
      <w:r w:rsidRPr="00D45137">
        <w:rPr>
          <w:rFonts w:ascii="Traditional Arabic" w:eastAsia="Calibri" w:hAnsi="Traditional Arabic" w:cs="Traditional Arabic" w:hint="cs"/>
          <w:sz w:val="36"/>
          <w:szCs w:val="36"/>
          <w:rtl/>
        </w:rPr>
        <w:t xml:space="preserve"> - والعلم عند الله جل جلاله- القول الثاني،</w:t>
      </w:r>
      <w:r w:rsidR="00FA1BAA">
        <w:rPr>
          <w:rFonts w:ascii="Traditional Arabic" w:eastAsia="Calibri" w:hAnsi="Traditional Arabic" w:cs="Traditional Arabic" w:hint="cs"/>
          <w:sz w:val="36"/>
          <w:szCs w:val="36"/>
          <w:rtl/>
        </w:rPr>
        <w:t xml:space="preserve"> وذلك لما يلي :</w:t>
      </w:r>
    </w:p>
    <w:p w:rsidR="00FA1BAA" w:rsidRDefault="0012293D" w:rsidP="003A088D">
      <w:pPr>
        <w:jc w:val="both"/>
        <w:rPr>
          <w:rFonts w:ascii="Traditional Arabic" w:eastAsia="Calibri" w:hAnsi="Traditional Arabic" w:cs="Traditional Arabic"/>
          <w:sz w:val="36"/>
          <w:szCs w:val="36"/>
          <w:rtl/>
        </w:rPr>
      </w:pPr>
      <w:r>
        <w:rPr>
          <w:rFonts w:ascii="Traditional Arabic" w:eastAsia="Calibri" w:hAnsi="Traditional Arabic" w:cs="Traditional Arabic" w:hint="cs"/>
          <w:b/>
          <w:bCs/>
          <w:sz w:val="36"/>
          <w:szCs w:val="36"/>
          <w:rtl/>
        </w:rPr>
        <w:t>أولاً</w:t>
      </w:r>
      <w:r w:rsidR="00891BF5" w:rsidRPr="00891BF5">
        <w:rPr>
          <w:rFonts w:ascii="Traditional Arabic" w:eastAsia="Calibri" w:hAnsi="Traditional Arabic" w:cs="Traditional Arabic" w:hint="cs"/>
          <w:b/>
          <w:bCs/>
          <w:sz w:val="36"/>
          <w:szCs w:val="36"/>
          <w:rtl/>
        </w:rPr>
        <w:t>:</w:t>
      </w:r>
      <w:r w:rsidR="00891BF5">
        <w:rPr>
          <w:rFonts w:ascii="Traditional Arabic" w:eastAsia="Calibri" w:hAnsi="Traditional Arabic" w:cs="Traditional Arabic" w:hint="cs"/>
          <w:sz w:val="36"/>
          <w:szCs w:val="36"/>
          <w:rtl/>
        </w:rPr>
        <w:t xml:space="preserve"> </w:t>
      </w:r>
      <w:r w:rsidR="005C18A7" w:rsidRPr="00D45137">
        <w:rPr>
          <w:rFonts w:ascii="Traditional Arabic" w:eastAsia="Calibri" w:hAnsi="Traditional Arabic" w:cs="Traditional Arabic" w:hint="cs"/>
          <w:sz w:val="36"/>
          <w:szCs w:val="36"/>
          <w:rtl/>
        </w:rPr>
        <w:t xml:space="preserve"> لما تقدم في دليلهم </w:t>
      </w:r>
      <w:r w:rsidR="00FA1BAA">
        <w:rPr>
          <w:rFonts w:ascii="Traditional Arabic" w:eastAsia="Calibri" w:hAnsi="Traditional Arabic" w:cs="Traditional Arabic" w:hint="cs"/>
          <w:sz w:val="36"/>
          <w:szCs w:val="36"/>
          <w:rtl/>
        </w:rPr>
        <w:t xml:space="preserve">. </w:t>
      </w:r>
    </w:p>
    <w:p w:rsidR="00BE469A" w:rsidRDefault="00BE469A" w:rsidP="003A088D">
      <w:pPr>
        <w:jc w:val="lowKashida"/>
        <w:rPr>
          <w:rFonts w:ascii="Traditional Arabic" w:eastAsia="Calibri" w:hAnsi="Traditional Arabic" w:cs="Traditional Arabic"/>
          <w:sz w:val="36"/>
          <w:szCs w:val="36"/>
          <w:rtl/>
        </w:rPr>
      </w:pPr>
      <w:r>
        <w:rPr>
          <w:rFonts w:ascii="Traditional Arabic" w:eastAsia="Calibri" w:hAnsi="Traditional Arabic" w:cs="Traditional Arabic" w:hint="cs"/>
          <w:b/>
          <w:bCs/>
          <w:sz w:val="36"/>
          <w:szCs w:val="36"/>
          <w:rtl/>
        </w:rPr>
        <w:t>ثانياً</w:t>
      </w:r>
      <w:r w:rsidR="00891BF5" w:rsidRPr="00891BF5">
        <w:rPr>
          <w:rFonts w:ascii="Traditional Arabic" w:eastAsia="Calibri" w:hAnsi="Traditional Arabic" w:cs="Traditional Arabic" w:hint="cs"/>
          <w:b/>
          <w:bCs/>
          <w:sz w:val="36"/>
          <w:szCs w:val="36"/>
          <w:rtl/>
        </w:rPr>
        <w:t>:</w:t>
      </w:r>
      <w:r w:rsidR="00FA1BAA">
        <w:rPr>
          <w:rFonts w:ascii="Traditional Arabic" w:eastAsia="Calibri" w:hAnsi="Traditional Arabic" w:cs="Traditional Arabic" w:hint="cs"/>
          <w:sz w:val="36"/>
          <w:szCs w:val="36"/>
          <w:rtl/>
        </w:rPr>
        <w:t xml:space="preserve"> </w:t>
      </w:r>
      <w:r w:rsidR="005C18A7" w:rsidRPr="00D45137">
        <w:rPr>
          <w:rFonts w:ascii="Traditional Arabic" w:eastAsia="Calibri" w:hAnsi="Traditional Arabic" w:cs="Traditional Arabic" w:hint="cs"/>
          <w:sz w:val="36"/>
          <w:szCs w:val="36"/>
          <w:rtl/>
        </w:rPr>
        <w:t>لأن</w:t>
      </w:r>
      <w:r w:rsidR="00490564">
        <w:rPr>
          <w:rFonts w:ascii="Traditional Arabic" w:eastAsia="Calibri" w:hAnsi="Traditional Arabic" w:cs="Traditional Arabic" w:hint="cs"/>
          <w:sz w:val="36"/>
          <w:szCs w:val="36"/>
          <w:rtl/>
        </w:rPr>
        <w:t>َّ</w:t>
      </w:r>
      <w:r w:rsidR="005C18A7" w:rsidRPr="00D45137">
        <w:rPr>
          <w:rFonts w:ascii="Traditional Arabic" w:eastAsia="Calibri" w:hAnsi="Traditional Arabic" w:cs="Traditional Arabic" w:hint="cs"/>
          <w:sz w:val="36"/>
          <w:szCs w:val="36"/>
          <w:rtl/>
        </w:rPr>
        <w:t xml:space="preserve"> ه</w:t>
      </w:r>
      <w:r>
        <w:rPr>
          <w:rFonts w:ascii="Traditional Arabic" w:eastAsia="Calibri" w:hAnsi="Traditional Arabic" w:cs="Traditional Arabic" w:hint="cs"/>
          <w:sz w:val="36"/>
          <w:szCs w:val="36"/>
          <w:rtl/>
        </w:rPr>
        <w:t>ـ</w:t>
      </w:r>
      <w:r w:rsidR="005C18A7" w:rsidRPr="00D45137">
        <w:rPr>
          <w:rFonts w:ascii="Traditional Arabic" w:eastAsia="Calibri" w:hAnsi="Traditional Arabic" w:cs="Traditional Arabic" w:hint="cs"/>
          <w:sz w:val="36"/>
          <w:szCs w:val="36"/>
          <w:rtl/>
        </w:rPr>
        <w:t>ذا الخلاف راجع إلى هل صلاة المأموم مبنية على صلاة الإم</w:t>
      </w:r>
      <w:r>
        <w:rPr>
          <w:rFonts w:ascii="Traditional Arabic" w:eastAsia="Calibri" w:hAnsi="Traditional Arabic" w:cs="Traditional Arabic" w:hint="cs"/>
          <w:sz w:val="36"/>
          <w:szCs w:val="36"/>
          <w:rtl/>
        </w:rPr>
        <w:t>ـ</w:t>
      </w:r>
      <w:r w:rsidR="005C18A7" w:rsidRPr="00D45137">
        <w:rPr>
          <w:rFonts w:ascii="Traditional Arabic" w:eastAsia="Calibri" w:hAnsi="Traditional Arabic" w:cs="Traditional Arabic" w:hint="cs"/>
          <w:sz w:val="36"/>
          <w:szCs w:val="36"/>
          <w:rtl/>
        </w:rPr>
        <w:t xml:space="preserve">ام؟ أم أن كل </w:t>
      </w:r>
    </w:p>
    <w:p w:rsidR="003A088D" w:rsidRDefault="005C18A7" w:rsidP="003A088D">
      <w:pPr>
        <w:jc w:val="lowKashida"/>
        <w:rPr>
          <w:rFonts w:ascii="Traditional Arabic" w:eastAsia="Calibri" w:hAnsi="Traditional Arabic" w:cs="Traditional Arabic"/>
          <w:sz w:val="36"/>
          <w:szCs w:val="36"/>
          <w:rtl/>
        </w:rPr>
      </w:pPr>
      <w:r w:rsidRPr="00D45137">
        <w:rPr>
          <w:rFonts w:ascii="Traditional Arabic" w:eastAsia="Calibri" w:hAnsi="Traditional Arabic" w:cs="Traditional Arabic" w:hint="cs"/>
          <w:sz w:val="36"/>
          <w:szCs w:val="36"/>
          <w:rtl/>
        </w:rPr>
        <w:t>واحد منهما</w:t>
      </w:r>
      <w:r w:rsidRPr="008B73F8">
        <w:rPr>
          <w:rFonts w:ascii="Traditional Arabic" w:eastAsia="Calibri" w:hAnsi="Traditional Arabic" w:cs="Traditional Arabic" w:hint="cs"/>
          <w:sz w:val="36"/>
          <w:szCs w:val="36"/>
          <w:rtl/>
        </w:rPr>
        <w:t xml:space="preserve"> يصلي</w:t>
      </w:r>
      <w:r w:rsidRPr="00D45137">
        <w:rPr>
          <w:rFonts w:ascii="Traditional Arabic" w:eastAsia="Calibri" w:hAnsi="Traditional Arabic" w:cs="Traditional Arabic" w:hint="cs"/>
          <w:b/>
          <w:bCs/>
          <w:sz w:val="36"/>
          <w:szCs w:val="36"/>
          <w:rtl/>
        </w:rPr>
        <w:t xml:space="preserve"> </w:t>
      </w:r>
      <w:r w:rsidRPr="00D45137">
        <w:rPr>
          <w:rFonts w:ascii="Traditional Arabic" w:eastAsia="Calibri" w:hAnsi="Traditional Arabic" w:cs="Traditional Arabic" w:hint="cs"/>
          <w:sz w:val="36"/>
          <w:szCs w:val="36"/>
          <w:rtl/>
        </w:rPr>
        <w:t>لنفسه؟</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4"/>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xml:space="preserve"> والذي يظهر لي </w:t>
      </w:r>
      <w:r w:rsidRPr="00D45137">
        <w:rPr>
          <w:rFonts w:ascii="Traditional Arabic" w:eastAsia="Calibri" w:hAnsi="Traditional Arabic" w:cs="Traditional Arabic"/>
          <w:sz w:val="36"/>
          <w:szCs w:val="36"/>
          <w:rtl/>
        </w:rPr>
        <w:t>–</w:t>
      </w:r>
      <w:r w:rsidRPr="00D45137">
        <w:rPr>
          <w:rFonts w:ascii="Traditional Arabic" w:eastAsia="Calibri" w:hAnsi="Traditional Arabic" w:cs="Traditional Arabic" w:hint="cs"/>
          <w:sz w:val="36"/>
          <w:szCs w:val="36"/>
          <w:rtl/>
        </w:rPr>
        <w:t xml:space="preserve"> والعلم عند الله </w:t>
      </w:r>
      <w:r w:rsidRPr="00D45137">
        <w:rPr>
          <w:rFonts w:ascii="Traditional Arabic" w:eastAsia="Calibri" w:hAnsi="Traditional Arabic" w:cs="Traditional Arabic"/>
          <w:sz w:val="36"/>
          <w:szCs w:val="36"/>
          <w:rtl/>
        </w:rPr>
        <w:t>–</w:t>
      </w:r>
      <w:r w:rsidR="00B87A46" w:rsidRPr="00D45137">
        <w:rPr>
          <w:rFonts w:ascii="Traditional Arabic" w:eastAsia="Calibri" w:hAnsi="Traditional Arabic" w:cs="Traditional Arabic" w:hint="cs"/>
          <w:sz w:val="36"/>
          <w:szCs w:val="36"/>
          <w:rtl/>
        </w:rPr>
        <w:t xml:space="preserve"> التث</w:t>
      </w:r>
      <w:r w:rsidRPr="00D45137">
        <w:rPr>
          <w:rFonts w:ascii="Traditional Arabic" w:eastAsia="Calibri" w:hAnsi="Traditional Arabic" w:cs="Traditional Arabic" w:hint="cs"/>
          <w:sz w:val="36"/>
          <w:szCs w:val="36"/>
          <w:rtl/>
        </w:rPr>
        <w:t>ني</w:t>
      </w:r>
      <w:r w:rsidR="00B87A46" w:rsidRPr="00D45137">
        <w:rPr>
          <w:rFonts w:ascii="Traditional Arabic" w:eastAsia="Calibri" w:hAnsi="Traditional Arabic" w:cs="Traditional Arabic" w:hint="cs"/>
          <w:sz w:val="36"/>
          <w:szCs w:val="36"/>
          <w:rtl/>
        </w:rPr>
        <w:t>ة</w:t>
      </w:r>
      <w:r w:rsidRPr="00D45137">
        <w:rPr>
          <w:rFonts w:ascii="Traditional Arabic" w:eastAsia="Calibri" w:hAnsi="Traditional Arabic" w:cs="Traditional Arabic" w:hint="cs"/>
          <w:sz w:val="36"/>
          <w:szCs w:val="36"/>
          <w:rtl/>
        </w:rPr>
        <w:t xml:space="preserve"> أي أن كل </w:t>
      </w:r>
    </w:p>
    <w:p w:rsidR="00CE567A" w:rsidRPr="00D45137" w:rsidRDefault="005C18A7" w:rsidP="000606E4">
      <w:pPr>
        <w:jc w:val="lowKashida"/>
        <w:rPr>
          <w:rFonts w:ascii="Traditional Arabic" w:eastAsia="Calibri" w:hAnsi="Traditional Arabic" w:cs="Traditional Arabic"/>
          <w:sz w:val="36"/>
          <w:szCs w:val="36"/>
        </w:rPr>
      </w:pPr>
      <w:r w:rsidRPr="00D45137">
        <w:rPr>
          <w:rFonts w:ascii="Traditional Arabic" w:eastAsia="Calibri" w:hAnsi="Traditional Arabic" w:cs="Traditional Arabic" w:hint="cs"/>
          <w:sz w:val="36"/>
          <w:szCs w:val="36"/>
          <w:rtl/>
        </w:rPr>
        <w:lastRenderedPageBreak/>
        <w:t>واحد منهما يصلي لنفسه إلا في مواضع مستثناة</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5"/>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xml:space="preserve">، دلت عليها أدلة خاصة ، وكون النبي </w:t>
      </w:r>
      <w:r w:rsidRPr="00D45137">
        <w:rPr>
          <w:rFonts w:ascii="Traditional Arabic" w:eastAsia="Calibri" w:hAnsi="Traditional Arabic" w:cs="Traditional Arabic" w:hint="cs"/>
          <w:sz w:val="36"/>
          <w:szCs w:val="36"/>
        </w:rPr>
        <w:sym w:font="AGA Arabesque" w:char="F072"/>
      </w:r>
      <w:r w:rsidR="000606E4">
        <w:rPr>
          <w:rFonts w:ascii="Traditional Arabic" w:eastAsia="Calibri" w:hAnsi="Traditional Arabic" w:cs="Traditional Arabic" w:hint="cs"/>
          <w:sz w:val="36"/>
          <w:szCs w:val="36"/>
          <w:rtl/>
        </w:rPr>
        <w:t xml:space="preserve"> أخبر عن قول الإمام ( سمع الله لمن</w:t>
      </w:r>
      <w:r w:rsidRPr="00D45137">
        <w:rPr>
          <w:rFonts w:ascii="Traditional Arabic" w:eastAsia="Calibri" w:hAnsi="Traditional Arabic" w:cs="Traditional Arabic" w:hint="cs"/>
          <w:sz w:val="36"/>
          <w:szCs w:val="36"/>
          <w:rtl/>
        </w:rPr>
        <w:t xml:space="preserve"> حمده ) لا ينافي أن يقولها المأموم، كما في حديث أبي هريرة </w:t>
      </w:r>
      <w:r w:rsidRPr="00D45137">
        <w:rPr>
          <w:rFonts w:ascii="Traditional Arabic" w:eastAsia="Calibri" w:hAnsi="Traditional Arabic" w:cs="Traditional Arabic" w:hint="cs"/>
          <w:sz w:val="36"/>
          <w:szCs w:val="36"/>
        </w:rPr>
        <w:sym w:font="AGA Arabesque" w:char="F074"/>
      </w:r>
      <w:r w:rsidRPr="00D45137">
        <w:rPr>
          <w:rFonts w:ascii="Traditional Arabic" w:eastAsia="Calibri" w:hAnsi="Traditional Arabic" w:cs="Traditional Arabic" w:hint="cs"/>
          <w:sz w:val="36"/>
          <w:szCs w:val="36"/>
          <w:rtl/>
        </w:rPr>
        <w:t xml:space="preserve"> (( أن رسول الله </w:t>
      </w:r>
      <w:r w:rsidRPr="00D45137">
        <w:rPr>
          <w:rFonts w:ascii="Traditional Arabic" w:eastAsia="Calibri" w:hAnsi="Traditional Arabic" w:cs="Traditional Arabic" w:hint="cs"/>
          <w:sz w:val="36"/>
          <w:szCs w:val="36"/>
        </w:rPr>
        <w:sym w:font="AGA Arabesque" w:char="F072"/>
      </w:r>
      <w:r w:rsidRPr="00D45137">
        <w:rPr>
          <w:rFonts w:ascii="Traditional Arabic" w:eastAsia="Calibri" w:hAnsi="Traditional Arabic" w:cs="Traditional Arabic" w:hint="cs"/>
          <w:sz w:val="36"/>
          <w:szCs w:val="36"/>
          <w:rtl/>
        </w:rPr>
        <w:t xml:space="preserve"> قال : (( إذا قال الإمام</w:t>
      </w:r>
      <w:r w:rsidRPr="00F410EC">
        <w:rPr>
          <w:rFonts w:ascii="Traditional Arabic" w:hAnsi="Traditional Arabic" w:cs="Traditional Arabic" w:hint="cs"/>
          <w:rtl/>
        </w:rPr>
        <w:t xml:space="preserve"> </w:t>
      </w:r>
      <w:r w:rsidRPr="00F410EC">
        <w:rPr>
          <w:rFonts w:ascii="QCF_BSML" w:hAnsi="QCF_BSML" w:cs="QCF_BSML"/>
          <w:color w:val="000000"/>
          <w:sz w:val="35"/>
          <w:szCs w:val="35"/>
          <w:rtl/>
        </w:rPr>
        <w:t>ﭽ</w:t>
      </w:r>
      <w:r w:rsidRPr="00F410EC">
        <w:rPr>
          <w:rFonts w:ascii="QCF_P001" w:hAnsi="QCF_P001" w:cs="QCF_P001"/>
          <w:color w:val="000000"/>
          <w:sz w:val="35"/>
          <w:szCs w:val="35"/>
          <w:rtl/>
        </w:rPr>
        <w:t xml:space="preserve"> ﭯ  ﭰ  ﭱ   ﭲ  ﭳ  ﭴ   </w:t>
      </w:r>
      <w:r w:rsidRPr="00F410EC">
        <w:rPr>
          <w:rFonts w:ascii="QCF_BSML" w:hAnsi="QCF_BSML" w:cs="QCF_BSML"/>
          <w:color w:val="000000"/>
          <w:sz w:val="35"/>
          <w:szCs w:val="35"/>
          <w:rtl/>
        </w:rPr>
        <w:t>ﭼ</w:t>
      </w:r>
      <w:r w:rsidRPr="00F410EC">
        <w:rPr>
          <w:rFonts w:ascii="Arial" w:hAnsi="Arial" w:cs="Arial"/>
          <w:color w:val="000000"/>
          <w:sz w:val="6"/>
          <w:szCs w:val="6"/>
          <w:rtl/>
        </w:rPr>
        <w:t xml:space="preserve"> </w:t>
      </w:r>
      <w:r>
        <w:rPr>
          <w:rFonts w:ascii="Traditional Arabic" w:hAnsi="Traditional Arabic" w:cs="Traditional Arabic" w:hint="cs"/>
          <w:sz w:val="36"/>
          <w:szCs w:val="36"/>
          <w:rtl/>
        </w:rPr>
        <w:t xml:space="preserve"> </w:t>
      </w:r>
      <w:r w:rsidRPr="00D45137">
        <w:rPr>
          <w:rFonts w:ascii="Traditional Arabic" w:eastAsia="Calibri" w:hAnsi="Traditional Arabic" w:cs="Traditional Arabic" w:hint="cs"/>
          <w:sz w:val="36"/>
          <w:szCs w:val="36"/>
          <w:rtl/>
        </w:rPr>
        <w:t>فق</w:t>
      </w:r>
      <w:r w:rsidR="008B73F8">
        <w:rPr>
          <w:rFonts w:ascii="Traditional Arabic" w:eastAsia="Calibri" w:hAnsi="Traditional Arabic" w:cs="Traditional Arabic" w:hint="cs"/>
          <w:sz w:val="36"/>
          <w:szCs w:val="36"/>
          <w:rtl/>
        </w:rPr>
        <w:t>ول</w:t>
      </w:r>
      <w:r w:rsidRPr="00D45137">
        <w:rPr>
          <w:rFonts w:ascii="Traditional Arabic" w:eastAsia="Calibri" w:hAnsi="Traditional Arabic" w:cs="Traditional Arabic" w:hint="cs"/>
          <w:sz w:val="36"/>
          <w:szCs w:val="36"/>
          <w:rtl/>
        </w:rPr>
        <w:t>وا:آمين فإنه من وافق قوله قول الملائكة، غفر له ما تقدم من ذنبه))</w:t>
      </w:r>
      <w:r w:rsidR="00D45137" w:rsidRPr="00D45137">
        <w:rPr>
          <w:rStyle w:val="a5"/>
          <w:rFonts w:ascii="Tahoma" w:hAnsi="Tahoma" w:cs="Traditional Arabic"/>
          <w:sz w:val="36"/>
          <w:szCs w:val="36"/>
          <w:rtl/>
        </w:rPr>
        <w:t xml:space="preserve"> (</w:t>
      </w:r>
      <w:r w:rsidR="00D45137" w:rsidRPr="00D45137">
        <w:rPr>
          <w:rStyle w:val="a5"/>
          <w:rFonts w:ascii="Tahoma" w:hAnsi="Tahoma" w:cs="Traditional Arabic"/>
          <w:sz w:val="36"/>
          <w:szCs w:val="36"/>
          <w:rtl/>
        </w:rPr>
        <w:footnoteReference w:id="16"/>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فإن هذا لا ينافي أن يقول المأموم</w:t>
      </w:r>
      <w:r w:rsidRPr="00D45137">
        <w:rPr>
          <w:rFonts w:ascii="Traditional Arabic" w:hAnsi="Traditional Arabic" w:cs="Traditional Arabic" w:hint="cs"/>
          <w:sz w:val="36"/>
          <w:szCs w:val="36"/>
          <w:rtl/>
        </w:rPr>
        <w:t xml:space="preserve"> </w:t>
      </w:r>
      <w:r w:rsidRPr="00F410EC">
        <w:rPr>
          <w:rFonts w:ascii="QCF_BSML" w:hAnsi="QCF_BSML" w:cs="QCF_BSML"/>
          <w:color w:val="000000"/>
          <w:sz w:val="35"/>
          <w:szCs w:val="35"/>
          <w:rtl/>
        </w:rPr>
        <w:t>ﭽ</w:t>
      </w:r>
      <w:r w:rsidRPr="00F410EC">
        <w:rPr>
          <w:rFonts w:ascii="QCF_P001" w:hAnsi="QCF_P001" w:cs="QCF_P001"/>
          <w:color w:val="000000"/>
          <w:sz w:val="35"/>
          <w:szCs w:val="35"/>
          <w:rtl/>
        </w:rPr>
        <w:t xml:space="preserve"> ﭯ  ﭰ  ﭱ   ﭲ  ﭳ  ﭴ   </w:t>
      </w:r>
      <w:r w:rsidRPr="00F410EC">
        <w:rPr>
          <w:rFonts w:ascii="QCF_BSML" w:hAnsi="QCF_BSML" w:cs="QCF_BSML"/>
          <w:color w:val="000000"/>
          <w:sz w:val="35"/>
          <w:szCs w:val="35"/>
          <w:rtl/>
        </w:rPr>
        <w:t>ﭼ</w:t>
      </w:r>
      <w:r w:rsidRPr="00F410EC">
        <w:rPr>
          <w:rFonts w:ascii="Arial" w:hAnsi="Arial" w:cs="Arial"/>
          <w:color w:val="000000"/>
          <w:sz w:val="6"/>
          <w:szCs w:val="6"/>
          <w:rtl/>
        </w:rPr>
        <w:t xml:space="preserve"> </w:t>
      </w:r>
      <w:r>
        <w:rPr>
          <w:rFonts w:ascii="Traditional Arabic" w:hAnsi="Traditional Arabic" w:cs="Traditional Arabic" w:hint="cs"/>
          <w:sz w:val="36"/>
          <w:szCs w:val="36"/>
          <w:rtl/>
        </w:rPr>
        <w:t xml:space="preserve"> </w:t>
      </w:r>
      <w:r w:rsidRPr="00D45137">
        <w:rPr>
          <w:rFonts w:ascii="Traditional Arabic" w:eastAsia="Calibri" w:hAnsi="Traditional Arabic" w:cs="Traditional Arabic" w:hint="cs"/>
          <w:sz w:val="36"/>
          <w:szCs w:val="36"/>
          <w:rtl/>
        </w:rPr>
        <w:t>ولا أن يقول الإمام (( آمين))</w:t>
      </w:r>
      <w:r w:rsidR="00D45137" w:rsidRPr="00D45137">
        <w:rPr>
          <w:rStyle w:val="a5"/>
          <w:rFonts w:ascii="Tahoma" w:hAnsi="Tahoma" w:cs="Traditional Arabic"/>
          <w:sz w:val="36"/>
          <w:szCs w:val="36"/>
          <w:rtl/>
        </w:rPr>
        <w:t xml:space="preserve"> (</w:t>
      </w:r>
      <w:r w:rsidR="00D45137" w:rsidRPr="00D45137">
        <w:rPr>
          <w:rStyle w:val="a5"/>
          <w:rFonts w:ascii="Tahoma" w:hAnsi="Tahoma" w:cs="Traditional Arabic"/>
          <w:sz w:val="36"/>
          <w:szCs w:val="36"/>
          <w:rtl/>
        </w:rPr>
        <w:footnoteReference w:id="17"/>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xml:space="preserve"> وقد اختار هذا القول جماعة من المحققين من أهل العلم منهم النووي</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8"/>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والألباني</w:t>
      </w:r>
      <w:r w:rsidR="00D45137" w:rsidRPr="00D45137">
        <w:rPr>
          <w:rStyle w:val="a5"/>
          <w:rFonts w:ascii="Tahoma" w:hAnsi="Tahoma" w:cs="Traditional Arabic"/>
          <w:sz w:val="36"/>
          <w:szCs w:val="36"/>
          <w:rtl/>
        </w:rPr>
        <w:t>(</w:t>
      </w:r>
      <w:r w:rsidR="00D45137" w:rsidRPr="00D45137">
        <w:rPr>
          <w:rStyle w:val="a5"/>
          <w:rFonts w:ascii="Tahoma" w:hAnsi="Tahoma" w:cs="Traditional Arabic"/>
          <w:sz w:val="36"/>
          <w:szCs w:val="36"/>
          <w:rtl/>
        </w:rPr>
        <w:footnoteReference w:id="19"/>
      </w:r>
      <w:r w:rsidR="00D45137" w:rsidRPr="00D45137">
        <w:rPr>
          <w:rStyle w:val="a5"/>
          <w:rFonts w:ascii="Tahoma" w:hAnsi="Tahoma" w:cs="Traditional Arabic"/>
          <w:sz w:val="36"/>
          <w:szCs w:val="36"/>
          <w:rtl/>
        </w:rPr>
        <w:t>)</w:t>
      </w:r>
      <w:r w:rsidRPr="00D45137">
        <w:rPr>
          <w:rFonts w:ascii="Traditional Arabic" w:eastAsia="Calibri" w:hAnsi="Traditional Arabic" w:cs="Traditional Arabic" w:hint="cs"/>
          <w:sz w:val="36"/>
          <w:szCs w:val="36"/>
          <w:rtl/>
        </w:rPr>
        <w:t>، والله عز وجل أعلى وأعلم.</w:t>
      </w:r>
    </w:p>
    <w:sectPr w:rsidR="00CE567A" w:rsidRPr="00D45137" w:rsidSect="00945C9D">
      <w:headerReference w:type="default" r:id="rId8"/>
      <w:footerReference w:type="default" r:id="rId9"/>
      <w:footnotePr>
        <w:numRestart w:val="eachPage"/>
      </w:footnotePr>
      <w:pgSz w:w="11906" w:h="16838"/>
      <w:pgMar w:top="1245" w:right="1800" w:bottom="1440" w:left="1800" w:header="708" w:footer="708" w:gutter="0"/>
      <w:pgNumType w:fmt="numberInDash" w:start="7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2B9" w:rsidRDefault="006D52B9" w:rsidP="005C18A7">
      <w:r>
        <w:separator/>
      </w:r>
    </w:p>
  </w:endnote>
  <w:endnote w:type="continuationSeparator" w:id="1">
    <w:p w:rsidR="006D52B9" w:rsidRDefault="006D52B9" w:rsidP="005C18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41153766"/>
      <w:docPartObj>
        <w:docPartGallery w:val="Page Numbers (Bottom of Page)"/>
        <w:docPartUnique/>
      </w:docPartObj>
    </w:sdtPr>
    <w:sdtContent>
      <w:p w:rsidR="00945C9D" w:rsidRDefault="00257B55" w:rsidP="00945C9D">
        <w:pPr>
          <w:pStyle w:val="a8"/>
          <w:jc w:val="center"/>
        </w:pPr>
        <w:fldSimple w:instr=" PAGE   \* MERGEFORMAT ">
          <w:r w:rsidR="000606E4">
            <w:rPr>
              <w:noProof/>
              <w:rtl/>
            </w:rPr>
            <w:t>- 79 -</w:t>
          </w:r>
        </w:fldSimple>
      </w:p>
    </w:sdtContent>
  </w:sdt>
  <w:p w:rsidR="00945C9D" w:rsidRDefault="00945C9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2B9" w:rsidRDefault="006D52B9" w:rsidP="005C18A7">
      <w:r>
        <w:separator/>
      </w:r>
    </w:p>
  </w:footnote>
  <w:footnote w:type="continuationSeparator" w:id="1">
    <w:p w:rsidR="006D52B9" w:rsidRDefault="006D52B9" w:rsidP="005C18A7">
      <w:r>
        <w:continuationSeparator/>
      </w:r>
    </w:p>
  </w:footnote>
  <w:footnote w:id="2">
    <w:p w:rsidR="00D45137" w:rsidRPr="007A24F6" w:rsidRDefault="00D45137" w:rsidP="003A088D">
      <w:pPr>
        <w:pStyle w:val="a4"/>
        <w:ind w:left="369" w:hanging="425"/>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cs="Traditional Arabic" w:hint="cs"/>
          <w:sz w:val="32"/>
          <w:szCs w:val="32"/>
          <w:rtl/>
        </w:rPr>
        <w:t xml:space="preserve"> </w:t>
      </w:r>
      <w:r w:rsidRPr="007A24F6">
        <w:rPr>
          <w:rFonts w:ascii="Traditional Arabic" w:eastAsia="Calibri" w:hAnsi="Traditional Arabic" w:cs="Traditional Arabic" w:hint="cs"/>
          <w:sz w:val="32"/>
          <w:szCs w:val="32"/>
          <w:rtl/>
        </w:rPr>
        <w:t>انظر : مرعاة المفاتيح  ( 3 /190) .</w:t>
      </w:r>
    </w:p>
  </w:footnote>
  <w:footnote w:id="3">
    <w:p w:rsidR="00490564" w:rsidRPr="007A24F6" w:rsidRDefault="00490564" w:rsidP="00490564">
      <w:pPr>
        <w:pStyle w:val="a4"/>
        <w:ind w:left="369" w:hanging="425"/>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w:t>
      </w:r>
      <w:r w:rsidRPr="007A24F6">
        <w:rPr>
          <w:rFonts w:ascii="Traditional Arabic" w:eastAsia="Calibri" w:hAnsi="Traditional Arabic" w:cs="Traditional Arabic"/>
          <w:sz w:val="32"/>
          <w:szCs w:val="32"/>
          <w:rtl/>
        </w:rPr>
        <w:t>نظر:</w:t>
      </w:r>
      <w:r w:rsidRPr="007A24F6">
        <w:rPr>
          <w:rFonts w:ascii="Traditional Arabic" w:eastAsia="Calibri" w:hAnsi="Traditional Arabic" w:cs="Traditional Arabic" w:hint="cs"/>
          <w:sz w:val="32"/>
          <w:szCs w:val="32"/>
          <w:rtl/>
        </w:rPr>
        <w:t xml:space="preserve"> بدائع الصنائع (2/56) ، فتح القدير (1/298)</w:t>
      </w:r>
      <w:r w:rsidRPr="007A24F6">
        <w:rPr>
          <w:rFonts w:ascii="Traditional Arabic" w:hAnsi="Traditional Arabic" w:cs="Traditional Arabic" w:hint="cs"/>
          <w:sz w:val="32"/>
          <w:szCs w:val="32"/>
          <w:rtl/>
        </w:rPr>
        <w:t xml:space="preserve"> .</w:t>
      </w:r>
    </w:p>
  </w:footnote>
  <w:footnote w:id="4">
    <w:p w:rsidR="00490564" w:rsidRPr="007A24F6" w:rsidRDefault="00490564" w:rsidP="00490564">
      <w:pPr>
        <w:pStyle w:val="a4"/>
        <w:ind w:left="369" w:hanging="425"/>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انظر : المدونة (1/168) , عيون المجالس (1/301)، المعونة (1/221) ، التلقين (1/46) ,  عقد الجواهر الثمينة (1/104).</w:t>
      </w:r>
    </w:p>
  </w:footnote>
  <w:footnote w:id="5">
    <w:p w:rsidR="00490564" w:rsidRPr="007A24F6" w:rsidRDefault="00490564" w:rsidP="00490564">
      <w:pPr>
        <w:pStyle w:val="a4"/>
        <w:ind w:left="369" w:hanging="425"/>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انظر: المغني (2/189) ، المستوعب (2/155) ، الإنصاف (2/64) , منار السبيل (78)</w:t>
      </w:r>
      <w:r w:rsidRPr="007A24F6">
        <w:rPr>
          <w:rFonts w:ascii="Traditional Arabic" w:hAnsi="Traditional Arabic" w:cs="Traditional Arabic" w:hint="cs"/>
          <w:sz w:val="32"/>
          <w:szCs w:val="32"/>
          <w:rtl/>
        </w:rPr>
        <w:t xml:space="preserve"> .</w:t>
      </w:r>
    </w:p>
  </w:footnote>
  <w:footnote w:id="6">
    <w:p w:rsidR="00490564" w:rsidRPr="007A24F6" w:rsidRDefault="00490564" w:rsidP="00490564">
      <w:pPr>
        <w:pStyle w:val="a4"/>
        <w:ind w:left="369" w:hanging="425"/>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 xml:space="preserve">انظر : </w:t>
      </w:r>
      <w:r w:rsidRPr="007A24F6">
        <w:rPr>
          <w:rFonts w:ascii="Traditional Arabic" w:hAnsi="Traditional Arabic" w:cs="Traditional Arabic" w:hint="cs"/>
          <w:sz w:val="32"/>
          <w:szCs w:val="32"/>
          <w:rtl/>
        </w:rPr>
        <w:t xml:space="preserve">الحاوي (2/123) , </w:t>
      </w:r>
      <w:r w:rsidRPr="007A24F6">
        <w:rPr>
          <w:rFonts w:ascii="Traditional Arabic" w:eastAsia="Calibri" w:hAnsi="Traditional Arabic" w:cs="Traditional Arabic" w:hint="cs"/>
          <w:sz w:val="32"/>
          <w:szCs w:val="32"/>
          <w:rtl/>
        </w:rPr>
        <w:t>البيان (2/213) ، المجموع (3/273).</w:t>
      </w:r>
    </w:p>
  </w:footnote>
  <w:footnote w:id="7">
    <w:p w:rsidR="00490564" w:rsidRPr="007A24F6" w:rsidRDefault="00490564" w:rsidP="00490564">
      <w:pPr>
        <w:pStyle w:val="a4"/>
        <w:ind w:left="369" w:hanging="425"/>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انظر : الإنصاف (2/64).</w:t>
      </w:r>
      <w:r w:rsidRPr="007A24F6">
        <w:rPr>
          <w:rFonts w:ascii="Traditional Arabic" w:hAnsi="Traditional Arabic" w:cs="Traditional Arabic"/>
          <w:sz w:val="32"/>
          <w:szCs w:val="32"/>
          <w:rtl/>
        </w:rPr>
        <w:t xml:space="preserve"> </w:t>
      </w:r>
    </w:p>
  </w:footnote>
  <w:footnote w:id="8">
    <w:p w:rsidR="00D45137" w:rsidRPr="007A24F6" w:rsidRDefault="00D45137" w:rsidP="008B73F8">
      <w:pPr>
        <w:pStyle w:val="a4"/>
        <w:ind w:left="369" w:hanging="425"/>
        <w:jc w:val="lowKashida"/>
        <w:rPr>
          <w:rFonts w:ascii="Traditional Arabic" w:eastAsia="Calibri"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00F95F24" w:rsidRPr="007A24F6">
        <w:rPr>
          <w:rFonts w:ascii="Traditional Arabic" w:eastAsia="Calibri" w:hAnsi="Traditional Arabic" w:cs="Traditional Arabic" w:hint="cs"/>
          <w:sz w:val="32"/>
          <w:szCs w:val="32"/>
          <w:rtl/>
        </w:rPr>
        <w:t xml:space="preserve"> </w:t>
      </w:r>
      <w:r w:rsidR="008B73F8">
        <w:rPr>
          <w:rFonts w:ascii="Traditional Arabic" w:eastAsia="Calibri" w:hAnsi="Traditional Arabic" w:cs="Traditional Arabic" w:hint="cs"/>
          <w:sz w:val="32"/>
          <w:szCs w:val="32"/>
          <w:rtl/>
        </w:rPr>
        <w:t>سبق تخريجه ص (75) .</w:t>
      </w:r>
    </w:p>
  </w:footnote>
  <w:footnote w:id="9">
    <w:p w:rsidR="00D45137" w:rsidRPr="007A24F6" w:rsidRDefault="00D45137" w:rsidP="003A088D">
      <w:pPr>
        <w:pStyle w:val="a4"/>
        <w:ind w:left="369" w:hanging="426"/>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انظر : المعونة (1/222).</w:t>
      </w:r>
    </w:p>
  </w:footnote>
  <w:footnote w:id="10">
    <w:p w:rsidR="00D45137" w:rsidRPr="007A24F6" w:rsidRDefault="00D45137" w:rsidP="003A088D">
      <w:pPr>
        <w:pStyle w:val="a4"/>
        <w:ind w:left="369" w:hanging="426"/>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انظر : المغني (2/189)</w:t>
      </w:r>
      <w:r w:rsidR="00F95F24" w:rsidRPr="007A24F6">
        <w:rPr>
          <w:rFonts w:ascii="Traditional Arabic" w:hAnsi="Traditional Arabic" w:cs="Traditional Arabic" w:hint="cs"/>
          <w:sz w:val="32"/>
          <w:szCs w:val="32"/>
          <w:rtl/>
        </w:rPr>
        <w:t xml:space="preserve"> .</w:t>
      </w:r>
    </w:p>
  </w:footnote>
  <w:footnote w:id="11">
    <w:p w:rsidR="00D45137" w:rsidRPr="007A24F6" w:rsidRDefault="00D45137" w:rsidP="008B73F8">
      <w:pPr>
        <w:pStyle w:val="a4"/>
        <w:ind w:left="369" w:hanging="426"/>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008B73F8">
        <w:rPr>
          <w:rFonts w:ascii="Traditional Arabic" w:eastAsia="Calibri" w:hAnsi="Traditional Arabic" w:cs="Traditional Arabic" w:hint="cs"/>
          <w:sz w:val="32"/>
          <w:szCs w:val="32"/>
          <w:rtl/>
        </w:rPr>
        <w:t>تقدم تخريجه ص (75) .</w:t>
      </w:r>
    </w:p>
  </w:footnote>
  <w:footnote w:id="12">
    <w:p w:rsidR="00D45137" w:rsidRPr="007A24F6" w:rsidRDefault="00D45137" w:rsidP="008B73F8">
      <w:pPr>
        <w:pStyle w:val="a4"/>
        <w:ind w:left="369" w:hanging="426"/>
        <w:jc w:val="lowKashida"/>
        <w:rPr>
          <w:rFonts w:ascii="Traditional Arabic" w:eastAsia="Calibri"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eastAsia="Calibri" w:hAnsi="Traditional Arabic" w:cs="Traditional Arabic" w:hint="cs"/>
          <w:sz w:val="32"/>
          <w:szCs w:val="32"/>
          <w:rtl/>
        </w:rPr>
        <w:t xml:space="preserve"> </w:t>
      </w:r>
      <w:r w:rsidR="008B73F8">
        <w:rPr>
          <w:rFonts w:ascii="Traditional Arabic" w:eastAsia="Calibri" w:hAnsi="Traditional Arabic" w:cs="Traditional Arabic" w:hint="cs"/>
          <w:sz w:val="32"/>
          <w:szCs w:val="32"/>
          <w:rtl/>
        </w:rPr>
        <w:t>تقدم</w:t>
      </w:r>
      <w:r w:rsidRPr="007A24F6">
        <w:rPr>
          <w:rFonts w:ascii="Traditional Arabic" w:eastAsia="Calibri" w:hAnsi="Traditional Arabic" w:cs="Traditional Arabic"/>
          <w:sz w:val="32"/>
          <w:szCs w:val="32"/>
          <w:rtl/>
        </w:rPr>
        <w:t xml:space="preserve"> تخريج</w:t>
      </w:r>
      <w:r w:rsidRPr="007A24F6">
        <w:rPr>
          <w:rFonts w:ascii="Traditional Arabic" w:eastAsia="Calibri" w:hAnsi="Traditional Arabic" w:cs="Traditional Arabic" w:hint="cs"/>
          <w:sz w:val="32"/>
          <w:szCs w:val="32"/>
          <w:rtl/>
        </w:rPr>
        <w:t xml:space="preserve">ه </w:t>
      </w:r>
      <w:r w:rsidR="008B73F8">
        <w:rPr>
          <w:rFonts w:ascii="Traditional Arabic" w:eastAsia="Calibri" w:hAnsi="Traditional Arabic" w:cs="Traditional Arabic" w:hint="cs"/>
          <w:sz w:val="32"/>
          <w:szCs w:val="32"/>
          <w:rtl/>
        </w:rPr>
        <w:t xml:space="preserve">ص (70) </w:t>
      </w:r>
      <w:r w:rsidRPr="007A24F6">
        <w:rPr>
          <w:rFonts w:ascii="Traditional Arabic" w:eastAsia="Calibri" w:hAnsi="Traditional Arabic" w:cs="Traditional Arabic" w:hint="cs"/>
          <w:sz w:val="32"/>
          <w:szCs w:val="32"/>
          <w:rtl/>
        </w:rPr>
        <w:t>.</w:t>
      </w:r>
    </w:p>
  </w:footnote>
  <w:footnote w:id="13">
    <w:p w:rsidR="00D45137" w:rsidRPr="007A24F6" w:rsidRDefault="00D45137" w:rsidP="003A088D">
      <w:pPr>
        <w:pStyle w:val="a4"/>
        <w:ind w:left="369" w:hanging="426"/>
        <w:jc w:val="lowKashida"/>
        <w:rPr>
          <w:rFonts w:ascii="Traditional Arabic" w:hAnsi="Traditional Arabic" w:cs="Traditional Arabic"/>
          <w:sz w:val="32"/>
          <w:szCs w:val="32"/>
        </w:rPr>
      </w:pPr>
      <w:r w:rsidRPr="007A24F6">
        <w:rPr>
          <w:rFonts w:eastAsia="Calibri" w:cs="Traditional Arabic"/>
          <w:sz w:val="32"/>
          <w:szCs w:val="32"/>
          <w:rtl/>
        </w:rPr>
        <w:t>(</w:t>
      </w:r>
      <w:r w:rsidRPr="007A24F6">
        <w:rPr>
          <w:rFonts w:eastAsia="Calibri" w:cs="Traditional Arabic"/>
          <w:sz w:val="32"/>
          <w:szCs w:val="32"/>
          <w:rtl/>
        </w:rPr>
        <w:footnoteRef/>
      </w:r>
      <w:r w:rsidRPr="007A24F6">
        <w:rPr>
          <w:rFonts w:eastAsia="Calibri" w:cs="Traditional Arabic"/>
          <w:sz w:val="32"/>
          <w:szCs w:val="32"/>
          <w:rtl/>
        </w:rPr>
        <w:t>)</w:t>
      </w:r>
      <w:r w:rsidR="00F95F24" w:rsidRPr="007A24F6">
        <w:rPr>
          <w:rFonts w:ascii="Traditional Arabic" w:eastAsia="Calibri" w:hAnsi="Traditional Arabic" w:cs="Traditional Arabic" w:hint="cs"/>
          <w:sz w:val="32"/>
          <w:szCs w:val="32"/>
          <w:rtl/>
        </w:rPr>
        <w:t>ا</w:t>
      </w:r>
      <w:r w:rsidRPr="007A24F6">
        <w:rPr>
          <w:rFonts w:ascii="Traditional Arabic" w:eastAsia="Calibri" w:hAnsi="Traditional Arabic" w:cs="Traditional Arabic"/>
          <w:sz w:val="32"/>
          <w:szCs w:val="32"/>
          <w:rtl/>
        </w:rPr>
        <w:t>نظر: البيان (2/213) ، المجموع (3/273)</w:t>
      </w:r>
      <w:r w:rsidR="00F95F24" w:rsidRPr="007A24F6">
        <w:rPr>
          <w:rFonts w:ascii="Traditional Arabic" w:hAnsi="Traditional Arabic" w:cs="Traditional Arabic" w:hint="cs"/>
          <w:sz w:val="32"/>
          <w:szCs w:val="32"/>
          <w:rtl/>
        </w:rPr>
        <w:t xml:space="preserve"> . </w:t>
      </w:r>
    </w:p>
  </w:footnote>
  <w:footnote w:id="14">
    <w:p w:rsidR="003A088D" w:rsidRDefault="00D45137" w:rsidP="003A088D">
      <w:pPr>
        <w:pStyle w:val="a4"/>
        <w:ind w:left="369" w:hanging="426"/>
        <w:jc w:val="lowKashida"/>
        <w:rPr>
          <w:rFonts w:ascii="Traditional Arabic" w:eastAsia="Calibri" w:hAnsi="Traditional Arabic" w:cs="Traditional Arabic"/>
          <w:sz w:val="32"/>
          <w:szCs w:val="32"/>
          <w:rtl/>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00EF1674">
        <w:rPr>
          <w:rFonts w:ascii="Traditional Arabic" w:eastAsia="Calibri" w:hAnsi="Traditional Arabic" w:cs="Traditional Arabic"/>
          <w:sz w:val="32"/>
          <w:szCs w:val="32"/>
          <w:rtl/>
        </w:rPr>
        <w:t>قال شيخ ال</w:t>
      </w:r>
      <w:r w:rsidR="00EF1674">
        <w:rPr>
          <w:rFonts w:ascii="Traditional Arabic" w:eastAsia="Calibri" w:hAnsi="Traditional Arabic" w:cs="Traditional Arabic" w:hint="cs"/>
          <w:sz w:val="32"/>
          <w:szCs w:val="32"/>
          <w:rtl/>
        </w:rPr>
        <w:t>إ</w:t>
      </w:r>
      <w:r w:rsidRPr="007A24F6">
        <w:rPr>
          <w:rFonts w:ascii="Traditional Arabic" w:eastAsia="Calibri" w:hAnsi="Traditional Arabic" w:cs="Traditional Arabic"/>
          <w:sz w:val="32"/>
          <w:szCs w:val="32"/>
          <w:rtl/>
        </w:rPr>
        <w:t>سلام ابن تيمية في مجموع الفتاوي (23/328): (( وهذا الاختلاف شبيه باختلافهم في صلاة ال</w:t>
      </w:r>
      <w:r w:rsidR="00EF1674">
        <w:rPr>
          <w:rFonts w:ascii="Traditional Arabic" w:eastAsia="Calibri" w:hAnsi="Traditional Arabic" w:cs="Traditional Arabic"/>
          <w:sz w:val="32"/>
          <w:szCs w:val="32"/>
          <w:rtl/>
        </w:rPr>
        <w:t>مأموم : هل هي مبنية على صلاة ال</w:t>
      </w:r>
      <w:r w:rsidR="00EF1674">
        <w:rPr>
          <w:rFonts w:ascii="Traditional Arabic" w:eastAsia="Calibri" w:hAnsi="Traditional Arabic" w:cs="Traditional Arabic" w:hint="cs"/>
          <w:sz w:val="32"/>
          <w:szCs w:val="32"/>
          <w:rtl/>
        </w:rPr>
        <w:t>إ</w:t>
      </w:r>
      <w:r w:rsidRPr="007A24F6">
        <w:rPr>
          <w:rFonts w:ascii="Traditional Arabic" w:eastAsia="Calibri" w:hAnsi="Traditional Arabic" w:cs="Traditional Arabic"/>
          <w:sz w:val="32"/>
          <w:szCs w:val="32"/>
          <w:rtl/>
        </w:rPr>
        <w:t>مام؟ أم كل واحد منهما يصلي لنفسه؟ كما تقدم التنبيه عليه فأصل أبي حنيفة أنها داخلة فيها</w:t>
      </w:r>
      <w:r w:rsidR="00EF1674">
        <w:rPr>
          <w:rFonts w:ascii="Traditional Arabic" w:eastAsia="Calibri" w:hAnsi="Traditional Arabic" w:cs="Traditional Arabic" w:hint="cs"/>
          <w:sz w:val="32"/>
          <w:szCs w:val="32"/>
          <w:rtl/>
        </w:rPr>
        <w:t xml:space="preserve"> </w:t>
      </w:r>
      <w:r w:rsidRPr="007A24F6">
        <w:rPr>
          <w:rFonts w:ascii="Traditional Arabic" w:eastAsia="Calibri" w:hAnsi="Traditional Arabic" w:cs="Traditional Arabic"/>
          <w:sz w:val="32"/>
          <w:szCs w:val="32"/>
          <w:rtl/>
        </w:rPr>
        <w:t xml:space="preserve">ومبنية عليها مطلقا حتى أنه يجب الاعادة على المأموم حيث وجبت الإعادة على الإمام، وأصل الشافعي: أن كل رجل يصلي لنفسه، لا يقوم مقامه لا في فرض ولا سنة ولهذا أمر المأموم بالتسميع وأوجب عليه القراءة ولم يبطل صلاته بنقص صلاة الإمام إلا في مواضع مستثناة كتحمل الإمام عن المأموم سجود السهو وتحمل القراءة إذا كان المأموم مسبوقا وإبطال صلاة القارئ خلف الأمي ونحو ذلك وأمام مالك وأحمد فإنها </w:t>
      </w:r>
    </w:p>
    <w:p w:rsidR="00D45137" w:rsidRPr="007A24F6" w:rsidRDefault="00D45137" w:rsidP="003A088D">
      <w:pPr>
        <w:pStyle w:val="a4"/>
        <w:ind w:left="369"/>
        <w:jc w:val="lowKashida"/>
        <w:rPr>
          <w:rFonts w:ascii="Traditional Arabic" w:hAnsi="Traditional Arabic" w:cs="Traditional Arabic"/>
          <w:sz w:val="32"/>
          <w:szCs w:val="32"/>
        </w:rPr>
      </w:pPr>
      <w:r w:rsidRPr="007A24F6">
        <w:rPr>
          <w:rFonts w:ascii="Traditional Arabic" w:eastAsia="Calibri" w:hAnsi="Traditional Arabic" w:cs="Traditional Arabic"/>
          <w:sz w:val="32"/>
          <w:szCs w:val="32"/>
          <w:rtl/>
        </w:rPr>
        <w:t>مبنية عليها من وجه دون وجه ...)).</w:t>
      </w:r>
      <w:r w:rsidRPr="007A24F6">
        <w:rPr>
          <w:rFonts w:ascii="Traditional Arabic" w:hAnsi="Traditional Arabic" w:cs="Traditional Arabic"/>
          <w:sz w:val="32"/>
          <w:szCs w:val="32"/>
          <w:rtl/>
        </w:rPr>
        <w:t xml:space="preserve"> </w:t>
      </w:r>
    </w:p>
  </w:footnote>
  <w:footnote w:id="15">
    <w:p w:rsidR="00D45137" w:rsidRPr="007A24F6" w:rsidRDefault="00D45137" w:rsidP="003A088D">
      <w:pPr>
        <w:pStyle w:val="a4"/>
        <w:ind w:left="369" w:hanging="426"/>
        <w:jc w:val="lowKashida"/>
        <w:rPr>
          <w:rFonts w:ascii="Traditional Arabic" w:eastAsia="Calibri"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sz w:val="32"/>
          <w:szCs w:val="32"/>
          <w:rtl/>
        </w:rPr>
        <w:t>كتحمل الإمام عن المأموم سجود السهو ، وتحمل القراءة إذا كان المأموم مسبوقا وإبطال صلاة القارئ خلف الأمي، ونحو ذلك، وينظر : مجموع الفتاوي (23/328).</w:t>
      </w:r>
    </w:p>
  </w:footnote>
  <w:footnote w:id="16">
    <w:p w:rsidR="00D45137" w:rsidRPr="007A24F6" w:rsidRDefault="00D45137" w:rsidP="003A088D">
      <w:pPr>
        <w:pStyle w:val="a4"/>
        <w:ind w:left="369" w:hanging="426"/>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sz w:val="32"/>
          <w:szCs w:val="32"/>
          <w:rtl/>
        </w:rPr>
        <w:t>تقدم تخريج</w:t>
      </w:r>
      <w:r w:rsidRPr="007A24F6">
        <w:rPr>
          <w:rFonts w:ascii="Traditional Arabic" w:eastAsia="Calibri" w:hAnsi="Traditional Arabic" w:cs="Traditional Arabic" w:hint="cs"/>
          <w:sz w:val="32"/>
          <w:szCs w:val="32"/>
          <w:rtl/>
        </w:rPr>
        <w:t>ه</w:t>
      </w:r>
      <w:r w:rsidR="008B73F8">
        <w:rPr>
          <w:rFonts w:ascii="Traditional Arabic" w:hAnsi="Traditional Arabic" w:cs="Traditional Arabic" w:hint="cs"/>
          <w:sz w:val="32"/>
          <w:szCs w:val="32"/>
          <w:rtl/>
        </w:rPr>
        <w:t xml:space="preserve"> ص (76) </w:t>
      </w:r>
      <w:r w:rsidRPr="007A24F6">
        <w:rPr>
          <w:rFonts w:ascii="Traditional Arabic" w:hAnsi="Traditional Arabic" w:cs="Traditional Arabic"/>
          <w:sz w:val="32"/>
          <w:szCs w:val="32"/>
          <w:rtl/>
        </w:rPr>
        <w:t>.</w:t>
      </w:r>
    </w:p>
  </w:footnote>
  <w:footnote w:id="17">
    <w:p w:rsidR="00D45137" w:rsidRPr="007A24F6" w:rsidRDefault="00D45137" w:rsidP="003A088D">
      <w:pPr>
        <w:pStyle w:val="a4"/>
        <w:ind w:left="369" w:hanging="426"/>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eastAsia="Calibri" w:hAnsi="Traditional Arabic" w:cs="Traditional Arabic" w:hint="cs"/>
          <w:sz w:val="32"/>
          <w:szCs w:val="32"/>
          <w:rtl/>
        </w:rPr>
        <w:t xml:space="preserve"> ا</w:t>
      </w:r>
      <w:r w:rsidRPr="007A24F6">
        <w:rPr>
          <w:rFonts w:ascii="Traditional Arabic" w:eastAsia="Calibri" w:hAnsi="Traditional Arabic" w:cs="Traditional Arabic"/>
          <w:sz w:val="32"/>
          <w:szCs w:val="32"/>
          <w:rtl/>
        </w:rPr>
        <w:t>نظر : نيل الأوطار (2/21)</w:t>
      </w:r>
      <w:r w:rsidR="00F95F24" w:rsidRPr="007A24F6">
        <w:rPr>
          <w:rFonts w:ascii="Traditional Arabic" w:hAnsi="Traditional Arabic" w:cs="Traditional Arabic" w:hint="cs"/>
          <w:sz w:val="32"/>
          <w:szCs w:val="32"/>
          <w:rtl/>
        </w:rPr>
        <w:t xml:space="preserve"> . </w:t>
      </w:r>
    </w:p>
  </w:footnote>
  <w:footnote w:id="18">
    <w:p w:rsidR="00D45137" w:rsidRPr="007A24F6" w:rsidRDefault="00D45137" w:rsidP="003A088D">
      <w:pPr>
        <w:pStyle w:val="a4"/>
        <w:ind w:left="369" w:hanging="426"/>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w:t>
      </w:r>
      <w:r w:rsidRPr="007A24F6">
        <w:rPr>
          <w:rFonts w:ascii="Traditional Arabic" w:eastAsia="Calibri" w:hAnsi="Traditional Arabic" w:cs="Traditional Arabic"/>
          <w:sz w:val="32"/>
          <w:szCs w:val="32"/>
          <w:rtl/>
        </w:rPr>
        <w:t>نظر : المجموع (3/272)</w:t>
      </w:r>
      <w:r w:rsidR="00F95F24" w:rsidRPr="007A24F6">
        <w:rPr>
          <w:rFonts w:ascii="Traditional Arabic" w:hAnsi="Traditional Arabic" w:cs="Traditional Arabic" w:hint="cs"/>
          <w:sz w:val="32"/>
          <w:szCs w:val="32"/>
          <w:rtl/>
        </w:rPr>
        <w:t xml:space="preserve"> .</w:t>
      </w:r>
    </w:p>
  </w:footnote>
  <w:footnote w:id="19">
    <w:p w:rsidR="00D45137" w:rsidRPr="007A24F6" w:rsidRDefault="00D45137" w:rsidP="003A088D">
      <w:pPr>
        <w:pStyle w:val="a4"/>
        <w:ind w:left="369" w:hanging="426"/>
        <w:jc w:val="lowKashida"/>
        <w:rPr>
          <w:rFonts w:ascii="Traditional Arabic" w:hAnsi="Traditional Arabic" w:cs="Traditional Arabic"/>
          <w:sz w:val="32"/>
          <w:szCs w:val="32"/>
        </w:rPr>
      </w:pPr>
      <w:r w:rsidRPr="007A24F6">
        <w:rPr>
          <w:rStyle w:val="a5"/>
          <w:rFonts w:ascii="Traditional Arabic" w:hAnsi="Traditional Arabic" w:cs="Traditional Arabic"/>
          <w:sz w:val="32"/>
          <w:szCs w:val="32"/>
          <w:vertAlign w:val="baseline"/>
          <w:rtl/>
        </w:rPr>
        <w:t>(</w:t>
      </w:r>
      <w:r w:rsidRPr="007A24F6">
        <w:rPr>
          <w:rStyle w:val="a5"/>
          <w:rFonts w:ascii="Traditional Arabic" w:hAnsi="Traditional Arabic" w:cs="Traditional Arabic"/>
          <w:sz w:val="32"/>
          <w:szCs w:val="32"/>
          <w:vertAlign w:val="baseline"/>
          <w:rtl/>
        </w:rPr>
        <w:footnoteRef/>
      </w:r>
      <w:r w:rsidRPr="007A24F6">
        <w:rPr>
          <w:rStyle w:val="a5"/>
          <w:rFonts w:ascii="Traditional Arabic" w:hAnsi="Traditional Arabic" w:cs="Traditional Arabic"/>
          <w:sz w:val="32"/>
          <w:szCs w:val="32"/>
          <w:vertAlign w:val="baseline"/>
          <w:rtl/>
        </w:rPr>
        <w:t>)</w:t>
      </w:r>
      <w:r w:rsidRPr="007A24F6">
        <w:rPr>
          <w:rFonts w:ascii="Traditional Arabic" w:hAnsi="Traditional Arabic" w:cs="Traditional Arabic" w:hint="cs"/>
          <w:sz w:val="32"/>
          <w:szCs w:val="32"/>
          <w:rtl/>
        </w:rPr>
        <w:t xml:space="preserve"> </w:t>
      </w:r>
      <w:r w:rsidRPr="007A24F6">
        <w:rPr>
          <w:rFonts w:ascii="Traditional Arabic" w:eastAsia="Calibri" w:hAnsi="Traditional Arabic" w:cs="Traditional Arabic" w:hint="cs"/>
          <w:sz w:val="32"/>
          <w:szCs w:val="32"/>
          <w:rtl/>
        </w:rPr>
        <w:t>ا</w:t>
      </w:r>
      <w:r w:rsidRPr="007A24F6">
        <w:rPr>
          <w:rFonts w:ascii="Traditional Arabic" w:eastAsia="Calibri" w:hAnsi="Traditional Arabic" w:cs="Traditional Arabic"/>
          <w:sz w:val="32"/>
          <w:szCs w:val="32"/>
          <w:rtl/>
        </w:rPr>
        <w:t xml:space="preserve">نظر : صفة صلاة النبي </w:t>
      </w:r>
      <w:r w:rsidRPr="007A24F6">
        <w:rPr>
          <w:rFonts w:ascii="Traditional Arabic" w:eastAsia="Calibri" w:hAnsi="Traditional Arabic" w:cs="Traditional Arabic"/>
          <w:sz w:val="32"/>
          <w:szCs w:val="32"/>
        </w:rPr>
        <w:sym w:font="AGA Arabesque" w:char="F072"/>
      </w:r>
      <w:r w:rsidRPr="007A24F6">
        <w:rPr>
          <w:rFonts w:ascii="Traditional Arabic" w:eastAsia="Calibri" w:hAnsi="Traditional Arabic" w:cs="Traditional Arabic"/>
          <w:sz w:val="32"/>
          <w:szCs w:val="32"/>
          <w:rtl/>
        </w:rPr>
        <w:t xml:space="preserve"> (135).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rtl/>
      </w:rPr>
      <w:alias w:val="العنوان"/>
      <w:id w:val="77738743"/>
      <w:placeholder>
        <w:docPart w:val="4083CD0272084AB490B59532589F2A78"/>
      </w:placeholder>
      <w:dataBinding w:prefixMappings="xmlns:ns0='http://schemas.openxmlformats.org/package/2006/metadata/core-properties' xmlns:ns1='http://purl.org/dc/elements/1.1/'" w:xpath="/ns0:coreProperties[1]/ns1:title[1]" w:storeItemID="{6C3C8BC8-F283-45AE-878A-BAB7291924A1}"/>
      <w:text/>
    </w:sdtPr>
    <w:sdtContent>
      <w:p w:rsidR="0012293D" w:rsidRPr="0012293D" w:rsidRDefault="0012293D" w:rsidP="0012293D">
        <w:pPr>
          <w:pStyle w:val="a7"/>
          <w:pBdr>
            <w:bottom w:val="thickThinSmallGap" w:sz="24" w:space="1" w:color="622423" w:themeColor="accent2" w:themeShade="7F"/>
          </w:pBdr>
          <w:jc w:val="center"/>
          <w:rPr>
            <w:rFonts w:asciiTheme="majorHAnsi" w:eastAsiaTheme="majorEastAsia" w:hAnsiTheme="majorHAnsi" w:cs="mohammad bold art 1"/>
          </w:rPr>
        </w:pPr>
        <w:r w:rsidRPr="0012293D">
          <w:rPr>
            <w:rFonts w:asciiTheme="majorHAnsi" w:eastAsiaTheme="majorEastAsia" w:hAnsiTheme="majorHAnsi" w:cs="mohammad bold art 1" w:hint="cs"/>
            <w:rtl/>
          </w:rPr>
          <w:t>المطلب الرابع: حكم الجمع بين التحميد والتسميع للمأموم</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86D99"/>
    <w:multiLevelType w:val="hybridMultilevel"/>
    <w:tmpl w:val="40BE0F90"/>
    <w:lvl w:ilvl="0" w:tplc="4F26BAC8">
      <w:numFmt w:val="bullet"/>
      <w:lvlText w:val=""/>
      <w:lvlJc w:val="left"/>
      <w:pPr>
        <w:ind w:left="720" w:hanging="360"/>
      </w:pPr>
      <w:rPr>
        <w:rFonts w:ascii="Symbol" w:eastAsia="Calibr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1D04A4"/>
    <w:multiLevelType w:val="hybridMultilevel"/>
    <w:tmpl w:val="8E642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20"/>
  <w:characterSpacingControl w:val="doNotCompress"/>
  <w:footnotePr>
    <w:numRestart w:val="eachPage"/>
    <w:footnote w:id="0"/>
    <w:footnote w:id="1"/>
  </w:footnotePr>
  <w:endnotePr>
    <w:endnote w:id="0"/>
    <w:endnote w:id="1"/>
  </w:endnotePr>
  <w:compat/>
  <w:rsids>
    <w:rsidRoot w:val="005C18A7"/>
    <w:rsid w:val="0003491E"/>
    <w:rsid w:val="00056C1E"/>
    <w:rsid w:val="000606E4"/>
    <w:rsid w:val="000D771B"/>
    <w:rsid w:val="0012293D"/>
    <w:rsid w:val="00154C67"/>
    <w:rsid w:val="0018061D"/>
    <w:rsid w:val="001C255E"/>
    <w:rsid w:val="0021144A"/>
    <w:rsid w:val="00230D87"/>
    <w:rsid w:val="00257B55"/>
    <w:rsid w:val="003A088D"/>
    <w:rsid w:val="003B4CAA"/>
    <w:rsid w:val="003C0ADC"/>
    <w:rsid w:val="003D293C"/>
    <w:rsid w:val="004701E4"/>
    <w:rsid w:val="0048243D"/>
    <w:rsid w:val="00490564"/>
    <w:rsid w:val="00517C96"/>
    <w:rsid w:val="0059481F"/>
    <w:rsid w:val="005B2F50"/>
    <w:rsid w:val="005C18A7"/>
    <w:rsid w:val="00615BCC"/>
    <w:rsid w:val="006B1C73"/>
    <w:rsid w:val="006B2D7A"/>
    <w:rsid w:val="006D52B9"/>
    <w:rsid w:val="007A24F6"/>
    <w:rsid w:val="007A5C12"/>
    <w:rsid w:val="00891BF5"/>
    <w:rsid w:val="008B73F8"/>
    <w:rsid w:val="00945C9D"/>
    <w:rsid w:val="009E76CE"/>
    <w:rsid w:val="00A248DC"/>
    <w:rsid w:val="00A30010"/>
    <w:rsid w:val="00AB2CD0"/>
    <w:rsid w:val="00AE4C34"/>
    <w:rsid w:val="00B440C9"/>
    <w:rsid w:val="00B87A46"/>
    <w:rsid w:val="00BE469A"/>
    <w:rsid w:val="00C33C5D"/>
    <w:rsid w:val="00C45089"/>
    <w:rsid w:val="00D24A98"/>
    <w:rsid w:val="00D45137"/>
    <w:rsid w:val="00D9431D"/>
    <w:rsid w:val="00DA3D77"/>
    <w:rsid w:val="00DB177C"/>
    <w:rsid w:val="00DB1F3F"/>
    <w:rsid w:val="00EB6A9D"/>
    <w:rsid w:val="00EF1674"/>
    <w:rsid w:val="00EF5DA4"/>
    <w:rsid w:val="00EF734F"/>
    <w:rsid w:val="00F16B57"/>
    <w:rsid w:val="00F95F24"/>
    <w:rsid w:val="00FA1BAA"/>
    <w:rsid w:val="00FC0635"/>
    <w:rsid w:val="00FD00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8A7"/>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18A7"/>
    <w:pPr>
      <w:ind w:left="720"/>
    </w:pPr>
  </w:style>
  <w:style w:type="paragraph" w:styleId="a4">
    <w:name w:val="footnote text"/>
    <w:basedOn w:val="a"/>
    <w:link w:val="Char"/>
    <w:uiPriority w:val="99"/>
    <w:semiHidden/>
    <w:unhideWhenUsed/>
    <w:rsid w:val="005C18A7"/>
    <w:rPr>
      <w:sz w:val="20"/>
      <w:szCs w:val="20"/>
    </w:rPr>
  </w:style>
  <w:style w:type="character" w:customStyle="1" w:styleId="Char">
    <w:name w:val="نص حاشية سفلية Char"/>
    <w:basedOn w:val="a0"/>
    <w:link w:val="a4"/>
    <w:uiPriority w:val="99"/>
    <w:semiHidden/>
    <w:rsid w:val="005C18A7"/>
    <w:rPr>
      <w:rFonts w:ascii="Times New Roman" w:eastAsia="Times New Roman" w:hAnsi="Times New Roman" w:cs="Times New Roman"/>
      <w:sz w:val="20"/>
      <w:szCs w:val="20"/>
    </w:rPr>
  </w:style>
  <w:style w:type="character" w:styleId="a5">
    <w:name w:val="footnote reference"/>
    <w:basedOn w:val="a0"/>
    <w:uiPriority w:val="99"/>
    <w:semiHidden/>
    <w:unhideWhenUsed/>
    <w:rsid w:val="005C18A7"/>
    <w:rPr>
      <w:vertAlign w:val="superscript"/>
    </w:rPr>
  </w:style>
  <w:style w:type="character" w:styleId="a6">
    <w:name w:val="Emphasis"/>
    <w:basedOn w:val="a0"/>
    <w:qFormat/>
    <w:rsid w:val="00EF5DA4"/>
    <w:rPr>
      <w:i/>
      <w:iCs/>
    </w:rPr>
  </w:style>
  <w:style w:type="paragraph" w:styleId="a7">
    <w:name w:val="header"/>
    <w:basedOn w:val="a"/>
    <w:link w:val="Char0"/>
    <w:uiPriority w:val="99"/>
    <w:unhideWhenUsed/>
    <w:rsid w:val="0012293D"/>
    <w:pPr>
      <w:tabs>
        <w:tab w:val="center" w:pos="4153"/>
        <w:tab w:val="right" w:pos="8306"/>
      </w:tabs>
    </w:pPr>
  </w:style>
  <w:style w:type="character" w:customStyle="1" w:styleId="Char0">
    <w:name w:val="رأس صفحة Char"/>
    <w:basedOn w:val="a0"/>
    <w:link w:val="a7"/>
    <w:uiPriority w:val="99"/>
    <w:rsid w:val="0012293D"/>
    <w:rPr>
      <w:rFonts w:ascii="Times New Roman" w:eastAsia="Times New Roman" w:hAnsi="Times New Roman" w:cs="Times New Roman"/>
      <w:sz w:val="24"/>
      <w:szCs w:val="24"/>
    </w:rPr>
  </w:style>
  <w:style w:type="paragraph" w:styleId="a8">
    <w:name w:val="footer"/>
    <w:basedOn w:val="a"/>
    <w:link w:val="Char1"/>
    <w:uiPriority w:val="99"/>
    <w:unhideWhenUsed/>
    <w:rsid w:val="0012293D"/>
    <w:pPr>
      <w:tabs>
        <w:tab w:val="center" w:pos="4153"/>
        <w:tab w:val="right" w:pos="8306"/>
      </w:tabs>
    </w:pPr>
  </w:style>
  <w:style w:type="character" w:customStyle="1" w:styleId="Char1">
    <w:name w:val="تذييل صفحة Char"/>
    <w:basedOn w:val="a0"/>
    <w:link w:val="a8"/>
    <w:uiPriority w:val="99"/>
    <w:rsid w:val="0012293D"/>
    <w:rPr>
      <w:rFonts w:ascii="Times New Roman" w:eastAsia="Times New Roman" w:hAnsi="Times New Roman" w:cs="Times New Roman"/>
      <w:sz w:val="24"/>
      <w:szCs w:val="24"/>
    </w:rPr>
  </w:style>
  <w:style w:type="paragraph" w:styleId="a9">
    <w:name w:val="Balloon Text"/>
    <w:basedOn w:val="a"/>
    <w:link w:val="Char2"/>
    <w:uiPriority w:val="99"/>
    <w:semiHidden/>
    <w:unhideWhenUsed/>
    <w:rsid w:val="0012293D"/>
    <w:rPr>
      <w:rFonts w:ascii="Tahoma" w:hAnsi="Tahoma" w:cs="Tahoma"/>
      <w:sz w:val="16"/>
      <w:szCs w:val="16"/>
    </w:rPr>
  </w:style>
  <w:style w:type="character" w:customStyle="1" w:styleId="Char2">
    <w:name w:val="نص في بالون Char"/>
    <w:basedOn w:val="a0"/>
    <w:link w:val="a9"/>
    <w:uiPriority w:val="99"/>
    <w:semiHidden/>
    <w:rsid w:val="0012293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083CD0272084AB490B59532589F2A78"/>
        <w:category>
          <w:name w:val="عام"/>
          <w:gallery w:val="placeholder"/>
        </w:category>
        <w:types>
          <w:type w:val="bbPlcHdr"/>
        </w:types>
        <w:behaviors>
          <w:behavior w:val="content"/>
        </w:behaviors>
        <w:guid w:val="{0BD174FC-AFBE-4310-A4C2-473176E2F1C0}"/>
      </w:docPartPr>
      <w:docPartBody>
        <w:p w:rsidR="002E2287" w:rsidRDefault="00495CBB" w:rsidP="00495CBB">
          <w:pPr>
            <w:pStyle w:val="4083CD0272084AB490B59532589F2A7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95CBB"/>
    <w:rsid w:val="002E2287"/>
    <w:rsid w:val="00366633"/>
    <w:rsid w:val="00495CBB"/>
    <w:rsid w:val="008745C4"/>
    <w:rsid w:val="0094658B"/>
    <w:rsid w:val="00D65F95"/>
    <w:rsid w:val="00E13E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28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083CD0272084AB490B59532589F2A78">
    <w:name w:val="4083CD0272084AB490B59532589F2A78"/>
    <w:rsid w:val="00495CB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E19DC-FA74-463A-B3EC-3B042ED71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327</Words>
  <Characters>1868</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الرابع: حكم الجمع بين التحميد والتسميع للمأموم</dc:title>
  <dc:creator>toshiba</dc:creator>
  <cp:lastModifiedBy>xp</cp:lastModifiedBy>
  <cp:revision>24</cp:revision>
  <dcterms:created xsi:type="dcterms:W3CDTF">2012-08-02T12:02:00Z</dcterms:created>
  <dcterms:modified xsi:type="dcterms:W3CDTF">2013-02-05T00:33:00Z</dcterms:modified>
</cp:coreProperties>
</file>