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5C" w:rsidRPr="000E1513" w:rsidRDefault="00507B16" w:rsidP="009856D4">
      <w:pPr>
        <w:spacing w:after="0" w:line="223" w:lineRule="auto"/>
        <w:jc w:val="center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C34912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السابع عشر : حكم صلاة الخوف</w:t>
      </w:r>
      <w:r w:rsidR="00EC1C9E"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3491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.</w:t>
      </w:r>
    </w:p>
    <w:p w:rsidR="00507B16" w:rsidRPr="00BF1BC2" w:rsidRDefault="00507B16" w:rsidP="009856D4">
      <w:p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 في المسألة :</w:t>
      </w:r>
    </w:p>
    <w:p w:rsidR="00507B16" w:rsidRPr="00A577BD" w:rsidRDefault="00507B16" w:rsidP="009856D4">
      <w:p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ما ثبت في حق النبي صلى الله عليه وسلم ثبت في حقنا ما لم يقم دليل على اختصاصه به "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F1BC2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507B16" w:rsidRPr="000E1513" w:rsidRDefault="00507B16" w:rsidP="009856D4">
      <w:p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507B16" w:rsidRPr="000E1513" w:rsidRDefault="00507B16" w:rsidP="009856D4">
      <w:pPr>
        <w:spacing w:after="0" w:line="223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اختلف العلماء في حكم صلاة الخوف </w:t>
      </w:r>
      <w:r w:rsidR="00EC1C9E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على قولين مشهورين : </w:t>
      </w:r>
    </w:p>
    <w:p w:rsidR="00BF1BC2" w:rsidRDefault="00EC1C9E" w:rsidP="009856D4">
      <w:p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الأول : 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ذهب جمهور الفقهاء من الحنفية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والمالكية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, والشافعية</w:t>
      </w:r>
      <w:r w:rsidR="009C6B5B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, والحنابلة</w:t>
      </w:r>
      <w:r w:rsidR="009C6B5B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 إلى مشروعية صلاة الخوف .</w:t>
      </w:r>
    </w:p>
    <w:p w:rsidR="000E1513" w:rsidRPr="003174E4" w:rsidRDefault="00EC1C9E" w:rsidP="009856D4">
      <w:p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ذهب أبو يوسف في إحدى الروايتين عنه</w:t>
      </w:r>
      <w:r w:rsidR="009C6B5B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, والمزني من الشافعية</w:t>
      </w:r>
      <w:r w:rsidR="009C6B5B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أنَّ صلاة الخوف مختصة بزمان النبي صلى الله عليه وسلم . </w:t>
      </w:r>
    </w:p>
    <w:p w:rsidR="00EC1C9E" w:rsidRPr="000E1513" w:rsidRDefault="00EC1C9E" w:rsidP="009856D4">
      <w:p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الأدلة :</w:t>
      </w:r>
    </w:p>
    <w:p w:rsidR="009C6B5B" w:rsidRPr="00A577BD" w:rsidRDefault="00EC1C9E" w:rsidP="009856D4">
      <w:pPr>
        <w:pStyle w:val="a5"/>
        <w:numPr>
          <w:ilvl w:val="0"/>
          <w:numId w:val="2"/>
        </w:numPr>
        <w:spacing w:after="0" w:line="223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="009C6B5B" w:rsidRPr="00A577B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A577BD" w:rsidRDefault="00BF1BC2" w:rsidP="009856D4">
      <w:pPr>
        <w:spacing w:after="0" w:line="223" w:lineRule="auto"/>
        <w:rPr>
          <w:rFonts w:ascii="QCF_P095" w:hAnsi="QCF_P095" w:cs="QCF_P095"/>
          <w:color w:val="000000"/>
          <w:sz w:val="28"/>
          <w:szCs w:val="28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9C6B5B"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قال تعالى :</w:t>
      </w:r>
      <w:r w:rsidR="009C6B5B">
        <w:rPr>
          <w:rFonts w:hint="cs"/>
          <w:sz w:val="32"/>
          <w:szCs w:val="32"/>
          <w:rtl/>
        </w:rPr>
        <w:t xml:space="preserve"> </w:t>
      </w:r>
      <w:r w:rsidR="009C6B5B" w:rsidRPr="009C6B5B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="009C6B5B" w:rsidRPr="009C6B5B">
        <w:rPr>
          <w:rFonts w:ascii="QCF_P094" w:hAnsi="QCF_P094" w:cs="QCF_P094"/>
          <w:color w:val="000000"/>
          <w:sz w:val="28"/>
          <w:szCs w:val="28"/>
          <w:rtl/>
        </w:rPr>
        <w:t>ﯽ  ﯾ   ﯿ  ﰀ  ﰁ  ﰂ  ﰃ  ﰄ  ﰅ  ﰆ  ﰇ  ﰈ      ﰉ   ﰊ  ﰋ   ﰌ  ﰍ</w:t>
      </w:r>
      <w:r w:rsidR="009C6B5B" w:rsidRPr="009C6B5B">
        <w:rPr>
          <w:rFonts w:ascii="QCF_P094" w:hAnsi="QCF_P094" w:cs="QCF_P094"/>
          <w:color w:val="0000A5"/>
          <w:sz w:val="28"/>
          <w:szCs w:val="28"/>
          <w:rtl/>
        </w:rPr>
        <w:t>ﰎ</w:t>
      </w:r>
      <w:r w:rsidR="009C6B5B" w:rsidRPr="009C6B5B">
        <w:rPr>
          <w:rFonts w:ascii="QCF_P094" w:hAnsi="QCF_P094" w:cs="QCF_P094"/>
          <w:color w:val="000000"/>
          <w:sz w:val="28"/>
          <w:szCs w:val="28"/>
          <w:rtl/>
        </w:rPr>
        <w:t xml:space="preserve">  ﰏ    ﰐ  ﰑ         ﰒ   ﰓ  ﰔ  ﰕ   </w:t>
      </w:r>
      <w:r w:rsidR="009C6B5B" w:rsidRPr="009C6B5B">
        <w:rPr>
          <w:rFonts w:ascii="QCF_P095" w:hAnsi="QCF_P095" w:cs="QCF_P095"/>
          <w:color w:val="000000"/>
          <w:sz w:val="28"/>
          <w:szCs w:val="28"/>
          <w:rtl/>
        </w:rPr>
        <w:t xml:space="preserve">ﭑ  ﭒ          ﭓ  ﭔ  ﭕ  ﭖ  ﭗ  </w:t>
      </w:r>
    </w:p>
    <w:p w:rsidR="009C6B5B" w:rsidRDefault="009C6B5B" w:rsidP="009856D4">
      <w:pPr>
        <w:spacing w:after="0" w:line="223" w:lineRule="auto"/>
        <w:rPr>
          <w:rFonts w:ascii="Arial" w:hAnsi="Arial"/>
          <w:sz w:val="32"/>
          <w:szCs w:val="32"/>
          <w:rtl/>
        </w:rPr>
      </w:pPr>
      <w:r w:rsidRPr="009C6B5B">
        <w:rPr>
          <w:rFonts w:ascii="QCF_P095" w:hAnsi="QCF_P095" w:cs="QCF_P095"/>
          <w:color w:val="000000"/>
          <w:sz w:val="28"/>
          <w:szCs w:val="28"/>
          <w:rtl/>
        </w:rPr>
        <w:t xml:space="preserve">ﭘ   ﭙ  ﭚ  ﭛ  ﭜ  ﭝ  ﭞ  ﭟ   ﭠ  ﭡ  </w:t>
      </w:r>
      <w:r w:rsidRPr="009C6B5B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ascii="QCF_BSML" w:hAnsi="QCF_BSML" w:cs="QCF_BSML" w:hint="cs"/>
          <w:color w:val="000000"/>
          <w:sz w:val="28"/>
          <w:szCs w:val="28"/>
          <w:rtl/>
        </w:rPr>
        <w:t xml:space="preserve">       </w:t>
      </w:r>
      <w:r w:rsidRPr="009C6B5B">
        <w:rPr>
          <w:rFonts w:ascii="QCF_BSML" w:hAnsi="QCF_BSML" w:cs="QCF_BSML" w:hint="cs"/>
          <w:color w:val="000000"/>
          <w:sz w:val="36"/>
          <w:szCs w:val="36"/>
          <w:rtl/>
        </w:rPr>
        <w:t xml:space="preserve"> </w:t>
      </w:r>
      <w:r w:rsidRPr="009C6B5B">
        <w:rPr>
          <w:rFonts w:ascii="QCF_BSML" w:hAnsi="QCF_BSML" w:cs="Traditional Arabic" w:hint="cs"/>
          <w:color w:val="000000"/>
          <w:sz w:val="36"/>
          <w:szCs w:val="36"/>
          <w:rtl/>
        </w:rPr>
        <w:t>الآية</w:t>
      </w:r>
      <w:r>
        <w:rPr>
          <w:rFonts w:ascii="Arial" w:hAnsi="Arial" w:hint="cs"/>
          <w:sz w:val="32"/>
          <w:szCs w:val="32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Arial" w:hAnsi="Arial" w:hint="cs"/>
          <w:sz w:val="32"/>
          <w:szCs w:val="32"/>
          <w:rtl/>
        </w:rPr>
        <w:t xml:space="preserve"> . </w:t>
      </w:r>
    </w:p>
    <w:p w:rsidR="009856D4" w:rsidRDefault="00002293" w:rsidP="00A577BD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 xml:space="preserve">وجه الدلالة : 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دلت الآية على مشروعية صلاة الخوف . </w:t>
      </w:r>
    </w:p>
    <w:p w:rsidR="00002293" w:rsidRPr="00A577BD" w:rsidRDefault="00BF1BC2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ابن عمر ـ رضي الله عنهما ـ قال : " غزوت مع رسول الله صلى الله عليه وسلم قبل نجد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, فوازينا</w:t>
      </w:r>
      <w:r w:rsidR="008E3CCA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E1513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0E151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العدو فصاففنا لهم فقام رسول الله صلى الله عليه وسلم يصلي لنا , فقامت طائفة معه تصلي , وأقبلت طائفة على العدو , وركع رسول الله صلى الله عليه وسلم بمن معه وسجد سجدتين ثم انصرفوا مكان الطائفة التي لم تصلِّ , فجاؤوا فركع رسول الله صلى الله عليه وسلم بهم ركعة وسجد سجدتين ثم سلم , فقام كل واحد منهم فركع لنفسه ركعة وسجد سجدتين "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4B7339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 </w:t>
      </w:r>
    </w:p>
    <w:p w:rsidR="00002293" w:rsidRPr="00A577BD" w:rsidRDefault="00002293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وجه الدلالة : 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 الحديث على مشروعية صلاة الخوف . </w:t>
      </w:r>
    </w:p>
    <w:p w:rsidR="00002293" w:rsidRPr="00A577BD" w:rsidRDefault="00002293" w:rsidP="00A577BD">
      <w:pPr>
        <w:pStyle w:val="a5"/>
        <w:numPr>
          <w:ilvl w:val="0"/>
          <w:numId w:val="2"/>
        </w:num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أدلة أصحاب القول الثاني : </w:t>
      </w:r>
      <w:r w:rsidRPr="00A577B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استدلوا بما يلي :</w:t>
      </w:r>
    </w:p>
    <w:p w:rsidR="00002293" w:rsidRDefault="00BF1BC2" w:rsidP="00A577BD">
      <w:pPr>
        <w:spacing w:after="0" w:line="240" w:lineRule="auto"/>
        <w:rPr>
          <w:rFonts w:ascii="Arial" w:hAnsi="Arial"/>
          <w:sz w:val="32"/>
          <w:szCs w:val="32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قوله تعالى</w:t>
      </w:r>
      <w:r w:rsidR="00002293" w:rsidRPr="000E1513">
        <w:rPr>
          <w:rFonts w:ascii="Arial" w:hAnsi="Arial" w:hint="cs"/>
          <w:sz w:val="32"/>
          <w:szCs w:val="32"/>
          <w:rtl/>
        </w:rPr>
        <w:t xml:space="preserve"> </w:t>
      </w:r>
      <w:r w:rsidR="00002293" w:rsidRPr="000E1513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="00002293" w:rsidRPr="000E1513">
        <w:rPr>
          <w:rFonts w:ascii="QCF_P095" w:hAnsi="QCF_P095" w:cs="QCF_P095"/>
          <w:color w:val="000000"/>
          <w:sz w:val="32"/>
          <w:szCs w:val="32"/>
          <w:rtl/>
        </w:rPr>
        <w:t xml:space="preserve">ﭑ  ﭒ          ﭓ  </w:t>
      </w:r>
      <w:r w:rsidR="00002293" w:rsidRPr="000E1513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002293" w:rsidRPr="000E1513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02293" w:rsidRPr="000E1513">
        <w:rPr>
          <w:rFonts w:ascii="Arial" w:hAnsi="Arial" w:hint="cs"/>
          <w:sz w:val="32"/>
          <w:szCs w:val="32"/>
          <w:rtl/>
        </w:rPr>
        <w:t>.</w:t>
      </w:r>
    </w:p>
    <w:p w:rsidR="00002293" w:rsidRPr="00A577BD" w:rsidRDefault="00BF1BC2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قالوا : بأنَّ الآية 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مختصة بزمن النبي صلى الله عليه وسلم ؛ لأن التغيير الذي يحدث في هذه الصلاة ينجبر بفعلها مع رسول الله صلى الله عليه وسلم لينال كل فريق منهم فضيلة الصلاة خلفه صلى الله عليه وسلم , وقد ارتفع هذا المعنى بعده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4B7339" w:rsidRPr="00BF1BC2" w:rsidRDefault="00BF1BC2" w:rsidP="00A577BD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002293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226CE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ذهب المزني إلى أنَّ صلاة الخوف منسوخة , بأن الرسول صلى الله عليه وسلم قد فاتته صلوات يوم الخندق ولو كانت صلاة الخوف جائزة لفعلها النبي صلى الله عليه وسلم , ولم يفوت الصلاة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856D4" w:rsidRDefault="009856D4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9856D4" w:rsidRDefault="009856D4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9856D4" w:rsidRDefault="009856D4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A226CE" w:rsidRPr="000E1513" w:rsidRDefault="00A226CE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A226CE" w:rsidRPr="000E1513" w:rsidRDefault="00A226CE" w:rsidP="00A577BD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9856D4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ما ذهب إليه الجمهور من أنَّ صلاة الخوف مشروعة </w:t>
      </w:r>
      <w:r w:rsidR="00BF1BC2">
        <w:rPr>
          <w:rFonts w:ascii="Traditional Arabic" w:eastAsia="Calibri" w:hAnsi="Traditional Arabic" w:cs="Traditional Arabic" w:hint="cs"/>
          <w:sz w:val="36"/>
          <w:szCs w:val="36"/>
          <w:rtl/>
        </w:rPr>
        <w:t>؛</w:t>
      </w:r>
      <w:r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وذلك لما يلي : </w:t>
      </w:r>
    </w:p>
    <w:p w:rsidR="00A226CE" w:rsidRPr="000E1513" w:rsidRDefault="00BF1BC2" w:rsidP="00A577BD">
      <w:pPr>
        <w:spacing w:after="0" w:line="240" w:lineRule="auto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F1BC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</w:t>
      </w:r>
      <w:r w:rsidR="00A226CE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ل</w:t>
      </w:r>
      <w:r w:rsidR="00A226CE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>أنَّ الخطاب للنبي صلى الله عليه وسلم في الآية الكريمة , خطاب لأمته , وما ثبت في حقه ثبت في حق أمته ما لم يقم دليل على اختصاصه به صلى الله عليه وسلم , وقد قال " صلوا كما رأيتموني أصلي "</w:t>
      </w:r>
      <w:r w:rsidR="008E3CCA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226CE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فهو على عمومه , وتخصيصه </w:t>
      </w:r>
      <w:r w:rsidR="003174E4">
        <w:rPr>
          <w:rFonts w:ascii="Traditional Arabic" w:eastAsia="Calibri" w:hAnsi="Traditional Arabic" w:cs="Traditional Arabic" w:hint="cs"/>
          <w:sz w:val="36"/>
          <w:szCs w:val="36"/>
          <w:rtl/>
        </w:rPr>
        <w:t>بالخطاب لا يقتضي تخصيصه بالحكم</w:t>
      </w:r>
      <w:r w:rsidR="00A226CE" w:rsidRPr="000E151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8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174E4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226CE" w:rsidRPr="000E1513" w:rsidRDefault="00BF1BC2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</w:t>
      </w:r>
      <w:r w:rsidR="00A226CE" w:rsidRPr="004B7339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ويؤكد كون حكمها باق ٍ ومشروع أنَّ الصحابة قد صلوها </w:t>
      </w:r>
      <w:r w:rsidR="00366017" w:rsidRPr="004B7339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بعده </w:t>
      </w:r>
      <w:r w:rsidR="004B7339" w:rsidRP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4B7339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9"/>
      </w:r>
      <w:r w:rsidR="004B7339" w:rsidRP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66017" w:rsidRPr="004B7339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فلو علموا أنها خاصة بالنبي صلى الله عليه وسلم , أو أنه</w:t>
      </w:r>
      <w:r w:rsidR="00FA1827">
        <w:rPr>
          <w:rFonts w:ascii="Traditional Arabic" w:eastAsia="Calibri" w:hAnsi="Traditional Arabic" w:cs="Traditional Arabic" w:hint="cs"/>
          <w:sz w:val="36"/>
          <w:szCs w:val="36"/>
          <w:rtl/>
        </w:rPr>
        <w:t>ا</w:t>
      </w:r>
      <w:r w:rsidR="00366017" w:rsidRPr="004B7339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منسوخة لما فعلوا ذلك , ولأنكروا على فاعليها</w:t>
      </w:r>
      <w:r w:rsidR="00366017" w:rsidRPr="000E151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4B7339" w:rsidRPr="001446F5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0"/>
      </w:r>
      <w:r w:rsidR="004B7339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.</w:t>
      </w:r>
    </w:p>
    <w:p w:rsidR="00EC1C9E" w:rsidRPr="000E1513" w:rsidRDefault="00EC1C9E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EC1C9E" w:rsidRPr="000E1513" w:rsidRDefault="00EC1C9E" w:rsidP="00A577BD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sectPr w:rsidR="00EC1C9E" w:rsidRPr="000E1513" w:rsidSect="005F24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63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EDD" w:rsidRDefault="009F2EDD" w:rsidP="00507B16">
      <w:pPr>
        <w:spacing w:after="0" w:line="240" w:lineRule="auto"/>
      </w:pPr>
      <w:r>
        <w:separator/>
      </w:r>
    </w:p>
  </w:endnote>
  <w:endnote w:type="continuationSeparator" w:id="1">
    <w:p w:rsidR="009F2EDD" w:rsidRDefault="009F2EDD" w:rsidP="0050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P0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2" w:rsidRDefault="00C3491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225048"/>
      <w:docPartObj>
        <w:docPartGallery w:val="Page Numbers (Bottom of Page)"/>
        <w:docPartUnique/>
      </w:docPartObj>
    </w:sdtPr>
    <w:sdtContent>
      <w:p w:rsidR="00C34912" w:rsidRDefault="00C03C15" w:rsidP="00C34912">
        <w:pPr>
          <w:pStyle w:val="a7"/>
          <w:jc w:val="center"/>
        </w:pPr>
        <w:fldSimple w:instr=" PAGE   \* MERGEFORMAT ">
          <w:r w:rsidR="00FA1827">
            <w:rPr>
              <w:noProof/>
              <w:rtl/>
            </w:rPr>
            <w:t xml:space="preserve">- </w:t>
          </w:r>
          <w:r w:rsidR="00FA1827" w:rsidRPr="00FA1827">
            <w:rPr>
              <w:b/>
              <w:bCs/>
              <w:noProof/>
              <w:rtl/>
            </w:rPr>
            <w:t>638</w:t>
          </w:r>
          <w:r w:rsidR="00FA1827">
            <w:rPr>
              <w:noProof/>
              <w:rtl/>
            </w:rPr>
            <w:t xml:space="preserve"> -</w:t>
          </w:r>
        </w:fldSimple>
      </w:p>
    </w:sdtContent>
  </w:sdt>
  <w:p w:rsidR="00C34912" w:rsidRDefault="00C3491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2" w:rsidRDefault="00C349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EDD" w:rsidRDefault="009F2EDD" w:rsidP="00507B16">
      <w:pPr>
        <w:spacing w:after="0" w:line="240" w:lineRule="auto"/>
      </w:pPr>
      <w:r>
        <w:separator/>
      </w:r>
    </w:p>
  </w:footnote>
  <w:footnote w:type="continuationSeparator" w:id="1">
    <w:p w:rsidR="009F2EDD" w:rsidRDefault="009F2EDD" w:rsidP="00507B16">
      <w:pPr>
        <w:spacing w:after="0" w:line="240" w:lineRule="auto"/>
      </w:pPr>
      <w:r>
        <w:continuationSeparator/>
      </w:r>
    </w:p>
  </w:footnote>
  <w:footnote w:id="2">
    <w:p w:rsidR="000E1513" w:rsidRDefault="000E1513" w:rsidP="00A577BD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الخوف : هو توقع مكروه عن أمارة مظنونة أو متحققة , وهو مصدر بمعنى الخائف . </w:t>
      </w:r>
    </w:p>
    <w:p w:rsidR="000E1513" w:rsidRPr="000E1513" w:rsidRDefault="000E1513" w:rsidP="00F744B7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البجيرمي على الخطيب (2/222), لسان العرب (8/68) .</w:t>
      </w:r>
    </w:p>
    <w:p w:rsidR="000E1513" w:rsidRPr="001446F5" w:rsidRDefault="000E1513" w:rsidP="00F744B7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والمراد بصلاة الخوف : هي الصلاة المكتوبة يحضر وقتها والمسلمون في مقاتلة العدو أو في حراستهم . انظر : روضة الطالبين (2/39) , المجموع (4/404) , كشاف القناع (2/15) .</w:t>
      </w:r>
    </w:p>
  </w:footnote>
  <w:footnote w:id="3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(5/2) .</w:t>
      </w:r>
    </w:p>
  </w:footnote>
  <w:footnote w:id="4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تحفة الفقهاء (1/177) , بدائع الصنائع (1/242) , شرح فتح القدير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(2/97,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98) .</w:t>
      </w:r>
    </w:p>
  </w:footnote>
  <w:footnote w:id="5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الذخيرة (2/437) , المعونة (1/314) , حاشية الرهوني (2/176) .</w:t>
      </w:r>
    </w:p>
  </w:footnote>
  <w:footnote w:id="6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الأم (1/242) , المهذب (1/345) , الحاوي (2/459) .</w:t>
      </w:r>
    </w:p>
  </w:footnote>
  <w:footnote w:id="7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>انظر :</w:t>
      </w:r>
      <w:r w:rsidR="00BF1BC2"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المغني (3/296)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شرح الزركشي ( 2/240) , </w:t>
      </w:r>
      <w:r w:rsidR="00BF1BC2">
        <w:rPr>
          <w:rFonts w:ascii="Traditional Arabic" w:eastAsia="Calibri" w:hAnsi="Traditional Arabic" w:cs="Traditional Arabic" w:hint="cs"/>
          <w:sz w:val="32"/>
          <w:szCs w:val="32"/>
          <w:rtl/>
        </w:rPr>
        <w:t>الإنصاف (2/347)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كشاف القناع (2/10) , شرح منتهى الإرادات (1/283) 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</w:footnote>
  <w:footnote w:id="8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انظر : بدائع الصنائع (1/242) , العناية (2/98) .</w:t>
      </w:r>
    </w:p>
  </w:footnote>
  <w:footnote w:id="9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انظر : المجموع (4/405) .</w:t>
      </w:r>
    </w:p>
  </w:footnote>
  <w:footnote w:id="10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0E1513">
        <w:rPr>
          <w:rFonts w:ascii="Traditional Arabic" w:eastAsia="Calibri" w:hAnsi="Traditional Arabic" w:cs="Traditional Arabic"/>
          <w:sz w:val="32"/>
          <w:szCs w:val="32"/>
          <w:rtl/>
        </w:rPr>
        <w:t xml:space="preserve">النساء: ١٠١ </w:t>
      </w:r>
      <w:r>
        <w:rPr>
          <w:rFonts w:ascii="Traditional Arabic" w:eastAsia="Calibri" w:hAnsi="Traditional Arabic" w:cs="Traditional Arabic"/>
          <w:sz w:val="32"/>
          <w:szCs w:val="32"/>
          <w:rtl/>
        </w:rPr>
        <w:t>–</w:t>
      </w:r>
      <w:r w:rsidRPr="000E1513">
        <w:rPr>
          <w:rFonts w:ascii="Traditional Arabic" w:eastAsia="Calibri" w:hAnsi="Traditional Arabic" w:cs="Traditional Arabic"/>
          <w:sz w:val="32"/>
          <w:szCs w:val="32"/>
          <w:rtl/>
        </w:rPr>
        <w:t xml:space="preserve"> ١٠٢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</w:p>
  </w:footnote>
  <w:footnote w:id="11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النجد : هو ما ارتفع من الأرض , وهو اسم خاص لما دون الحجاز مما يلي العراق . انظر : النهاية (5/16) , وكانت هذه الغزوة ـ غزوة ذات الرقاع ـ بأرض غطفان . انظر : إرشاد الساري (2/625) .</w:t>
      </w:r>
      <w:r>
        <w:rPr>
          <w:rFonts w:hint="cs"/>
          <w:rtl/>
        </w:rPr>
        <w:t xml:space="preserve">  </w:t>
      </w:r>
    </w:p>
  </w:footnote>
  <w:footnote w:id="12">
    <w:p w:rsidR="000E1513" w:rsidRPr="001446F5" w:rsidRDefault="000E1513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فوازينا : أي قابلنا , وأصله " آزينا " قلبت الهمزة واو . انظر : التوشيح (2/83) .</w:t>
      </w:r>
    </w:p>
  </w:footnote>
  <w:footnote w:id="13">
    <w:p w:rsidR="004B7339" w:rsidRPr="001446F5" w:rsidRDefault="004B7339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 في كتاب الخوف , باب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صلاة الخوف (2/14) برقم ( 942).</w:t>
      </w:r>
    </w:p>
  </w:footnote>
  <w:footnote w:id="14">
    <w:p w:rsidR="004B7339" w:rsidRPr="001446F5" w:rsidRDefault="004B7339" w:rsidP="00A577B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446F5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النساء : 102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</w:p>
  </w:footnote>
  <w:footnote w:id="15">
    <w:p w:rsidR="004B7339" w:rsidRPr="004B7339" w:rsidRDefault="004B7339" w:rsidP="00A577BD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B7339">
        <w:rPr>
          <w:rStyle w:val="a4"/>
          <w:rFonts w:hint="cs"/>
          <w:vertAlign w:val="baseline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المبسوط (2/45ـ46) , بدائع الصنائع (1/242ـ243) , العناية (2/98) .</w:t>
      </w:r>
    </w:p>
  </w:footnote>
  <w:footnote w:id="16">
    <w:p w:rsidR="004B7339" w:rsidRPr="004B7339" w:rsidRDefault="004B7339" w:rsidP="00A577BD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B7339">
        <w:rPr>
          <w:rStyle w:val="a4"/>
          <w:rFonts w:hint="cs"/>
          <w:vertAlign w:val="baseline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(4/405) .</w:t>
      </w:r>
    </w:p>
  </w:footnote>
  <w:footnote w:id="17">
    <w:p w:rsidR="004B7339" w:rsidRPr="004B7339" w:rsidRDefault="004B7339" w:rsidP="00356801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B7339">
        <w:rPr>
          <w:rStyle w:val="a4"/>
          <w:rFonts w:hint="cs"/>
          <w:vertAlign w:val="baseline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356801">
        <w:rPr>
          <w:rFonts w:ascii="Traditional Arabic" w:eastAsia="Calibri" w:hAnsi="Traditional Arabic" w:cs="Traditional Arabic" w:hint="cs"/>
          <w:sz w:val="32"/>
          <w:szCs w:val="32"/>
          <w:rtl/>
        </w:rPr>
        <w:t>تقدم تخريجه ص (70 ) .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</w:p>
  </w:footnote>
  <w:footnote w:id="18">
    <w:p w:rsidR="004B7339" w:rsidRPr="004B7339" w:rsidRDefault="004B7339" w:rsidP="00A577BD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B7339">
        <w:rPr>
          <w:rStyle w:val="a4"/>
          <w:rFonts w:hint="cs"/>
          <w:vertAlign w:val="baseline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وهو قول الحنفية وبعض المالكية , وقول الإمام أحمد وأكثر أصحابه , وقال أكثر الشافعية إن الحكم يختص بمن توجه إليه الخطاب . وانظر تفصيل الأقوال في : تيسير التحرير (1/251) , شرح العضد (2/22) , البرهان لإمام الحرمين (1/367) , التمهيد لأبي الخطاب (1/275) .</w:t>
      </w:r>
    </w:p>
  </w:footnote>
  <w:footnote w:id="19">
    <w:p w:rsidR="004B7339" w:rsidRPr="004B7339" w:rsidRDefault="004B7339" w:rsidP="00A577BD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B7339">
        <w:rPr>
          <w:rStyle w:val="a4"/>
          <w:rFonts w:hint="cs"/>
          <w:vertAlign w:val="baseline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فقد صلاها علي ـ رضي الله عنه ـ يوم صفين , وصلاها أبو موسى الأشعري بأصبهان , وسعد بن أبي وقاص في حرب المجوس ومعه الحسن بن علي , وحذيفة بن اليمان , وعبد الله بن عمرو بن العاص , فصار فعلهم إجماعاً . انظر : شرح فتح القدير (2/99) , بدائع الصنائع (1/243) , المصنف لابن أبي شيبة (2/215ـ216) .</w:t>
      </w:r>
    </w:p>
  </w:footnote>
  <w:footnote w:id="20">
    <w:p w:rsidR="004B7339" w:rsidRPr="004B7339" w:rsidRDefault="004B7339" w:rsidP="00A577BD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B7339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B7339">
        <w:rPr>
          <w:rStyle w:val="a4"/>
          <w:rFonts w:hint="cs"/>
          <w:vertAlign w:val="baseline"/>
          <w:rtl/>
        </w:rPr>
        <w:t xml:space="preserve"> </w:t>
      </w:r>
      <w:r w:rsidRPr="000E151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4B7339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المجموع (4/406)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2" w:rsidRDefault="00C3491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F501CCDD7B7B4A1DA2B2D0AF018093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577BD" w:rsidRPr="00A577BD" w:rsidRDefault="00A577BD" w:rsidP="00A577BD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A577BD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A577BD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A577BD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السابع</w:t>
        </w:r>
        <w:r w:rsidRPr="00A577BD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A577BD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عشر</w:t>
        </w:r>
        <w:r w:rsidRPr="00A577BD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A577BD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A577BD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A577BD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A577BD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A577BD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الخوف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912" w:rsidRDefault="00C349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96BF3"/>
    <w:multiLevelType w:val="hybridMultilevel"/>
    <w:tmpl w:val="272AED46"/>
    <w:lvl w:ilvl="0" w:tplc="EBACE40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84984"/>
    <w:multiLevelType w:val="hybridMultilevel"/>
    <w:tmpl w:val="B1266A1E"/>
    <w:lvl w:ilvl="0" w:tplc="CAF46866">
      <w:numFmt w:val="bullet"/>
      <w:lvlText w:val=""/>
      <w:lvlJc w:val="left"/>
      <w:pPr>
        <w:ind w:left="81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07B16"/>
    <w:rsid w:val="00002293"/>
    <w:rsid w:val="00015E7D"/>
    <w:rsid w:val="000970CA"/>
    <w:rsid w:val="000E1513"/>
    <w:rsid w:val="003174E4"/>
    <w:rsid w:val="003409D1"/>
    <w:rsid w:val="00356801"/>
    <w:rsid w:val="00366017"/>
    <w:rsid w:val="00426EB8"/>
    <w:rsid w:val="004A2473"/>
    <w:rsid w:val="004B7339"/>
    <w:rsid w:val="00507B16"/>
    <w:rsid w:val="00541E89"/>
    <w:rsid w:val="005448D8"/>
    <w:rsid w:val="00570E0E"/>
    <w:rsid w:val="00572CBE"/>
    <w:rsid w:val="005F2418"/>
    <w:rsid w:val="00644CCE"/>
    <w:rsid w:val="006F28A7"/>
    <w:rsid w:val="00731791"/>
    <w:rsid w:val="00764C2C"/>
    <w:rsid w:val="007A6FAF"/>
    <w:rsid w:val="008524BF"/>
    <w:rsid w:val="008D4EB3"/>
    <w:rsid w:val="008E3CCA"/>
    <w:rsid w:val="009856D4"/>
    <w:rsid w:val="0098764C"/>
    <w:rsid w:val="009A4957"/>
    <w:rsid w:val="009C6B5B"/>
    <w:rsid w:val="009F2EDD"/>
    <w:rsid w:val="00A226CE"/>
    <w:rsid w:val="00A43CDB"/>
    <w:rsid w:val="00A577BD"/>
    <w:rsid w:val="00BF1BC2"/>
    <w:rsid w:val="00C03C15"/>
    <w:rsid w:val="00C34912"/>
    <w:rsid w:val="00C73E62"/>
    <w:rsid w:val="00D044F8"/>
    <w:rsid w:val="00DB652D"/>
    <w:rsid w:val="00DE2044"/>
    <w:rsid w:val="00E16F35"/>
    <w:rsid w:val="00E66D1F"/>
    <w:rsid w:val="00E7635C"/>
    <w:rsid w:val="00EC1C9E"/>
    <w:rsid w:val="00ED545D"/>
    <w:rsid w:val="00EF366B"/>
    <w:rsid w:val="00F145DC"/>
    <w:rsid w:val="00F203BE"/>
    <w:rsid w:val="00F225D5"/>
    <w:rsid w:val="00F6513E"/>
    <w:rsid w:val="00F744B7"/>
    <w:rsid w:val="00FA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507B16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507B16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507B16"/>
    <w:rPr>
      <w:vertAlign w:val="superscript"/>
    </w:rPr>
  </w:style>
  <w:style w:type="paragraph" w:styleId="a5">
    <w:name w:val="List Paragraph"/>
    <w:basedOn w:val="a"/>
    <w:uiPriority w:val="34"/>
    <w:qFormat/>
    <w:rsid w:val="00EC1C9E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577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A577BD"/>
  </w:style>
  <w:style w:type="paragraph" w:styleId="a7">
    <w:name w:val="footer"/>
    <w:basedOn w:val="a"/>
    <w:link w:val="Char1"/>
    <w:uiPriority w:val="99"/>
    <w:unhideWhenUsed/>
    <w:rsid w:val="00A577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A577BD"/>
  </w:style>
  <w:style w:type="paragraph" w:styleId="a8">
    <w:name w:val="Balloon Text"/>
    <w:basedOn w:val="a"/>
    <w:link w:val="Char2"/>
    <w:uiPriority w:val="99"/>
    <w:semiHidden/>
    <w:unhideWhenUsed/>
    <w:rsid w:val="00A57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01CCDD7B7B4A1DA2B2D0AF018093A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6BDF030-17A9-43DF-BB29-5493E65153EE}"/>
      </w:docPartPr>
      <w:docPartBody>
        <w:p w:rsidR="006B4664" w:rsidRDefault="00972C72" w:rsidP="00972C72">
          <w:pPr>
            <w:pStyle w:val="F501CCDD7B7B4A1DA2B2D0AF018093A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P0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72C72"/>
    <w:rsid w:val="001954E1"/>
    <w:rsid w:val="002C1892"/>
    <w:rsid w:val="00610F87"/>
    <w:rsid w:val="006B4664"/>
    <w:rsid w:val="00815CED"/>
    <w:rsid w:val="00972C72"/>
    <w:rsid w:val="00A12583"/>
    <w:rsid w:val="00F1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501CCDD7B7B4A1DA2B2D0AF018093AC">
    <w:name w:val="F501CCDD7B7B4A1DA2B2D0AF018093AC"/>
    <w:rsid w:val="00972C7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BA976-264F-49D6-BABF-963C2EF0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 عشر : حكم صلاة الخوف</dc:title>
  <dc:subject/>
  <dc:creator>xp</dc:creator>
  <cp:keywords/>
  <dc:description/>
  <cp:lastModifiedBy>xp</cp:lastModifiedBy>
  <cp:revision>18</cp:revision>
  <cp:lastPrinted>2012-09-24T02:41:00Z</cp:lastPrinted>
  <dcterms:created xsi:type="dcterms:W3CDTF">2012-08-01T16:03:00Z</dcterms:created>
  <dcterms:modified xsi:type="dcterms:W3CDTF">2012-09-24T02:42:00Z</dcterms:modified>
</cp:coreProperties>
</file>