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B2" w:rsidRPr="0093211B" w:rsidRDefault="005F44B2" w:rsidP="00A041B4">
      <w:pPr>
        <w:pStyle w:val="a0"/>
        <w:jc w:val="center"/>
        <w:rPr>
          <w:rtl/>
        </w:rPr>
        <w:sectPr w:rsidR="005F44B2" w:rsidRPr="0093211B" w:rsidSect="00B9012C">
          <w:headerReference w:type="default" r:id="rId7"/>
          <w:footnotePr>
            <w:numRestart w:val="eachPage"/>
          </w:footnotePr>
          <w:pgSz w:w="11906" w:h="16838"/>
          <w:pgMar w:top="1418" w:right="1985" w:bottom="1418" w:left="1418" w:header="709" w:footer="709" w:gutter="0"/>
          <w:cols w:space="708"/>
          <w:titlePg/>
          <w:rtlGutter/>
          <w:docGrid w:linePitch="360"/>
        </w:sectPr>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45pt;width:612pt;height:842.25pt;z-index:251658240">
            <v:imagedata r:id="rId8" o:title=""/>
          </v:shape>
        </w:pict>
      </w:r>
    </w:p>
    <w:p w:rsidR="005F44B2" w:rsidRPr="0093211B" w:rsidRDefault="005F44B2" w:rsidP="00A041B4">
      <w:pPr>
        <w:pStyle w:val="a0"/>
        <w:jc w:val="center"/>
        <w:rPr>
          <w:rtl/>
        </w:rPr>
      </w:pPr>
      <w:r>
        <w:rPr>
          <w:noProof/>
          <w:lang w:val="en-US" w:bidi="ar-SA"/>
        </w:rPr>
        <w:pict>
          <v:shape id="_x0000_s1027" type="#_x0000_t75" style="position:absolute;left:0;text-align:left;margin-left:-99pt;margin-top:-54pt;width:612pt;height:842.25pt;z-index:251659264">
            <v:imagedata r:id="rId9" o:title=""/>
          </v:shape>
        </w:pict>
      </w:r>
    </w:p>
    <w:p w:rsidR="005F44B2" w:rsidRDefault="005F44B2" w:rsidP="00305D94">
      <w:pPr>
        <w:spacing w:line="360" w:lineRule="auto"/>
        <w:jc w:val="center"/>
        <w:rPr>
          <w:b/>
          <w:bCs/>
          <w:sz w:val="50"/>
          <w:szCs w:val="50"/>
          <w:rtl/>
        </w:rPr>
      </w:pPr>
      <w:r>
        <w:rPr>
          <w:b/>
          <w:bCs/>
          <w:sz w:val="50"/>
          <w:szCs w:val="50"/>
          <w:rtl/>
        </w:rPr>
        <w:br w:type="page"/>
      </w:r>
    </w:p>
    <w:p w:rsidR="005F44B2" w:rsidRDefault="005F44B2" w:rsidP="00305D94">
      <w:pPr>
        <w:spacing w:line="360" w:lineRule="auto"/>
        <w:jc w:val="center"/>
        <w:rPr>
          <w:b/>
          <w:bCs/>
          <w:sz w:val="50"/>
          <w:szCs w:val="50"/>
          <w:rtl/>
        </w:rPr>
      </w:pPr>
    </w:p>
    <w:p w:rsidR="005F44B2" w:rsidRDefault="005F44B2" w:rsidP="00305D94">
      <w:pPr>
        <w:spacing w:line="360" w:lineRule="auto"/>
        <w:jc w:val="center"/>
        <w:rPr>
          <w:b/>
          <w:bCs/>
          <w:sz w:val="50"/>
          <w:szCs w:val="50"/>
          <w:rtl/>
        </w:rPr>
      </w:pPr>
    </w:p>
    <w:p w:rsidR="005F44B2" w:rsidRDefault="005F44B2" w:rsidP="00305D94">
      <w:pPr>
        <w:spacing w:line="360" w:lineRule="auto"/>
        <w:jc w:val="center"/>
        <w:rPr>
          <w:b/>
          <w:bCs/>
          <w:sz w:val="50"/>
          <w:szCs w:val="50"/>
          <w:rtl/>
        </w:rPr>
      </w:pPr>
    </w:p>
    <w:p w:rsidR="005F44B2" w:rsidRDefault="005F44B2" w:rsidP="00305D94">
      <w:pPr>
        <w:spacing w:line="360" w:lineRule="auto"/>
        <w:jc w:val="center"/>
        <w:rPr>
          <w:b/>
          <w:bCs/>
          <w:sz w:val="50"/>
          <w:szCs w:val="50"/>
          <w:rtl/>
        </w:rPr>
      </w:pPr>
    </w:p>
    <w:p w:rsidR="005F44B2" w:rsidRPr="00305D94" w:rsidRDefault="005F44B2" w:rsidP="00305D94">
      <w:pPr>
        <w:spacing w:line="360" w:lineRule="auto"/>
        <w:jc w:val="center"/>
        <w:rPr>
          <w:b/>
          <w:bCs/>
          <w:sz w:val="90"/>
          <w:szCs w:val="90"/>
          <w:rtl/>
        </w:rPr>
      </w:pPr>
      <w:r w:rsidRPr="00305D94">
        <w:rPr>
          <w:rFonts w:hint="cs"/>
          <w:b/>
          <w:bCs/>
          <w:sz w:val="90"/>
          <w:szCs w:val="90"/>
          <w:rtl/>
        </w:rPr>
        <w:t>بسم</w:t>
      </w:r>
      <w:r w:rsidRPr="00305D94">
        <w:rPr>
          <w:b/>
          <w:bCs/>
          <w:sz w:val="90"/>
          <w:szCs w:val="90"/>
          <w:rtl/>
        </w:rPr>
        <w:t xml:space="preserve"> الله الرحمن الرحيم</w:t>
      </w:r>
    </w:p>
    <w:p w:rsidR="005F44B2" w:rsidRPr="00305D94" w:rsidRDefault="005F44B2" w:rsidP="00A041B4">
      <w:pPr>
        <w:pStyle w:val="a0"/>
        <w:jc w:val="center"/>
        <w:rPr>
          <w:sz w:val="90"/>
          <w:szCs w:val="90"/>
          <w:rtl/>
        </w:rPr>
        <w:sectPr w:rsidR="005F44B2" w:rsidRPr="00305D94" w:rsidSect="00B9012C">
          <w:footnotePr>
            <w:numRestart w:val="eachPage"/>
          </w:footnotePr>
          <w:pgSz w:w="11906" w:h="16838"/>
          <w:pgMar w:top="1418" w:right="1985" w:bottom="1418" w:left="1418" w:header="709" w:footer="709" w:gutter="0"/>
          <w:cols w:space="708"/>
          <w:titlePg/>
          <w:rtlGutter/>
          <w:docGrid w:linePitch="360"/>
        </w:sectPr>
      </w:pPr>
    </w:p>
    <w:p w:rsidR="005F44B2" w:rsidRPr="00DA75F8" w:rsidRDefault="005F44B2" w:rsidP="00A041B4">
      <w:pPr>
        <w:pStyle w:val="a1"/>
        <w:jc w:val="center"/>
        <w:rPr>
          <w:rtl/>
        </w:rPr>
      </w:pPr>
      <w:bookmarkStart w:id="0" w:name="_Toc447092542"/>
      <w:r>
        <w:rPr>
          <w:noProof/>
          <w:lang w:val="en-US" w:bidi="ar-SA"/>
        </w:rPr>
        <w:pict>
          <v:shape id="_x0000_s1028" type="#_x0000_t75" style="position:absolute;left:0;text-align:left;margin-left:-90pt;margin-top:0;width:592.4pt;height:815.25pt;z-index:251660288">
            <v:imagedata r:id="rId10" o:title=""/>
          </v:shape>
        </w:pict>
      </w:r>
      <w:r>
        <w:rPr>
          <w:sz w:val="24"/>
          <w:szCs w:val="24"/>
          <w:rtl/>
        </w:rPr>
        <w:br w:type="page"/>
      </w:r>
      <w:r w:rsidRPr="00DA75F8">
        <w:rPr>
          <w:rFonts w:hint="cs"/>
          <w:rtl/>
        </w:rPr>
        <w:t>الإهداء</w:t>
      </w:r>
      <w:bookmarkEnd w:id="0"/>
    </w:p>
    <w:p w:rsidR="005F44B2" w:rsidRPr="00DA75F8" w:rsidRDefault="005F44B2" w:rsidP="005E6A96">
      <w:pPr>
        <w:spacing w:line="360" w:lineRule="auto"/>
        <w:jc w:val="center"/>
        <w:rPr>
          <w:rtl/>
        </w:rPr>
      </w:pPr>
    </w:p>
    <w:p w:rsidR="005F44B2" w:rsidRPr="00DA75F8" w:rsidRDefault="005F44B2" w:rsidP="005E6A96">
      <w:pPr>
        <w:spacing w:line="360" w:lineRule="auto"/>
        <w:jc w:val="center"/>
        <w:rPr>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أفضل المعلّمين سيّدنا  محمد المصطفى – صلى الله عليه وسلم –</w:t>
      </w: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جدّي العالم الكريم الذي بدأتُ حياة العلم على يده وشجّعني على العلم</w:t>
      </w: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والديّ العزيزين الذين بذلا كل ما يملكان في سبيل نشأتي</w:t>
      </w: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شقيقي وشقيقتي الذين ما فتئوا يواصلون الدعاء لي حتى يُسدّد الله خطاي</w:t>
      </w: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رفيقة حياتي التي صبرت عليّ ودعمتني في دراستي</w:t>
      </w: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p>
    <w:p w:rsidR="005F44B2" w:rsidRPr="00DA75F8" w:rsidRDefault="005F44B2" w:rsidP="005E6A96">
      <w:pPr>
        <w:spacing w:line="360" w:lineRule="auto"/>
        <w:jc w:val="center"/>
        <w:rPr>
          <w:sz w:val="32"/>
          <w:szCs w:val="32"/>
          <w:rtl/>
        </w:rPr>
      </w:pPr>
      <w:r w:rsidRPr="00DA75F8">
        <w:rPr>
          <w:rFonts w:hint="cs"/>
          <w:sz w:val="32"/>
          <w:szCs w:val="32"/>
          <w:rtl/>
        </w:rPr>
        <w:t>إلى</w:t>
      </w:r>
      <w:r w:rsidRPr="00DA75F8">
        <w:rPr>
          <w:sz w:val="32"/>
          <w:szCs w:val="32"/>
          <w:rtl/>
        </w:rPr>
        <w:t xml:space="preserve"> بكري الذي وهبني الله إياه فكان مصدر إلهام </w:t>
      </w:r>
      <w:r w:rsidRPr="00DA75F8">
        <w:rPr>
          <w:rFonts w:hint="cs"/>
          <w:sz w:val="32"/>
          <w:szCs w:val="32"/>
          <w:rtl/>
        </w:rPr>
        <w:t>وصبر</w:t>
      </w:r>
    </w:p>
    <w:p w:rsidR="005F44B2" w:rsidRPr="00DA75F8" w:rsidRDefault="005F44B2" w:rsidP="005E6A96">
      <w:pPr>
        <w:spacing w:line="360" w:lineRule="auto"/>
        <w:jc w:val="center"/>
        <w:rPr>
          <w:color w:val="2E74B5"/>
          <w:rtl/>
          <w:lang w:eastAsia="tr-TR" w:bidi="ar-SA"/>
        </w:rPr>
      </w:pPr>
      <w:r w:rsidRPr="00DA75F8">
        <w:rPr>
          <w:rtl/>
        </w:rPr>
        <w:br w:type="page"/>
      </w:r>
    </w:p>
    <w:p w:rsidR="005F44B2" w:rsidRPr="00DA75F8" w:rsidRDefault="005F44B2" w:rsidP="00A041B4">
      <w:pPr>
        <w:pStyle w:val="a1"/>
        <w:jc w:val="center"/>
        <w:rPr>
          <w:rtl/>
        </w:rPr>
      </w:pPr>
      <w:bookmarkStart w:id="1" w:name="_Toc447092543"/>
      <w:r w:rsidRPr="00DA75F8">
        <w:rPr>
          <w:rFonts w:hint="cs"/>
          <w:rtl/>
        </w:rPr>
        <w:t>الشكروالتقدير</w:t>
      </w:r>
      <w:bookmarkEnd w:id="1"/>
    </w:p>
    <w:p w:rsidR="005F44B2" w:rsidRDefault="005F44B2" w:rsidP="00A041B4">
      <w:pPr>
        <w:pStyle w:val="a0"/>
        <w:jc w:val="center"/>
        <w:rPr>
          <w:sz w:val="30"/>
          <w:szCs w:val="30"/>
          <w:rtl/>
        </w:rPr>
      </w:pPr>
    </w:p>
    <w:p w:rsidR="005F44B2" w:rsidRDefault="005F44B2" w:rsidP="00A041B4">
      <w:pPr>
        <w:pStyle w:val="a0"/>
        <w:jc w:val="center"/>
        <w:rPr>
          <w:sz w:val="30"/>
          <w:szCs w:val="30"/>
          <w:rtl/>
        </w:rPr>
      </w:pPr>
    </w:p>
    <w:p w:rsidR="005F44B2" w:rsidRPr="00736D10" w:rsidRDefault="005F44B2" w:rsidP="007865AD">
      <w:pPr>
        <w:pStyle w:val="a0"/>
        <w:jc w:val="center"/>
        <w:rPr>
          <w:sz w:val="32"/>
          <w:szCs w:val="32"/>
          <w:rtl/>
        </w:rPr>
      </w:pPr>
      <w:r>
        <w:rPr>
          <w:rFonts w:hint="cs"/>
          <w:sz w:val="32"/>
          <w:szCs w:val="32"/>
          <w:rtl/>
        </w:rPr>
        <w:t>إن</w:t>
      </w:r>
      <w:r>
        <w:rPr>
          <w:sz w:val="32"/>
          <w:szCs w:val="32"/>
          <w:rtl/>
        </w:rPr>
        <w:t xml:space="preserve"> شكري</w:t>
      </w:r>
      <w:r w:rsidRPr="00736D10">
        <w:rPr>
          <w:sz w:val="32"/>
          <w:szCs w:val="32"/>
          <w:rtl/>
        </w:rPr>
        <w:t xml:space="preserve"> لله على ما حباني به </w:t>
      </w:r>
    </w:p>
    <w:p w:rsidR="005F44B2" w:rsidRDefault="005F44B2" w:rsidP="00A041B4">
      <w:pPr>
        <w:pStyle w:val="a0"/>
        <w:jc w:val="center"/>
        <w:rPr>
          <w:sz w:val="32"/>
          <w:szCs w:val="32"/>
          <w:rtl/>
        </w:rPr>
      </w:pPr>
      <w:r>
        <w:rPr>
          <w:rFonts w:hint="cs"/>
          <w:sz w:val="32"/>
          <w:szCs w:val="32"/>
          <w:rtl/>
        </w:rPr>
        <w:t>دراسة</w:t>
      </w:r>
      <w:r>
        <w:rPr>
          <w:sz w:val="32"/>
          <w:szCs w:val="32"/>
          <w:rtl/>
        </w:rPr>
        <w:t xml:space="preserve"> العمل الشرع وبما</w:t>
      </w:r>
      <w:r w:rsidRPr="00736D10">
        <w:rPr>
          <w:sz w:val="32"/>
          <w:szCs w:val="32"/>
          <w:rtl/>
        </w:rPr>
        <w:t xml:space="preserve"> أَمْكَنَ</w:t>
      </w:r>
      <w:r>
        <w:rPr>
          <w:rFonts w:hint="cs"/>
          <w:sz w:val="32"/>
          <w:szCs w:val="32"/>
          <w:rtl/>
        </w:rPr>
        <w:t>تْني</w:t>
      </w:r>
      <w:r>
        <w:rPr>
          <w:sz w:val="32"/>
          <w:szCs w:val="32"/>
          <w:rtl/>
        </w:rPr>
        <w:t xml:space="preserve"> من أداء هذه العمل</w:t>
      </w:r>
    </w:p>
    <w:p w:rsidR="005F44B2" w:rsidRPr="00736D10" w:rsidRDefault="005F44B2" w:rsidP="00A041B4">
      <w:pPr>
        <w:pStyle w:val="a0"/>
        <w:jc w:val="center"/>
        <w:rPr>
          <w:sz w:val="32"/>
          <w:szCs w:val="32"/>
          <w:rtl/>
        </w:rPr>
      </w:pPr>
      <w:r>
        <w:rPr>
          <w:rFonts w:hint="cs"/>
          <w:sz w:val="32"/>
          <w:szCs w:val="32"/>
          <w:rtl/>
        </w:rPr>
        <w:t>الذي</w:t>
      </w:r>
      <w:r>
        <w:rPr>
          <w:sz w:val="32"/>
          <w:szCs w:val="32"/>
          <w:rtl/>
        </w:rPr>
        <w:t xml:space="preserve">  آمل أن يباركه</w:t>
      </w:r>
    </w:p>
    <w:p w:rsidR="005F44B2" w:rsidRPr="00736D10" w:rsidRDefault="005F44B2" w:rsidP="00A041B4">
      <w:pPr>
        <w:pStyle w:val="a0"/>
        <w:jc w:val="center"/>
        <w:rPr>
          <w:sz w:val="32"/>
          <w:szCs w:val="32"/>
          <w:rtl/>
        </w:rPr>
      </w:pPr>
    </w:p>
    <w:p w:rsidR="005F44B2" w:rsidRPr="00736D10" w:rsidRDefault="005F44B2" w:rsidP="00A041B4">
      <w:pPr>
        <w:pStyle w:val="a0"/>
        <w:jc w:val="center"/>
        <w:rPr>
          <w:sz w:val="32"/>
          <w:szCs w:val="32"/>
          <w:rtl/>
        </w:rPr>
      </w:pPr>
    </w:p>
    <w:p w:rsidR="005F44B2" w:rsidRDefault="005F44B2" w:rsidP="00A041B4">
      <w:pPr>
        <w:pStyle w:val="a0"/>
        <w:jc w:val="center"/>
        <w:rPr>
          <w:sz w:val="32"/>
          <w:szCs w:val="32"/>
          <w:rtl/>
        </w:rPr>
      </w:pPr>
      <w:r>
        <w:rPr>
          <w:rFonts w:hint="cs"/>
          <w:sz w:val="32"/>
          <w:szCs w:val="32"/>
          <w:rtl/>
        </w:rPr>
        <w:t>و</w:t>
      </w:r>
      <w:r w:rsidRPr="00736D10">
        <w:rPr>
          <w:rFonts w:hint="cs"/>
          <w:sz w:val="32"/>
          <w:szCs w:val="32"/>
          <w:rtl/>
        </w:rPr>
        <w:t>أتقدّم</w:t>
      </w:r>
      <w:r w:rsidRPr="00736D10">
        <w:rPr>
          <w:sz w:val="32"/>
          <w:szCs w:val="32"/>
          <w:rtl/>
        </w:rPr>
        <w:t xml:space="preserve"> بالشكر الجزيل، والثناء الموصول،</w:t>
      </w:r>
    </w:p>
    <w:p w:rsidR="005F44B2" w:rsidRDefault="005F44B2" w:rsidP="00A041B4">
      <w:pPr>
        <w:pStyle w:val="a0"/>
        <w:jc w:val="center"/>
        <w:rPr>
          <w:sz w:val="32"/>
          <w:szCs w:val="32"/>
          <w:rtl/>
        </w:rPr>
      </w:pPr>
      <w:r w:rsidRPr="00736D10">
        <w:rPr>
          <w:sz w:val="32"/>
          <w:szCs w:val="32"/>
          <w:rtl/>
        </w:rPr>
        <w:t xml:space="preserve"> لدكتورتي وأستاذتي جميلة الرفاعي،</w:t>
      </w:r>
    </w:p>
    <w:p w:rsidR="005F44B2" w:rsidRPr="00736D10" w:rsidRDefault="005F44B2" w:rsidP="007865AD">
      <w:pPr>
        <w:pStyle w:val="a0"/>
        <w:jc w:val="center"/>
        <w:rPr>
          <w:sz w:val="32"/>
          <w:szCs w:val="32"/>
          <w:rtl/>
        </w:rPr>
      </w:pPr>
      <w:r w:rsidRPr="00736D10">
        <w:rPr>
          <w:sz w:val="32"/>
          <w:szCs w:val="32"/>
          <w:rtl/>
        </w:rPr>
        <w:t xml:space="preserve"> على كل لحظة قضيتها معها نبحث فيها</w:t>
      </w:r>
      <w:r>
        <w:rPr>
          <w:sz w:val="32"/>
          <w:szCs w:val="32"/>
          <w:rtl/>
        </w:rPr>
        <w:t xml:space="preserve"> حول</w:t>
      </w:r>
      <w:r w:rsidRPr="00736D10">
        <w:rPr>
          <w:sz w:val="32"/>
          <w:szCs w:val="32"/>
          <w:rtl/>
        </w:rPr>
        <w:t xml:space="preserve"> جزئية أو نعدّل</w:t>
      </w:r>
      <w:r>
        <w:rPr>
          <w:sz w:val="32"/>
          <w:szCs w:val="32"/>
          <w:rtl/>
        </w:rPr>
        <w:t xml:space="preserve"> فيهامسار</w:t>
      </w:r>
    </w:p>
    <w:p w:rsidR="005F44B2" w:rsidRDefault="005F44B2" w:rsidP="00A041B4">
      <w:pPr>
        <w:pStyle w:val="a0"/>
        <w:jc w:val="center"/>
        <w:rPr>
          <w:sz w:val="32"/>
          <w:szCs w:val="32"/>
          <w:rtl/>
        </w:rPr>
      </w:pPr>
      <w:r w:rsidRPr="00736D10">
        <w:rPr>
          <w:sz w:val="32"/>
          <w:szCs w:val="32"/>
          <w:rtl/>
        </w:rPr>
        <w:t xml:space="preserve"> فلقد كانت خير مرشد ودليل لإظهار هذا العمل </w:t>
      </w:r>
    </w:p>
    <w:p w:rsidR="005F44B2" w:rsidRDefault="005F44B2" w:rsidP="00E606FF">
      <w:pPr>
        <w:pStyle w:val="a0"/>
        <w:jc w:val="center"/>
        <w:rPr>
          <w:sz w:val="32"/>
          <w:szCs w:val="32"/>
          <w:rtl/>
        </w:rPr>
      </w:pPr>
      <w:r w:rsidRPr="00736D10">
        <w:rPr>
          <w:rFonts w:hint="cs"/>
          <w:sz w:val="32"/>
          <w:szCs w:val="32"/>
          <w:rtl/>
        </w:rPr>
        <w:t>بما</w:t>
      </w:r>
      <w:r w:rsidRPr="00736D10">
        <w:rPr>
          <w:sz w:val="32"/>
          <w:szCs w:val="32"/>
          <w:rtl/>
        </w:rPr>
        <w:t xml:space="preserve"> هو عليه راجيًا من الله أن يجعل هذا </w:t>
      </w:r>
    </w:p>
    <w:p w:rsidR="005F44B2" w:rsidRDefault="005F44B2" w:rsidP="00E606FF">
      <w:pPr>
        <w:pStyle w:val="a0"/>
        <w:jc w:val="center"/>
        <w:rPr>
          <w:sz w:val="32"/>
          <w:szCs w:val="32"/>
          <w:rtl/>
        </w:rPr>
      </w:pPr>
      <w:r w:rsidRPr="00736D10">
        <w:rPr>
          <w:rFonts w:hint="cs"/>
          <w:sz w:val="32"/>
          <w:szCs w:val="32"/>
          <w:rtl/>
        </w:rPr>
        <w:t>في</w:t>
      </w:r>
      <w:r w:rsidRPr="00736D10">
        <w:rPr>
          <w:sz w:val="32"/>
          <w:szCs w:val="32"/>
          <w:rtl/>
        </w:rPr>
        <w:t xml:space="preserve"> ميزان حسناتها</w:t>
      </w:r>
    </w:p>
    <w:p w:rsidR="005F44B2" w:rsidRDefault="005F44B2" w:rsidP="00A041B4">
      <w:pPr>
        <w:pStyle w:val="a0"/>
        <w:jc w:val="center"/>
        <w:rPr>
          <w:sz w:val="32"/>
          <w:szCs w:val="32"/>
          <w:rtl/>
        </w:rPr>
      </w:pPr>
      <w:r w:rsidRPr="00736D10">
        <w:rPr>
          <w:sz w:val="32"/>
          <w:szCs w:val="32"/>
          <w:rtl/>
        </w:rPr>
        <w:t xml:space="preserve"> يوم نلقاه.</w:t>
      </w:r>
    </w:p>
    <w:p w:rsidR="005F44B2" w:rsidRPr="00736D10" w:rsidRDefault="005F44B2" w:rsidP="00A041B4">
      <w:pPr>
        <w:pStyle w:val="a0"/>
        <w:jc w:val="center"/>
        <w:rPr>
          <w:sz w:val="32"/>
          <w:szCs w:val="32"/>
          <w:rtl/>
        </w:rPr>
      </w:pPr>
    </w:p>
    <w:p w:rsidR="005F44B2" w:rsidRDefault="005F44B2" w:rsidP="00A041B4">
      <w:pPr>
        <w:pStyle w:val="a0"/>
        <w:jc w:val="center"/>
        <w:rPr>
          <w:sz w:val="32"/>
          <w:szCs w:val="32"/>
          <w:rtl/>
        </w:rPr>
      </w:pPr>
      <w:r>
        <w:rPr>
          <w:rFonts w:hint="cs"/>
          <w:sz w:val="32"/>
          <w:szCs w:val="32"/>
          <w:rtl/>
        </w:rPr>
        <w:t>وأشكر</w:t>
      </w:r>
      <w:r>
        <w:rPr>
          <w:sz w:val="32"/>
          <w:szCs w:val="32"/>
          <w:rtl/>
        </w:rPr>
        <w:t xml:space="preserve"> الجامعة الأردنية لما قدمت لي من كتب طيبة من خلال مكتبتها العامرة</w:t>
      </w:r>
    </w:p>
    <w:p w:rsidR="005F44B2" w:rsidRPr="00736D10" w:rsidRDefault="005F44B2" w:rsidP="00A041B4">
      <w:pPr>
        <w:pStyle w:val="a0"/>
        <w:jc w:val="center"/>
        <w:rPr>
          <w:sz w:val="32"/>
          <w:szCs w:val="32"/>
          <w:rtl/>
        </w:rPr>
      </w:pPr>
      <w:r>
        <w:rPr>
          <w:rFonts w:hint="cs"/>
          <w:sz w:val="32"/>
          <w:szCs w:val="32"/>
          <w:rtl/>
        </w:rPr>
        <w:t>ولايفوتني</w:t>
      </w:r>
      <w:r>
        <w:rPr>
          <w:sz w:val="32"/>
          <w:szCs w:val="32"/>
          <w:rtl/>
        </w:rPr>
        <w:t xml:space="preserve"> أن أشكر كليتي – كلية الشريعة – والأساتذتها العلماء</w:t>
      </w:r>
    </w:p>
    <w:p w:rsidR="005F44B2" w:rsidRPr="00736D10" w:rsidRDefault="005F44B2" w:rsidP="00A041B4">
      <w:pPr>
        <w:pStyle w:val="a0"/>
        <w:jc w:val="center"/>
        <w:rPr>
          <w:sz w:val="32"/>
          <w:szCs w:val="32"/>
          <w:rtl/>
        </w:rPr>
      </w:pPr>
    </w:p>
    <w:p w:rsidR="005F44B2" w:rsidRPr="00736D10" w:rsidRDefault="005F44B2" w:rsidP="00A041B4">
      <w:pPr>
        <w:pStyle w:val="a0"/>
        <w:jc w:val="center"/>
        <w:rPr>
          <w:sz w:val="32"/>
          <w:szCs w:val="32"/>
          <w:rtl/>
        </w:rPr>
      </w:pPr>
      <w:r w:rsidRPr="00736D10">
        <w:rPr>
          <w:rFonts w:hint="cs"/>
          <w:sz w:val="32"/>
          <w:szCs w:val="32"/>
          <w:rtl/>
        </w:rPr>
        <w:t>ولايفوتني</w:t>
      </w:r>
      <w:r w:rsidRPr="00736D10">
        <w:rPr>
          <w:sz w:val="32"/>
          <w:szCs w:val="32"/>
          <w:rtl/>
        </w:rPr>
        <w:t xml:space="preserve"> أن أشكر الأس</w:t>
      </w:r>
      <w:r>
        <w:rPr>
          <w:rFonts w:hint="cs"/>
          <w:sz w:val="32"/>
          <w:szCs w:val="32"/>
          <w:rtl/>
        </w:rPr>
        <w:t>ا</w:t>
      </w:r>
      <w:r w:rsidRPr="00736D10">
        <w:rPr>
          <w:rFonts w:hint="cs"/>
          <w:sz w:val="32"/>
          <w:szCs w:val="32"/>
          <w:rtl/>
        </w:rPr>
        <w:t>تذة</w:t>
      </w:r>
      <w:r w:rsidRPr="00736D10">
        <w:rPr>
          <w:sz w:val="32"/>
          <w:szCs w:val="32"/>
          <w:rtl/>
        </w:rPr>
        <w:t xml:space="preserve"> الكرام الذين قاموا بمناقشة هذه الرسالة،</w:t>
      </w:r>
    </w:p>
    <w:p w:rsidR="005F44B2" w:rsidRDefault="005F44B2" w:rsidP="00E606FF">
      <w:pPr>
        <w:pStyle w:val="a0"/>
        <w:jc w:val="center"/>
        <w:rPr>
          <w:sz w:val="32"/>
          <w:szCs w:val="32"/>
          <w:rtl/>
        </w:rPr>
      </w:pPr>
      <w:r w:rsidRPr="00736D10">
        <w:rPr>
          <w:sz w:val="32"/>
          <w:szCs w:val="32"/>
          <w:rtl/>
        </w:rPr>
        <w:t xml:space="preserve"> فعدّلوا ووجّهوا وأغدقوا عليّ من الفائدة مالا يفعله </w:t>
      </w:r>
    </w:p>
    <w:p w:rsidR="005F44B2" w:rsidRPr="00736D10" w:rsidRDefault="005F44B2" w:rsidP="00E606FF">
      <w:pPr>
        <w:pStyle w:val="a0"/>
        <w:jc w:val="center"/>
        <w:rPr>
          <w:sz w:val="32"/>
          <w:szCs w:val="32"/>
          <w:rtl/>
        </w:rPr>
      </w:pPr>
      <w:r w:rsidRPr="00736D10">
        <w:rPr>
          <w:rFonts w:hint="cs"/>
          <w:sz w:val="32"/>
          <w:szCs w:val="32"/>
          <w:rtl/>
        </w:rPr>
        <w:t>إلا</w:t>
      </w:r>
      <w:r w:rsidRPr="00736D10">
        <w:rPr>
          <w:sz w:val="32"/>
          <w:szCs w:val="32"/>
          <w:rtl/>
        </w:rPr>
        <w:t xml:space="preserve"> عالم وخبير ومخلص </w:t>
      </w:r>
    </w:p>
    <w:p w:rsidR="005F44B2" w:rsidRDefault="005F44B2" w:rsidP="00305D94">
      <w:pPr>
        <w:pStyle w:val="a0"/>
        <w:jc w:val="center"/>
        <w:rPr>
          <w:sz w:val="32"/>
          <w:szCs w:val="32"/>
          <w:rtl/>
        </w:rPr>
      </w:pPr>
      <w:r w:rsidRPr="00736D10">
        <w:rPr>
          <w:rFonts w:hint="cs"/>
          <w:sz w:val="32"/>
          <w:szCs w:val="32"/>
          <w:rtl/>
        </w:rPr>
        <w:t>فلهم</w:t>
      </w:r>
      <w:r w:rsidRPr="00736D10">
        <w:rPr>
          <w:sz w:val="32"/>
          <w:szCs w:val="32"/>
          <w:rtl/>
        </w:rPr>
        <w:t xml:space="preserve"> </w:t>
      </w:r>
      <w:r>
        <w:rPr>
          <w:rFonts w:hint="cs"/>
          <w:sz w:val="32"/>
          <w:szCs w:val="32"/>
          <w:rtl/>
        </w:rPr>
        <w:t>مني</w:t>
      </w:r>
      <w:r w:rsidRPr="00736D10">
        <w:rPr>
          <w:sz w:val="32"/>
          <w:szCs w:val="32"/>
          <w:rtl/>
        </w:rPr>
        <w:t xml:space="preserve"> كل الشكر </w:t>
      </w:r>
    </w:p>
    <w:p w:rsidR="005F44B2" w:rsidRPr="00736D10" w:rsidRDefault="005F44B2" w:rsidP="00305D94">
      <w:pPr>
        <w:pStyle w:val="a0"/>
        <w:jc w:val="center"/>
        <w:rPr>
          <w:sz w:val="32"/>
          <w:szCs w:val="32"/>
          <w:rtl/>
        </w:rPr>
      </w:pPr>
      <w:r w:rsidRPr="00736D10">
        <w:rPr>
          <w:rFonts w:hint="cs"/>
          <w:sz w:val="32"/>
          <w:szCs w:val="32"/>
          <w:rtl/>
        </w:rPr>
        <w:t>والمودة</w:t>
      </w:r>
    </w:p>
    <w:p w:rsidR="005F44B2" w:rsidRPr="00C10A14" w:rsidRDefault="005F44B2" w:rsidP="00C10A14">
      <w:pPr>
        <w:pStyle w:val="a1"/>
        <w:jc w:val="center"/>
        <w:rPr>
          <w:szCs w:val="28"/>
        </w:rPr>
      </w:pPr>
      <w:bookmarkStart w:id="2" w:name="_Toc447092544"/>
      <w:r w:rsidRPr="00DA75F8">
        <w:rPr>
          <w:rFonts w:hint="cs"/>
          <w:rtl/>
        </w:rPr>
        <w:t>فهرسالمحتويات</w:t>
      </w:r>
      <w:bookmarkEnd w:id="2"/>
    </w:p>
    <w:p w:rsidR="005F44B2" w:rsidRPr="00C10A14" w:rsidRDefault="005F44B2" w:rsidP="00C10A14">
      <w:pPr>
        <w:pStyle w:val="TOC1"/>
        <w:rPr>
          <w:b w:val="0"/>
          <w:bCs w:val="0"/>
          <w:lang w:eastAsia="tr-TR" w:bidi="ar-SA"/>
        </w:rPr>
      </w:pPr>
      <w:r w:rsidRPr="00C10A14">
        <w:fldChar w:fldCharType="begin"/>
      </w:r>
      <w:r w:rsidRPr="00C10A14">
        <w:instrText>TOC</w:instrText>
      </w:r>
      <w:r w:rsidRPr="00C10A14">
        <w:rPr>
          <w:noProof w:val="0"/>
          <w:rtl/>
        </w:rPr>
        <w:instrText xml:space="preserve"> \</w:instrText>
      </w:r>
      <w:r w:rsidRPr="00C10A14">
        <w:instrText>o "1-3" \h \z \u</w:instrText>
      </w:r>
      <w:r w:rsidRPr="00C10A14">
        <w:fldChar w:fldCharType="separate"/>
      </w:r>
      <w:hyperlink w:anchor="_Toc447092541" w:history="1">
        <w:r w:rsidRPr="00C10A14">
          <w:rPr>
            <w:rStyle w:val="Hyperlink"/>
            <w:rFonts w:cs="Arabic Transparent" w:hint="cs"/>
            <w:noProof w:val="0"/>
            <w:rtl/>
          </w:rPr>
          <w:t>قرارلجنةالمناقشة</w:t>
        </w:r>
        <w:r w:rsidRPr="00C10A14">
          <w:rPr>
            <w:webHidden/>
          </w:rPr>
          <w:tab/>
        </w:r>
        <w:r w:rsidRPr="00C10A14">
          <w:rPr>
            <w:webHidden/>
          </w:rPr>
          <w:fldChar w:fldCharType="begin"/>
        </w:r>
        <w:r w:rsidRPr="00C10A14">
          <w:rPr>
            <w:webHidden/>
          </w:rPr>
          <w:instrText xml:space="preserve"> PAGEREF _Toc447092541 \h </w:instrText>
        </w:r>
        <w:r w:rsidRPr="00C10A14">
          <w:rPr>
            <w:webHidden/>
          </w:rPr>
          <w:fldChar w:fldCharType="separate"/>
        </w:r>
        <w:r>
          <w:rPr>
            <w:webHidden/>
          </w:rPr>
          <w:t>ii</w:t>
        </w:r>
        <w:r w:rsidRPr="00C10A14">
          <w:rPr>
            <w:webHidden/>
          </w:rPr>
          <w:fldChar w:fldCharType="end"/>
        </w:r>
      </w:hyperlink>
    </w:p>
    <w:p w:rsidR="005F44B2" w:rsidRPr="00C10A14" w:rsidRDefault="005F44B2" w:rsidP="00C10A14">
      <w:pPr>
        <w:pStyle w:val="TOC1"/>
        <w:rPr>
          <w:b w:val="0"/>
          <w:bCs w:val="0"/>
          <w:lang w:eastAsia="tr-TR" w:bidi="ar-SA"/>
        </w:rPr>
      </w:pPr>
      <w:hyperlink w:anchor="_Toc447092542" w:history="1">
        <w:r w:rsidRPr="00C10A14">
          <w:rPr>
            <w:rStyle w:val="Hyperlink"/>
            <w:rFonts w:cs="Arabic Transparent" w:hint="cs"/>
            <w:noProof w:val="0"/>
            <w:rtl/>
          </w:rPr>
          <w:t>الإهداء</w:t>
        </w:r>
        <w:r w:rsidRPr="00C10A14">
          <w:rPr>
            <w:webHidden/>
          </w:rPr>
          <w:tab/>
        </w:r>
        <w:r w:rsidRPr="00C10A14">
          <w:rPr>
            <w:webHidden/>
          </w:rPr>
          <w:fldChar w:fldCharType="begin"/>
        </w:r>
        <w:r w:rsidRPr="00C10A14">
          <w:rPr>
            <w:webHidden/>
          </w:rPr>
          <w:instrText xml:space="preserve"> PAGEREF _Toc447092542 \h </w:instrText>
        </w:r>
        <w:r w:rsidRPr="00C10A14">
          <w:rPr>
            <w:webHidden/>
          </w:rPr>
          <w:fldChar w:fldCharType="separate"/>
        </w:r>
        <w:r>
          <w:rPr>
            <w:webHidden/>
          </w:rPr>
          <w:t>ii</w:t>
        </w:r>
        <w:r w:rsidRPr="00C10A14">
          <w:rPr>
            <w:webHidden/>
          </w:rPr>
          <w:fldChar w:fldCharType="end"/>
        </w:r>
      </w:hyperlink>
    </w:p>
    <w:p w:rsidR="005F44B2" w:rsidRPr="00C10A14" w:rsidRDefault="005F44B2" w:rsidP="00C10A14">
      <w:pPr>
        <w:pStyle w:val="TOC1"/>
        <w:rPr>
          <w:b w:val="0"/>
          <w:bCs w:val="0"/>
          <w:lang w:eastAsia="tr-TR" w:bidi="ar-SA"/>
        </w:rPr>
      </w:pPr>
      <w:hyperlink w:anchor="_Toc447092543" w:history="1">
        <w:r w:rsidRPr="00C10A14">
          <w:rPr>
            <w:rStyle w:val="Hyperlink"/>
            <w:rFonts w:cs="Arabic Transparent" w:hint="cs"/>
            <w:noProof w:val="0"/>
            <w:rtl/>
          </w:rPr>
          <w:t>الشكروالتقدير</w:t>
        </w:r>
        <w:r w:rsidRPr="00C10A14">
          <w:rPr>
            <w:webHidden/>
          </w:rPr>
          <w:tab/>
        </w:r>
        <w:r w:rsidRPr="00C10A14">
          <w:rPr>
            <w:webHidden/>
          </w:rPr>
          <w:fldChar w:fldCharType="begin"/>
        </w:r>
        <w:r w:rsidRPr="00C10A14">
          <w:rPr>
            <w:webHidden/>
          </w:rPr>
          <w:instrText xml:space="preserve"> PAGEREF _Toc447092543 \h </w:instrText>
        </w:r>
        <w:r w:rsidRPr="00C10A14">
          <w:rPr>
            <w:webHidden/>
          </w:rPr>
          <w:fldChar w:fldCharType="separate"/>
        </w:r>
        <w:r>
          <w:rPr>
            <w:webHidden/>
          </w:rPr>
          <w:t>ii</w:t>
        </w:r>
        <w:r w:rsidRPr="00C10A14">
          <w:rPr>
            <w:webHidden/>
          </w:rPr>
          <w:fldChar w:fldCharType="end"/>
        </w:r>
      </w:hyperlink>
    </w:p>
    <w:p w:rsidR="005F44B2" w:rsidRPr="00C10A14" w:rsidRDefault="005F44B2" w:rsidP="00C10A14">
      <w:pPr>
        <w:pStyle w:val="TOC1"/>
        <w:rPr>
          <w:b w:val="0"/>
          <w:bCs w:val="0"/>
          <w:lang w:eastAsia="tr-TR" w:bidi="ar-SA"/>
        </w:rPr>
      </w:pPr>
      <w:hyperlink w:anchor="_Toc447092544" w:history="1">
        <w:r w:rsidRPr="00C10A14">
          <w:rPr>
            <w:rStyle w:val="Hyperlink"/>
            <w:rFonts w:cs="Arabic Transparent" w:hint="cs"/>
            <w:noProof w:val="0"/>
            <w:rtl/>
          </w:rPr>
          <w:t>فهرسالمحتويات</w:t>
        </w:r>
        <w:r w:rsidRPr="00C10A14">
          <w:rPr>
            <w:webHidden/>
          </w:rPr>
          <w:tab/>
        </w:r>
        <w:r w:rsidRPr="00C10A14">
          <w:rPr>
            <w:webHidden/>
          </w:rPr>
          <w:fldChar w:fldCharType="begin"/>
        </w:r>
        <w:r w:rsidRPr="00C10A14">
          <w:rPr>
            <w:webHidden/>
          </w:rPr>
          <w:instrText xml:space="preserve"> PAGEREF _Toc447092544 \h </w:instrText>
        </w:r>
        <w:r w:rsidRPr="00C10A14">
          <w:rPr>
            <w:webHidden/>
          </w:rPr>
          <w:fldChar w:fldCharType="separate"/>
        </w:r>
        <w:r>
          <w:rPr>
            <w:webHidden/>
          </w:rPr>
          <w:t>ii</w:t>
        </w:r>
        <w:r w:rsidRPr="00C10A14">
          <w:rPr>
            <w:webHidden/>
          </w:rPr>
          <w:fldChar w:fldCharType="end"/>
        </w:r>
      </w:hyperlink>
    </w:p>
    <w:p w:rsidR="005F44B2" w:rsidRPr="00C10A14" w:rsidRDefault="005F44B2" w:rsidP="00C10A14">
      <w:pPr>
        <w:pStyle w:val="TOC1"/>
        <w:rPr>
          <w:b w:val="0"/>
          <w:bCs w:val="0"/>
          <w:lang w:eastAsia="tr-TR" w:bidi="ar-SA"/>
        </w:rPr>
      </w:pPr>
      <w:hyperlink w:anchor="_Toc447092545" w:history="1">
        <w:r w:rsidRPr="00C10A14">
          <w:rPr>
            <w:rStyle w:val="Hyperlink"/>
            <w:rFonts w:cs="Arabic Transparent" w:hint="cs"/>
            <w:noProof w:val="0"/>
            <w:rtl/>
          </w:rPr>
          <w:t>الملخص</w:t>
        </w:r>
        <w:r w:rsidRPr="00C10A14">
          <w:rPr>
            <w:webHidden/>
          </w:rPr>
          <w:tab/>
        </w:r>
        <w:r w:rsidRPr="00C10A14">
          <w:rPr>
            <w:webHidden/>
          </w:rPr>
          <w:fldChar w:fldCharType="begin"/>
        </w:r>
        <w:r w:rsidRPr="00C10A14">
          <w:rPr>
            <w:webHidden/>
          </w:rPr>
          <w:instrText xml:space="preserve"> PAGEREF _Toc447092545 \h </w:instrText>
        </w:r>
        <w:r w:rsidRPr="00C10A14">
          <w:rPr>
            <w:webHidden/>
          </w:rPr>
          <w:fldChar w:fldCharType="separate"/>
        </w:r>
        <w:r>
          <w:rPr>
            <w:webHidden/>
          </w:rPr>
          <w:t>ii</w:t>
        </w:r>
        <w:r w:rsidRPr="00C10A14">
          <w:rPr>
            <w:webHidden/>
          </w:rPr>
          <w:fldChar w:fldCharType="end"/>
        </w:r>
      </w:hyperlink>
    </w:p>
    <w:p w:rsidR="005F44B2" w:rsidRPr="00C10A14" w:rsidRDefault="005F44B2" w:rsidP="00C10A14">
      <w:pPr>
        <w:pStyle w:val="TOC1"/>
        <w:rPr>
          <w:b w:val="0"/>
          <w:bCs w:val="0"/>
          <w:lang w:eastAsia="tr-TR" w:bidi="ar-SA"/>
        </w:rPr>
      </w:pPr>
      <w:hyperlink w:anchor="_Toc447092546" w:history="1">
        <w:r w:rsidRPr="00C10A14">
          <w:rPr>
            <w:rStyle w:val="Hyperlink"/>
            <w:rFonts w:cs="Arabic Transparent" w:hint="cs"/>
            <w:noProof w:val="0"/>
            <w:rtl/>
          </w:rPr>
          <w:t>المقدمة</w:t>
        </w:r>
        <w:r w:rsidRPr="00C10A14">
          <w:rPr>
            <w:webHidden/>
          </w:rPr>
          <w:tab/>
        </w:r>
        <w:r w:rsidRPr="00C10A14">
          <w:rPr>
            <w:webHidden/>
          </w:rPr>
          <w:fldChar w:fldCharType="begin"/>
        </w:r>
        <w:r w:rsidRPr="00C10A14">
          <w:rPr>
            <w:webHidden/>
          </w:rPr>
          <w:instrText xml:space="preserve"> PAGEREF _Toc447092546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1"/>
        <w:rPr>
          <w:b w:val="0"/>
          <w:bCs w:val="0"/>
          <w:lang w:eastAsia="tr-TR" w:bidi="ar-SA"/>
        </w:rPr>
      </w:pPr>
      <w:hyperlink w:anchor="_Toc447092547" w:history="1">
        <w:r w:rsidRPr="00C10A14">
          <w:rPr>
            <w:rStyle w:val="Hyperlink"/>
            <w:rFonts w:cs="Arabic Transparent" w:hint="cs"/>
            <w:noProof w:val="0"/>
            <w:rtl/>
          </w:rPr>
          <w:t>الفصلالتمهيدي</w:t>
        </w:r>
        <w:r w:rsidRPr="00C10A14">
          <w:rPr>
            <w:webHidden/>
          </w:rPr>
          <w:tab/>
        </w:r>
        <w:r w:rsidRPr="00C10A14">
          <w:rPr>
            <w:webHidden/>
          </w:rPr>
          <w:fldChar w:fldCharType="begin"/>
        </w:r>
        <w:r w:rsidRPr="00C10A14">
          <w:rPr>
            <w:webHidden/>
          </w:rPr>
          <w:instrText xml:space="preserve"> PAGEREF _Toc447092547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48" w:history="1">
        <w:r w:rsidRPr="00C10A14">
          <w:rPr>
            <w:rStyle w:val="Hyperlink"/>
            <w:rFonts w:cs="Arabic Transparent" w:hint="cs"/>
            <w:noProof/>
            <w:sz w:val="28"/>
            <w:szCs w:val="28"/>
            <w:rtl/>
          </w:rPr>
          <w:t>المبحثالأول</w:t>
        </w:r>
        <w:r w:rsidRPr="00C10A14">
          <w:rPr>
            <w:rStyle w:val="Hyperlink"/>
            <w:rFonts w:cs="Arabic Transparent"/>
            <w:noProof/>
            <w:sz w:val="28"/>
            <w:szCs w:val="28"/>
            <w:rtl/>
          </w:rPr>
          <w:t>: ترجمةالإمامابنعابدين - رحمهالله -</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_Toc447092548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49"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اسمهوكنيتهونسبهوولادتهونشأتهووفاته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_Toc447092549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0"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شيوخهوتلاميذه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_Toc447092550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1"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مؤلفاته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_Toc447092551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52" w:history="1">
        <w:r w:rsidRPr="00C10A14">
          <w:rPr>
            <w:rStyle w:val="Hyperlink"/>
            <w:rFonts w:cs="Arabic Transparent" w:hint="cs"/>
            <w:noProof/>
            <w:sz w:val="28"/>
            <w:szCs w:val="28"/>
            <w:rtl/>
          </w:rPr>
          <w:t>المبحثالثالني</w:t>
        </w:r>
        <w:r w:rsidRPr="00C10A14">
          <w:rPr>
            <w:rStyle w:val="Hyperlink"/>
            <w:rFonts w:cs="Arabic Transparent"/>
            <w:noProof/>
            <w:sz w:val="28"/>
            <w:szCs w:val="28"/>
            <w:rtl/>
          </w:rPr>
          <w:t>: الملامحالعامةللعصرال</w:t>
        </w:r>
        <w:r w:rsidRPr="00C10A14">
          <w:rPr>
            <w:rStyle w:val="Hyperlink"/>
            <w:rFonts w:cs="Arabic Transparent" w:hint="cs"/>
            <w:noProof/>
            <w:sz w:val="28"/>
            <w:szCs w:val="28"/>
            <w:rtl/>
          </w:rPr>
          <w:t>ذيعاشفيهابنعابدينوأثرهاعليه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_Toc447092552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3"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الحالةالسياسيةالعامةفيالدولةالعثمانيةفيعصرابنعابدين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_Toc447092553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4"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الحالةالسياسيةبدمشقفيعصرابنعابدين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_Toc447092554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5"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أثرالحالةالسياسةعلىابنعابدين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_Toc447092555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56" w:history="1">
        <w:r w:rsidRPr="00C10A14">
          <w:rPr>
            <w:rStyle w:val="Hyperlink"/>
            <w:rFonts w:cs="Arabic Transparent" w:hint="cs"/>
            <w:noProof/>
            <w:sz w:val="28"/>
            <w:szCs w:val="28"/>
            <w:rtl/>
          </w:rPr>
          <w:t>المبحثالثالث</w:t>
        </w:r>
        <w:r w:rsidRPr="00C10A14">
          <w:rPr>
            <w:rStyle w:val="Hyperlink"/>
            <w:rFonts w:cs="Arabic Transparent"/>
            <w:noProof/>
            <w:sz w:val="28"/>
            <w:szCs w:val="28"/>
            <w:rtl/>
          </w:rPr>
          <w:t>: تعريفالسياسةالشرعية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_Toc447092556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7"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السياسةالشرعيةوالألفاظذاتالصلةبالسياسةالشرعية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_Toc447092557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8"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تعريفمفهومالسياسةالشرعيةعندابنعابدينومقارنتهمعغيرهمنالفقهاءوالمعاصرين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_Toc447092558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59"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تعريفمفهومالسياسةالشرعيةعندالفقهاءومقارنتهمعتعريفاتمنابنعابدين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_Toc447092559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0"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تعريفمفهومالسياسةالشرعيةعندالمعاصرين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_Toc447092560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1"/>
        <w:rPr>
          <w:b w:val="0"/>
          <w:bCs w:val="0"/>
          <w:lang w:eastAsia="tr-TR" w:bidi="ar-SA"/>
        </w:rPr>
      </w:pPr>
      <w:hyperlink w:anchor="_Toc447092561" w:history="1">
        <w:r w:rsidRPr="00C10A14">
          <w:rPr>
            <w:rStyle w:val="Hyperlink"/>
            <w:rFonts w:cs="Arabic Transparent" w:hint="cs"/>
            <w:noProof w:val="0"/>
            <w:rtl/>
          </w:rPr>
          <w:t>الفصلالثاني</w:t>
        </w:r>
        <w:r w:rsidRPr="00C10A14">
          <w:rPr>
            <w:rStyle w:val="Hyperlink"/>
            <w:rFonts w:cs="Arabic Transparent"/>
            <w:noProof w:val="0"/>
            <w:rtl/>
          </w:rPr>
          <w:t xml:space="preserve">: </w:t>
        </w:r>
        <w:r w:rsidRPr="00C10A14">
          <w:rPr>
            <w:rStyle w:val="Hyperlink"/>
            <w:rFonts w:cs="Arabic Transparent" w:hint="cs"/>
            <w:noProof w:val="0"/>
            <w:rtl/>
          </w:rPr>
          <w:t>السياسةالشرعيةعندابنعابدين</w:t>
        </w:r>
        <w:r w:rsidRPr="00C10A14">
          <w:rPr>
            <w:webHidden/>
          </w:rPr>
          <w:tab/>
        </w:r>
        <w:r w:rsidRPr="00C10A14">
          <w:rPr>
            <w:webHidden/>
          </w:rPr>
          <w:fldChar w:fldCharType="begin"/>
        </w:r>
        <w:r w:rsidRPr="00C10A14">
          <w:rPr>
            <w:webHidden/>
          </w:rPr>
          <w:instrText xml:space="preserve"> PAGEREF _Toc447092561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62" w:history="1">
        <w:r w:rsidRPr="00C10A14">
          <w:rPr>
            <w:rStyle w:val="Hyperlink"/>
            <w:rFonts w:cs="Arabic Transparent" w:hint="cs"/>
            <w:noProof/>
            <w:sz w:val="28"/>
            <w:szCs w:val="28"/>
            <w:rtl/>
          </w:rPr>
          <w:t>المبحثالأول</w:t>
        </w:r>
        <w:r w:rsidRPr="00C10A14">
          <w:rPr>
            <w:rStyle w:val="Hyperlink"/>
            <w:rFonts w:cs="Arabic Transparent"/>
            <w:noProof/>
            <w:sz w:val="28"/>
            <w:szCs w:val="28"/>
            <w:rtl/>
          </w:rPr>
          <w:t>: أدلةالسياسةالشرعيةعندابنعابدينوطرقهاوشروطها</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_Toc447092562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3"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أدلةالسياسةالشرعية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_Toc447092563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4"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طرقومناهجالسياسةالشرعيةعندابنعابدين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_Toc447092564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5"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شروطالعملبالسياسةالشرعية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_Toc447092565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66" w:history="1">
        <w:r w:rsidRPr="00C10A14">
          <w:rPr>
            <w:rStyle w:val="Hyperlink"/>
            <w:rFonts w:cs="Arabic Transparent" w:hint="cs"/>
            <w:noProof/>
            <w:sz w:val="28"/>
            <w:szCs w:val="28"/>
            <w:rtl/>
          </w:rPr>
          <w:t>المبحثالثالث</w:t>
        </w:r>
        <w:r w:rsidRPr="00C10A14">
          <w:rPr>
            <w:rStyle w:val="Hyperlink"/>
            <w:rFonts w:cs="Arabic Transparent"/>
            <w:noProof/>
            <w:sz w:val="28"/>
            <w:szCs w:val="28"/>
            <w:rtl/>
          </w:rPr>
          <w:t>: قواعدالتنظيماتومدىتأثرهابآراءابنعابدين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_Toc447092566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7"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معنىقواعدالتنظيمات</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_Toc447092567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68"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أثرابنعابدينفيقواعدالتنظيمات (مجلة)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_Toc447092568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1"/>
        <w:rPr>
          <w:b w:val="0"/>
          <w:bCs w:val="0"/>
          <w:lang w:eastAsia="tr-TR" w:bidi="ar-SA"/>
        </w:rPr>
      </w:pPr>
      <w:hyperlink w:anchor="_Toc447092569" w:history="1">
        <w:r w:rsidRPr="00C10A14">
          <w:rPr>
            <w:rStyle w:val="Hyperlink"/>
            <w:rFonts w:cs="Arabic Transparent" w:hint="cs"/>
            <w:noProof w:val="0"/>
            <w:rtl/>
          </w:rPr>
          <w:t>الفصلالثالث</w:t>
        </w:r>
        <w:r w:rsidRPr="00C10A14">
          <w:rPr>
            <w:rStyle w:val="Hyperlink"/>
            <w:rFonts w:cs="Arabic Transparent"/>
            <w:noProof w:val="0"/>
            <w:rtl/>
          </w:rPr>
          <w:t>:</w:t>
        </w:r>
        <w:r w:rsidRPr="00C10A14">
          <w:rPr>
            <w:rStyle w:val="Hyperlink"/>
            <w:rFonts w:cs="Arabic Transparent" w:hint="cs"/>
            <w:noProof w:val="0"/>
            <w:rtl/>
          </w:rPr>
          <w:t>مسائلتطبيقيةفيالسياسةالشرعيةعندابنعابدين</w:t>
        </w:r>
        <w:r w:rsidRPr="00C10A14">
          <w:rPr>
            <w:webHidden/>
          </w:rPr>
          <w:tab/>
        </w:r>
        <w:r w:rsidRPr="00C10A14">
          <w:rPr>
            <w:webHidden/>
          </w:rPr>
          <w:fldChar w:fldCharType="begin"/>
        </w:r>
        <w:r w:rsidRPr="00C10A14">
          <w:rPr>
            <w:webHidden/>
          </w:rPr>
          <w:instrText xml:space="preserve"> PAGEREF _Toc447092569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70" w:history="1">
        <w:r w:rsidRPr="00C10A14">
          <w:rPr>
            <w:rStyle w:val="Hyperlink"/>
            <w:rFonts w:cs="Arabic Transparent" w:hint="cs"/>
            <w:noProof/>
            <w:sz w:val="28"/>
            <w:szCs w:val="28"/>
            <w:rtl/>
          </w:rPr>
          <w:t>المبحثالأول</w:t>
        </w:r>
        <w:r w:rsidRPr="00C10A14">
          <w:rPr>
            <w:rStyle w:val="Hyperlink"/>
            <w:rFonts w:cs="Arabic Transparent"/>
            <w:noProof/>
            <w:sz w:val="28"/>
            <w:szCs w:val="28"/>
            <w:rtl/>
          </w:rPr>
          <w:t>: عقوبةالقتلسياسة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_Toc447092570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1"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قتلالسارقسياسة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_Toc447092571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2"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 قتلالخناقسياسة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_Toc447092572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3"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قتلاللوطيسياسة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_Toc447092573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4" w:history="1">
        <w:r w:rsidRPr="00C10A14">
          <w:rPr>
            <w:rStyle w:val="Hyperlink"/>
            <w:rFonts w:cs="Arabic Transparent" w:hint="cs"/>
            <w:noProof/>
            <w:sz w:val="28"/>
            <w:szCs w:val="28"/>
            <w:rtl/>
          </w:rPr>
          <w:t>المطلبالرابع</w:t>
        </w:r>
        <w:r w:rsidRPr="00C10A14">
          <w:rPr>
            <w:rStyle w:val="Hyperlink"/>
            <w:rFonts w:cs="Arabic Transparent"/>
            <w:noProof/>
            <w:sz w:val="28"/>
            <w:szCs w:val="28"/>
            <w:rtl/>
          </w:rPr>
          <w:t>: قتلقطّاعالطريقسياسة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_Toc447092574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5" w:history="1">
        <w:r w:rsidRPr="00C10A14">
          <w:rPr>
            <w:rStyle w:val="Hyperlink"/>
            <w:rFonts w:cs="Arabic Transparent" w:hint="cs"/>
            <w:noProof/>
            <w:sz w:val="28"/>
            <w:szCs w:val="28"/>
            <w:rtl/>
          </w:rPr>
          <w:t>المطلبالخامس</w:t>
        </w:r>
        <w:r w:rsidRPr="00C10A14">
          <w:rPr>
            <w:rStyle w:val="Hyperlink"/>
            <w:rFonts w:cs="Arabic Transparent"/>
            <w:noProof/>
            <w:sz w:val="28"/>
            <w:szCs w:val="28"/>
            <w:rtl/>
          </w:rPr>
          <w:t>: قتلالساحرسياسة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_Toc447092575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6" w:history="1">
        <w:r w:rsidRPr="00C10A14">
          <w:rPr>
            <w:rStyle w:val="Hyperlink"/>
            <w:rFonts w:cs="Arabic Transparent" w:hint="cs"/>
            <w:noProof/>
            <w:sz w:val="28"/>
            <w:szCs w:val="28"/>
            <w:rtl/>
          </w:rPr>
          <w:t>المطلبالسادس</w:t>
        </w:r>
        <w:r w:rsidRPr="00C10A14">
          <w:rPr>
            <w:rStyle w:val="Hyperlink"/>
            <w:rFonts w:cs="Arabic Transparent"/>
            <w:noProof/>
            <w:sz w:val="28"/>
            <w:szCs w:val="28"/>
            <w:rtl/>
          </w:rPr>
          <w:t>: قتلمنسبّالنبيّ - صلىاللهعليهوسلم - منأهلالذمة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_Toc447092576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7" w:history="1">
        <w:r w:rsidRPr="00C10A14">
          <w:rPr>
            <w:rStyle w:val="Hyperlink"/>
            <w:rFonts w:cs="Arabic Transparent" w:hint="cs"/>
            <w:noProof/>
            <w:sz w:val="28"/>
            <w:szCs w:val="28"/>
            <w:rtl/>
          </w:rPr>
          <w:t>المطلبالسابع</w:t>
        </w:r>
        <w:r w:rsidRPr="00C10A14">
          <w:rPr>
            <w:rStyle w:val="Hyperlink"/>
            <w:rFonts w:cs="Arabic Transparent"/>
            <w:noProof/>
            <w:sz w:val="28"/>
            <w:szCs w:val="28"/>
            <w:rtl/>
          </w:rPr>
          <w:t>: قتلالمبتدعسياسة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_Toc447092577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8" w:history="1">
        <w:r w:rsidRPr="00C10A14">
          <w:rPr>
            <w:rStyle w:val="Hyperlink"/>
            <w:rFonts w:cs="Arabic Transparent" w:hint="cs"/>
            <w:noProof/>
            <w:sz w:val="28"/>
            <w:szCs w:val="28"/>
            <w:rtl/>
          </w:rPr>
          <w:t>المطلبالثامن</w:t>
        </w:r>
        <w:r w:rsidRPr="00C10A14">
          <w:rPr>
            <w:rStyle w:val="Hyperlink"/>
            <w:rFonts w:cs="Arabic Transparent"/>
            <w:noProof/>
            <w:sz w:val="28"/>
            <w:szCs w:val="28"/>
            <w:rtl/>
          </w:rPr>
          <w:t>: قتلالباغيسياسة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_Toc447092578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79" w:history="1">
        <w:r w:rsidRPr="00C10A14">
          <w:rPr>
            <w:rStyle w:val="Hyperlink"/>
            <w:rFonts w:cs="Arabic Transparent" w:hint="cs"/>
            <w:noProof/>
            <w:sz w:val="28"/>
            <w:szCs w:val="28"/>
            <w:rtl/>
          </w:rPr>
          <w:t>المطلبالتاسع</w:t>
        </w:r>
        <w:r w:rsidRPr="00C10A14">
          <w:rPr>
            <w:rStyle w:val="Hyperlink"/>
            <w:rFonts w:cs="Arabic Transparent"/>
            <w:noProof/>
            <w:sz w:val="28"/>
            <w:szCs w:val="28"/>
            <w:rtl/>
          </w:rPr>
          <w:t>: قتلالزنديقسياسة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_Toc447092579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0" w:history="1">
        <w:r w:rsidRPr="00C10A14">
          <w:rPr>
            <w:rStyle w:val="Hyperlink"/>
            <w:rFonts w:cs="Arabic Transparent" w:hint="cs"/>
            <w:noProof/>
            <w:sz w:val="28"/>
            <w:szCs w:val="28"/>
            <w:rtl/>
          </w:rPr>
          <w:t>المطلبالعاشر</w:t>
        </w:r>
        <w:r w:rsidRPr="00C10A14">
          <w:rPr>
            <w:rStyle w:val="Hyperlink"/>
            <w:rFonts w:cs="Arabic Transparent"/>
            <w:noProof/>
            <w:sz w:val="28"/>
            <w:szCs w:val="28"/>
            <w:rtl/>
          </w:rPr>
          <w:t>: قتلالأعونةوالسعاةعندالحاكمسياسة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_Toc447092580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2"/>
        <w:tabs>
          <w:tab w:val="right" w:leader="dot" w:pos="8493"/>
        </w:tabs>
        <w:rPr>
          <w:rFonts w:ascii="Calibri" w:hAnsi="Calibri"/>
          <w:noProof/>
          <w:sz w:val="28"/>
          <w:szCs w:val="28"/>
          <w:lang w:eastAsia="tr-TR" w:bidi="ar-SA"/>
        </w:rPr>
      </w:pPr>
      <w:hyperlink w:anchor="_Toc447092581" w:history="1">
        <w:r w:rsidRPr="00C10A14">
          <w:rPr>
            <w:rStyle w:val="Hyperlink"/>
            <w:rFonts w:cs="Arabic Transparent" w:hint="cs"/>
            <w:noProof/>
            <w:sz w:val="28"/>
            <w:szCs w:val="28"/>
            <w:rtl/>
          </w:rPr>
          <w:t>المبحثالثاني</w:t>
        </w:r>
        <w:r w:rsidRPr="00C10A14">
          <w:rPr>
            <w:rStyle w:val="Hyperlink"/>
            <w:rFonts w:cs="Arabic Transparent"/>
            <w:noProof/>
            <w:sz w:val="28"/>
            <w:szCs w:val="28"/>
            <w:rtl/>
          </w:rPr>
          <w:t>: تطبيقاتالسياسةالشرعيةفيمجالاتمختلفةعندابنعابدين</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_Toc447092581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2" w:history="1">
        <w:r w:rsidRPr="00C10A14">
          <w:rPr>
            <w:rStyle w:val="Hyperlink"/>
            <w:rFonts w:cs="Arabic Transparent" w:hint="cs"/>
            <w:noProof/>
            <w:sz w:val="28"/>
            <w:szCs w:val="28"/>
            <w:rtl/>
          </w:rPr>
          <w:t>المطلبالأول</w:t>
        </w:r>
        <w:r w:rsidRPr="00C10A14">
          <w:rPr>
            <w:rStyle w:val="Hyperlink"/>
            <w:rFonts w:cs="Arabic Transparent"/>
            <w:noProof/>
            <w:sz w:val="28"/>
            <w:szCs w:val="28"/>
            <w:rtl/>
          </w:rPr>
          <w:t>: أخذالأجرةعلىالطاعات</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_Toc447092582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3" w:history="1">
        <w:r w:rsidRPr="00C10A14">
          <w:rPr>
            <w:rStyle w:val="Hyperlink"/>
            <w:rFonts w:cs="Arabic Transparent" w:hint="cs"/>
            <w:noProof/>
            <w:sz w:val="28"/>
            <w:szCs w:val="28"/>
            <w:rtl/>
          </w:rPr>
          <w:t>المطلبالثاني</w:t>
        </w:r>
        <w:r w:rsidRPr="00C10A14">
          <w:rPr>
            <w:rStyle w:val="Hyperlink"/>
            <w:rFonts w:cs="Arabic Transparent"/>
            <w:noProof/>
            <w:sz w:val="28"/>
            <w:szCs w:val="28"/>
            <w:rtl/>
          </w:rPr>
          <w:t>:مسألةالحضانة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_Toc447092583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4" w:history="1">
        <w:r w:rsidRPr="00C10A14">
          <w:rPr>
            <w:rStyle w:val="Hyperlink"/>
            <w:rFonts w:cs="Arabic Transparent" w:hint="cs"/>
            <w:noProof/>
            <w:sz w:val="28"/>
            <w:szCs w:val="28"/>
            <w:rtl/>
          </w:rPr>
          <w:t>المطلبالثالث</w:t>
        </w:r>
        <w:r w:rsidRPr="00C10A14">
          <w:rPr>
            <w:rStyle w:val="Hyperlink"/>
            <w:rFonts w:cs="Arabic Transparent"/>
            <w:noProof/>
            <w:sz w:val="28"/>
            <w:szCs w:val="28"/>
            <w:rtl/>
          </w:rPr>
          <w:t>: التغريب</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_Toc447092584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5" w:history="1">
        <w:r w:rsidRPr="00C10A14">
          <w:rPr>
            <w:rStyle w:val="Hyperlink"/>
            <w:rFonts w:cs="Arabic Transparent" w:hint="cs"/>
            <w:noProof/>
            <w:sz w:val="28"/>
            <w:szCs w:val="28"/>
            <w:rtl/>
          </w:rPr>
          <w:t>المطلبالرابع</w:t>
        </w:r>
        <w:r w:rsidRPr="00C10A14">
          <w:rPr>
            <w:rStyle w:val="Hyperlink"/>
            <w:rFonts w:cs="Arabic Transparent"/>
            <w:noProof/>
            <w:sz w:val="28"/>
            <w:szCs w:val="28"/>
            <w:rtl/>
          </w:rPr>
          <w:t>: إخراجالزكاةللمرةالثانية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_Toc447092585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6" w:history="1">
        <w:r w:rsidRPr="00C10A14">
          <w:rPr>
            <w:rStyle w:val="Hyperlink"/>
            <w:rFonts w:cs="Arabic Transparent" w:hint="cs"/>
            <w:noProof/>
            <w:sz w:val="28"/>
            <w:szCs w:val="28"/>
            <w:rtl/>
          </w:rPr>
          <w:t>المطلبالخامس</w:t>
        </w:r>
        <w:r w:rsidRPr="00C10A14">
          <w:rPr>
            <w:rStyle w:val="Hyperlink"/>
            <w:rFonts w:cs="Arabic Transparent"/>
            <w:noProof/>
            <w:sz w:val="28"/>
            <w:szCs w:val="28"/>
            <w:rtl/>
          </w:rPr>
          <w:t>: ضربُالمتَّهَمبسرقةٍ</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_Toc447092586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7" w:history="1">
        <w:r w:rsidRPr="00C10A14">
          <w:rPr>
            <w:rStyle w:val="Hyperlink"/>
            <w:rFonts w:cs="Arabic Transparent" w:hint="cs"/>
            <w:noProof/>
            <w:sz w:val="28"/>
            <w:szCs w:val="28"/>
            <w:rtl/>
          </w:rPr>
          <w:t>المطلبالسادس</w:t>
        </w:r>
        <w:r w:rsidRPr="00C10A14">
          <w:rPr>
            <w:rStyle w:val="Hyperlink"/>
            <w:rFonts w:cs="Arabic Transparent"/>
            <w:noProof/>
            <w:sz w:val="28"/>
            <w:szCs w:val="28"/>
            <w:rtl/>
          </w:rPr>
          <w:t>: تعزيرالمدّعىعليه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_Toc447092587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8" w:history="1">
        <w:r w:rsidRPr="00C10A14">
          <w:rPr>
            <w:rStyle w:val="Hyperlink"/>
            <w:rFonts w:cs="Arabic Transparent" w:hint="cs"/>
            <w:noProof/>
            <w:sz w:val="28"/>
            <w:szCs w:val="28"/>
            <w:rtl/>
          </w:rPr>
          <w:t>المطلبالسابع</w:t>
        </w:r>
        <w:r w:rsidRPr="00C10A14">
          <w:rPr>
            <w:rStyle w:val="Hyperlink"/>
            <w:rFonts w:cs="Arabic Transparent"/>
            <w:noProof/>
            <w:sz w:val="28"/>
            <w:szCs w:val="28"/>
            <w:rtl/>
          </w:rPr>
          <w:t>: قطعيدالنبّاش</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_Toc447092588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89" w:history="1">
        <w:r w:rsidRPr="00C10A14">
          <w:rPr>
            <w:rStyle w:val="Hyperlink"/>
            <w:rFonts w:cs="Arabic Transparent" w:hint="cs"/>
            <w:noProof/>
            <w:sz w:val="28"/>
            <w:szCs w:val="28"/>
            <w:rtl/>
          </w:rPr>
          <w:t>المطلبالثامن</w:t>
        </w:r>
        <w:r w:rsidRPr="00C10A14">
          <w:rPr>
            <w:rStyle w:val="Hyperlink"/>
            <w:rFonts w:cs="Arabic Transparent"/>
            <w:noProof/>
            <w:sz w:val="28"/>
            <w:szCs w:val="28"/>
            <w:rtl/>
          </w:rPr>
          <w:t>: الصلحعلىالأوسط</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_Toc447092589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90" w:history="1">
        <w:r w:rsidRPr="00C10A14">
          <w:rPr>
            <w:rStyle w:val="Hyperlink"/>
            <w:rFonts w:cs="Arabic Transparent" w:hint="cs"/>
            <w:noProof/>
            <w:sz w:val="28"/>
            <w:szCs w:val="28"/>
            <w:rtl/>
          </w:rPr>
          <w:t>المطلبالتاسع</w:t>
        </w:r>
        <w:r w:rsidRPr="00C10A14">
          <w:rPr>
            <w:rStyle w:val="Hyperlink"/>
            <w:rFonts w:cs="Arabic Transparent"/>
            <w:noProof/>
            <w:sz w:val="28"/>
            <w:szCs w:val="28"/>
            <w:rtl/>
          </w:rPr>
          <w:t>: شهادةالزور</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_Toc447092590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3"/>
        <w:rPr>
          <w:rFonts w:ascii="Calibri" w:hAnsi="Calibri"/>
          <w:noProof/>
          <w:sz w:val="28"/>
          <w:szCs w:val="28"/>
          <w:lang w:eastAsia="tr-TR" w:bidi="ar-SA"/>
        </w:rPr>
      </w:pPr>
      <w:hyperlink w:anchor="_Toc447092591" w:history="1">
        <w:r w:rsidRPr="00C10A14">
          <w:rPr>
            <w:rStyle w:val="Hyperlink"/>
            <w:rFonts w:cs="Arabic Transparent" w:hint="cs"/>
            <w:noProof/>
            <w:sz w:val="28"/>
            <w:szCs w:val="28"/>
            <w:rtl/>
          </w:rPr>
          <w:t>المطلبالعاشر</w:t>
        </w:r>
        <w:r w:rsidRPr="00C10A14">
          <w:rPr>
            <w:rStyle w:val="Hyperlink"/>
            <w:rFonts w:cs="Arabic Transparent"/>
            <w:noProof/>
            <w:sz w:val="28"/>
            <w:szCs w:val="28"/>
            <w:rtl/>
          </w:rPr>
          <w:t>: تعليقيدالسارقفيعنقهبعدقطعه</w:t>
        </w:r>
        <w:r w:rsidRPr="00C10A14">
          <w:rPr>
            <w:noProof/>
            <w:webHidden/>
            <w:sz w:val="28"/>
            <w:szCs w:val="28"/>
          </w:rPr>
          <w:tab/>
        </w:r>
        <w:r w:rsidRPr="00C10A14">
          <w:rPr>
            <w:noProof/>
            <w:webHidden/>
            <w:sz w:val="28"/>
            <w:szCs w:val="28"/>
          </w:rPr>
          <w:fldChar w:fldCharType="begin"/>
        </w:r>
        <w:r w:rsidRPr="00C10A14">
          <w:rPr>
            <w:noProof/>
            <w:webHidden/>
            <w:sz w:val="28"/>
            <w:szCs w:val="28"/>
          </w:rPr>
          <w:instrText xml:space="preserve"> PAGEREF _Toc447092591 \h </w:instrText>
        </w:r>
        <w:r w:rsidRPr="0093211B">
          <w:rPr>
            <w:rFonts w:hint="cs"/>
            <w:noProof/>
            <w:sz w:val="28"/>
            <w:szCs w:val="28"/>
          </w:rPr>
        </w:r>
        <w:r w:rsidRPr="00C10A14">
          <w:rPr>
            <w:noProof/>
            <w:webHidden/>
            <w:sz w:val="28"/>
            <w:szCs w:val="28"/>
          </w:rPr>
          <w:fldChar w:fldCharType="separate"/>
        </w:r>
        <w:r>
          <w:rPr>
            <w:noProof/>
            <w:webHidden/>
            <w:sz w:val="28"/>
            <w:szCs w:val="28"/>
            <w:rtl/>
          </w:rPr>
          <w:t>2</w:t>
        </w:r>
        <w:r w:rsidRPr="00C10A14">
          <w:rPr>
            <w:noProof/>
            <w:webHidden/>
            <w:sz w:val="28"/>
            <w:szCs w:val="28"/>
          </w:rPr>
          <w:fldChar w:fldCharType="end"/>
        </w:r>
      </w:hyperlink>
    </w:p>
    <w:p w:rsidR="005F44B2" w:rsidRPr="00C10A14" w:rsidRDefault="005F44B2" w:rsidP="00C10A14">
      <w:pPr>
        <w:pStyle w:val="TOC1"/>
        <w:rPr>
          <w:b w:val="0"/>
          <w:bCs w:val="0"/>
          <w:lang w:eastAsia="tr-TR" w:bidi="ar-SA"/>
        </w:rPr>
      </w:pPr>
      <w:hyperlink w:anchor="_Toc447092592" w:history="1">
        <w:r w:rsidRPr="00C10A14">
          <w:rPr>
            <w:rStyle w:val="Hyperlink"/>
            <w:rFonts w:cs="Arabic Transparent" w:hint="cs"/>
            <w:noProof w:val="0"/>
            <w:rtl/>
          </w:rPr>
          <w:t>الخاتمة</w:t>
        </w:r>
        <w:r w:rsidRPr="00C10A14">
          <w:rPr>
            <w:webHidden/>
          </w:rPr>
          <w:tab/>
        </w:r>
        <w:r w:rsidRPr="00C10A14">
          <w:rPr>
            <w:webHidden/>
          </w:rPr>
          <w:fldChar w:fldCharType="begin"/>
        </w:r>
        <w:r w:rsidRPr="00C10A14">
          <w:rPr>
            <w:webHidden/>
          </w:rPr>
          <w:instrText xml:space="preserve"> PAGEREF _Toc447092592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1"/>
        <w:rPr>
          <w:b w:val="0"/>
          <w:bCs w:val="0"/>
          <w:lang w:eastAsia="tr-TR" w:bidi="ar-SA"/>
        </w:rPr>
      </w:pPr>
      <w:hyperlink w:anchor="_Toc447092593" w:history="1">
        <w:r w:rsidRPr="00C10A14">
          <w:rPr>
            <w:rStyle w:val="Hyperlink"/>
            <w:rFonts w:cs="Arabic Transparent" w:hint="cs"/>
            <w:noProof w:val="0"/>
            <w:rtl/>
          </w:rPr>
          <w:t>المصادروالمراجع</w:t>
        </w:r>
        <w:r w:rsidRPr="00C10A14">
          <w:rPr>
            <w:webHidden/>
          </w:rPr>
          <w:tab/>
        </w:r>
        <w:r w:rsidRPr="00C10A14">
          <w:rPr>
            <w:webHidden/>
          </w:rPr>
          <w:fldChar w:fldCharType="begin"/>
        </w:r>
        <w:r w:rsidRPr="00C10A14">
          <w:rPr>
            <w:webHidden/>
          </w:rPr>
          <w:instrText xml:space="preserve"> PAGEREF _Toc447092593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pStyle w:val="TOC1"/>
        <w:rPr>
          <w:b w:val="0"/>
          <w:bCs w:val="0"/>
          <w:lang w:eastAsia="tr-TR" w:bidi="ar-SA"/>
        </w:rPr>
      </w:pPr>
      <w:hyperlink w:anchor="_Toc447092594" w:history="1">
        <w:r w:rsidRPr="00C10A14">
          <w:rPr>
            <w:rStyle w:val="Hyperlink"/>
            <w:rFonts w:cs="Arabic Transparent"/>
          </w:rPr>
          <w:t>ABSTRACT</w:t>
        </w:r>
        <w:r w:rsidRPr="00C10A14">
          <w:rPr>
            <w:webHidden/>
          </w:rPr>
          <w:tab/>
        </w:r>
        <w:r w:rsidRPr="00C10A14">
          <w:rPr>
            <w:webHidden/>
          </w:rPr>
          <w:fldChar w:fldCharType="begin"/>
        </w:r>
        <w:r w:rsidRPr="00C10A14">
          <w:rPr>
            <w:webHidden/>
          </w:rPr>
          <w:instrText xml:space="preserve"> PAGEREF _Toc447092594 \h </w:instrText>
        </w:r>
        <w:r w:rsidRPr="00C10A14">
          <w:rPr>
            <w:webHidden/>
          </w:rPr>
          <w:fldChar w:fldCharType="separate"/>
        </w:r>
        <w:r>
          <w:rPr>
            <w:noProof w:val="0"/>
            <w:webHidden/>
            <w:rtl/>
          </w:rPr>
          <w:t>2</w:t>
        </w:r>
        <w:r w:rsidRPr="00C10A14">
          <w:rPr>
            <w:webHidden/>
          </w:rPr>
          <w:fldChar w:fldCharType="end"/>
        </w:r>
      </w:hyperlink>
    </w:p>
    <w:p w:rsidR="005F44B2" w:rsidRPr="00C10A14" w:rsidRDefault="005F44B2" w:rsidP="00C10A14">
      <w:pPr>
        <w:spacing w:line="360" w:lineRule="auto"/>
        <w:rPr>
          <w:sz w:val="28"/>
          <w:szCs w:val="28"/>
        </w:rPr>
      </w:pPr>
      <w:r w:rsidRPr="00C10A14">
        <w:fldChar w:fldCharType="end"/>
      </w:r>
    </w:p>
    <w:p w:rsidR="005F44B2" w:rsidRPr="00DA75F8" w:rsidRDefault="005F44B2" w:rsidP="005E6A96">
      <w:pPr>
        <w:spacing w:line="360" w:lineRule="auto"/>
        <w:rPr>
          <w:sz w:val="28"/>
          <w:szCs w:val="28"/>
          <w:rtl/>
          <w:lang/>
        </w:rPr>
      </w:pPr>
    </w:p>
    <w:p w:rsidR="005F44B2" w:rsidRPr="00DA75F8" w:rsidRDefault="005F44B2" w:rsidP="005E6A96">
      <w:pPr>
        <w:pStyle w:val="ListParagraph"/>
        <w:tabs>
          <w:tab w:val="left" w:pos="3462"/>
        </w:tabs>
        <w:bidi/>
        <w:spacing w:line="360" w:lineRule="auto"/>
        <w:ind w:right="435" w:firstLine="696"/>
        <w:jc w:val="left"/>
        <w:rPr>
          <w:rtl/>
          <w:lang w:val="en-US" w:eastAsia="ar-SA" w:bidi="ar-SA"/>
        </w:rPr>
      </w:pPr>
      <w:r w:rsidRPr="00DA75F8">
        <w:rPr>
          <w:rtl/>
          <w:lang w:val="en-US" w:eastAsia="ar-SA" w:bidi="ar-SA"/>
        </w:rPr>
        <w:tab/>
      </w:r>
    </w:p>
    <w:p w:rsidR="005F44B2" w:rsidRPr="00DA75F8" w:rsidRDefault="005F44B2" w:rsidP="00C12CC2">
      <w:pPr>
        <w:bidi w:val="0"/>
        <w:spacing w:line="360" w:lineRule="auto"/>
        <w:rPr>
          <w:sz w:val="50"/>
          <w:szCs w:val="50"/>
          <w:rtl/>
        </w:rPr>
      </w:pPr>
      <w:r w:rsidRPr="00DA75F8">
        <w:rPr>
          <w:sz w:val="50"/>
          <w:szCs w:val="50"/>
          <w:rtl/>
        </w:rPr>
        <w:br w:type="page"/>
      </w:r>
    </w:p>
    <w:p w:rsidR="005F44B2" w:rsidRDefault="005F44B2" w:rsidP="00005AB5">
      <w:pPr>
        <w:pStyle w:val="a0"/>
        <w:jc w:val="center"/>
        <w:rPr>
          <w:b/>
          <w:bCs/>
          <w:rtl/>
        </w:rPr>
      </w:pPr>
    </w:p>
    <w:p w:rsidR="005F44B2" w:rsidRPr="00F70301" w:rsidRDefault="005F44B2" w:rsidP="00C10A14">
      <w:pPr>
        <w:pStyle w:val="a0"/>
        <w:jc w:val="center"/>
        <w:rPr>
          <w:b/>
          <w:bCs/>
          <w:sz w:val="30"/>
          <w:szCs w:val="30"/>
        </w:rPr>
      </w:pPr>
      <w:r w:rsidRPr="00F70301">
        <w:rPr>
          <w:rFonts w:hint="cs"/>
          <w:b/>
          <w:bCs/>
          <w:sz w:val="30"/>
          <w:szCs w:val="30"/>
          <w:rtl/>
        </w:rPr>
        <w:t>السياسة</w:t>
      </w:r>
      <w:r w:rsidRPr="00F70301">
        <w:rPr>
          <w:b/>
          <w:bCs/>
          <w:sz w:val="30"/>
          <w:szCs w:val="30"/>
          <w:rtl/>
        </w:rPr>
        <w:t xml:space="preserve"> الشرع</w:t>
      </w:r>
      <w:r w:rsidRPr="00F70301">
        <w:rPr>
          <w:rFonts w:hint="cs"/>
          <w:b/>
          <w:bCs/>
          <w:sz w:val="30"/>
          <w:szCs w:val="30"/>
          <w:rtl/>
        </w:rPr>
        <w:t>ية</w:t>
      </w:r>
      <w:r w:rsidRPr="00F70301">
        <w:rPr>
          <w:b/>
          <w:bCs/>
          <w:sz w:val="30"/>
          <w:szCs w:val="30"/>
          <w:rtl/>
        </w:rPr>
        <w:t xml:space="preserve"> عند</w:t>
      </w:r>
      <w:r>
        <w:rPr>
          <w:b/>
          <w:bCs/>
          <w:sz w:val="30"/>
          <w:szCs w:val="30"/>
          <w:rtl/>
        </w:rPr>
        <w:t xml:space="preserve"> الإمام ابن عابدين – رحمه الله –</w:t>
      </w:r>
    </w:p>
    <w:p w:rsidR="005F44B2" w:rsidRPr="00F70301" w:rsidRDefault="005F44B2" w:rsidP="00005AB5">
      <w:pPr>
        <w:pStyle w:val="a0"/>
        <w:jc w:val="center"/>
        <w:rPr>
          <w:b/>
          <w:bCs/>
          <w:sz w:val="30"/>
          <w:szCs w:val="30"/>
          <w:rtl/>
        </w:rPr>
      </w:pPr>
    </w:p>
    <w:p w:rsidR="005F44B2" w:rsidRPr="00F70301" w:rsidRDefault="005F44B2" w:rsidP="00005AB5">
      <w:pPr>
        <w:pStyle w:val="a0"/>
        <w:jc w:val="center"/>
        <w:rPr>
          <w:b/>
          <w:bCs/>
          <w:sz w:val="30"/>
          <w:szCs w:val="30"/>
          <w:rtl/>
        </w:rPr>
      </w:pPr>
      <w:r w:rsidRPr="00F70301">
        <w:rPr>
          <w:rFonts w:hint="cs"/>
          <w:b/>
          <w:bCs/>
          <w:sz w:val="30"/>
          <w:szCs w:val="30"/>
          <w:rtl/>
        </w:rPr>
        <w:t>إعداد</w:t>
      </w:r>
    </w:p>
    <w:p w:rsidR="005F44B2" w:rsidRPr="00F70301" w:rsidRDefault="005F44B2" w:rsidP="00005AB5">
      <w:pPr>
        <w:pStyle w:val="a0"/>
        <w:jc w:val="center"/>
        <w:rPr>
          <w:b/>
          <w:bCs/>
          <w:sz w:val="30"/>
          <w:szCs w:val="30"/>
        </w:rPr>
      </w:pPr>
      <w:r w:rsidRPr="00F70301">
        <w:rPr>
          <w:rFonts w:hint="cs"/>
          <w:b/>
          <w:bCs/>
          <w:sz w:val="30"/>
          <w:szCs w:val="30"/>
          <w:rtl/>
        </w:rPr>
        <w:t>عبد</w:t>
      </w:r>
      <w:r w:rsidRPr="00F70301">
        <w:rPr>
          <w:b/>
          <w:bCs/>
          <w:sz w:val="30"/>
          <w:szCs w:val="30"/>
          <w:rtl/>
        </w:rPr>
        <w:t xml:space="preserve"> الله صدقي إلهان</w:t>
      </w:r>
    </w:p>
    <w:p w:rsidR="005F44B2" w:rsidRPr="00F70301" w:rsidRDefault="005F44B2" w:rsidP="00005AB5">
      <w:pPr>
        <w:pStyle w:val="a0"/>
        <w:jc w:val="center"/>
        <w:rPr>
          <w:b/>
          <w:bCs/>
          <w:sz w:val="30"/>
          <w:szCs w:val="30"/>
          <w:rtl/>
        </w:rPr>
      </w:pPr>
    </w:p>
    <w:p w:rsidR="005F44B2" w:rsidRPr="00F70301" w:rsidRDefault="005F44B2" w:rsidP="00005AB5">
      <w:pPr>
        <w:pStyle w:val="a0"/>
        <w:jc w:val="center"/>
        <w:rPr>
          <w:b/>
          <w:bCs/>
          <w:sz w:val="30"/>
          <w:szCs w:val="30"/>
          <w:rtl/>
        </w:rPr>
      </w:pPr>
      <w:r>
        <w:rPr>
          <w:rFonts w:hint="cs"/>
          <w:b/>
          <w:bCs/>
          <w:sz w:val="30"/>
          <w:szCs w:val="30"/>
          <w:rtl/>
        </w:rPr>
        <w:t>المشرف</w:t>
      </w:r>
    </w:p>
    <w:p w:rsidR="005F44B2" w:rsidRPr="00F70301" w:rsidRDefault="005F44B2" w:rsidP="00005AB5">
      <w:pPr>
        <w:pStyle w:val="a0"/>
        <w:jc w:val="center"/>
        <w:rPr>
          <w:b/>
          <w:bCs/>
          <w:sz w:val="30"/>
          <w:szCs w:val="30"/>
        </w:rPr>
      </w:pPr>
      <w:r w:rsidRPr="00F70301">
        <w:rPr>
          <w:rFonts w:hint="cs"/>
          <w:b/>
          <w:bCs/>
          <w:sz w:val="30"/>
          <w:szCs w:val="30"/>
          <w:rtl/>
        </w:rPr>
        <w:t>الأستاذة</w:t>
      </w:r>
      <w:r w:rsidRPr="00F70301">
        <w:rPr>
          <w:b/>
          <w:bCs/>
          <w:sz w:val="30"/>
          <w:szCs w:val="30"/>
          <w:rtl/>
        </w:rPr>
        <w:t xml:space="preserve"> الدكتورة جميلة عبد القادر شعبان الرفاعي</w:t>
      </w:r>
    </w:p>
    <w:p w:rsidR="005F44B2" w:rsidRDefault="005F44B2" w:rsidP="00005AB5">
      <w:pPr>
        <w:pStyle w:val="a0"/>
        <w:jc w:val="center"/>
        <w:rPr>
          <w:b/>
          <w:bCs/>
          <w:rtl/>
        </w:rPr>
      </w:pPr>
    </w:p>
    <w:p w:rsidR="005F44B2" w:rsidRPr="00005AB5" w:rsidRDefault="005F44B2" w:rsidP="00005AB5">
      <w:pPr>
        <w:pStyle w:val="a0"/>
        <w:jc w:val="center"/>
        <w:rPr>
          <w:b/>
          <w:bCs/>
          <w:rtl/>
        </w:rPr>
      </w:pPr>
    </w:p>
    <w:p w:rsidR="005F44B2" w:rsidRDefault="005F44B2" w:rsidP="00005AB5">
      <w:pPr>
        <w:pStyle w:val="a1"/>
        <w:jc w:val="center"/>
        <w:rPr>
          <w:lang w:bidi="ar-SA"/>
        </w:rPr>
      </w:pPr>
      <w:bookmarkStart w:id="3" w:name="_Toc447092545"/>
      <w:r w:rsidRPr="00DA75F8">
        <w:rPr>
          <w:rFonts w:hint="cs"/>
          <w:rtl/>
          <w:lang w:bidi="ar-SA"/>
        </w:rPr>
        <w:t>الملخص</w:t>
      </w:r>
      <w:bookmarkEnd w:id="3"/>
    </w:p>
    <w:p w:rsidR="005F44B2" w:rsidRPr="00F70301" w:rsidRDefault="005F44B2" w:rsidP="009F533C">
      <w:pPr>
        <w:pStyle w:val="a0"/>
        <w:rPr>
          <w:sz w:val="30"/>
          <w:szCs w:val="30"/>
          <w:rtl/>
        </w:rPr>
      </w:pPr>
      <w:r>
        <w:rPr>
          <w:rFonts w:hint="cs"/>
          <w:sz w:val="30"/>
          <w:szCs w:val="30"/>
          <w:rtl/>
        </w:rPr>
        <w:t>تن</w:t>
      </w:r>
      <w:r w:rsidRPr="00F70301">
        <w:rPr>
          <w:rFonts w:hint="cs"/>
          <w:sz w:val="30"/>
          <w:szCs w:val="30"/>
          <w:rtl/>
        </w:rPr>
        <w:t>اول</w:t>
      </w:r>
      <w:r w:rsidRPr="00F70301">
        <w:rPr>
          <w:sz w:val="30"/>
          <w:szCs w:val="30"/>
          <w:rtl/>
        </w:rPr>
        <w:t xml:space="preserve"> الباحث في هذه الرسالة السياسة الشرعية عند ابن عابدين، حيث</w:t>
      </w:r>
      <w:r>
        <w:rPr>
          <w:rFonts w:hint="cs"/>
          <w:sz w:val="30"/>
          <w:szCs w:val="30"/>
          <w:rtl/>
        </w:rPr>
        <w:t>بيّ</w:t>
      </w:r>
      <w:r w:rsidRPr="00F70301">
        <w:rPr>
          <w:rFonts w:hint="cs"/>
          <w:sz w:val="30"/>
          <w:szCs w:val="30"/>
          <w:rtl/>
        </w:rPr>
        <w:t>ن</w:t>
      </w:r>
      <w:r w:rsidRPr="00F70301">
        <w:rPr>
          <w:sz w:val="30"/>
          <w:szCs w:val="30"/>
          <w:rtl/>
        </w:rPr>
        <w:t xml:space="preserve"> آراء ابن عابدين حول ال</w:t>
      </w:r>
      <w:r w:rsidRPr="00F70301">
        <w:rPr>
          <w:rFonts w:hint="cs"/>
          <w:sz w:val="30"/>
          <w:szCs w:val="30"/>
          <w:rtl/>
        </w:rPr>
        <w:t>سياسة</w:t>
      </w:r>
      <w:r w:rsidRPr="00F70301">
        <w:rPr>
          <w:sz w:val="30"/>
          <w:szCs w:val="30"/>
          <w:rtl/>
        </w:rPr>
        <w:t xml:space="preserve"> الشرعية</w:t>
      </w:r>
      <w:r>
        <w:rPr>
          <w:sz w:val="30"/>
          <w:szCs w:val="30"/>
          <w:rtl/>
        </w:rPr>
        <w:t xml:space="preserve"> وغيره من الفقهاء</w:t>
      </w:r>
      <w:r w:rsidRPr="00F70301">
        <w:rPr>
          <w:rFonts w:hint="cs"/>
          <w:sz w:val="30"/>
          <w:szCs w:val="30"/>
          <w:rtl/>
        </w:rPr>
        <w:t>،</w:t>
      </w:r>
      <w:r>
        <w:rPr>
          <w:sz w:val="30"/>
          <w:szCs w:val="30"/>
          <w:rtl/>
        </w:rPr>
        <w:t xml:space="preserve"> ثم تناول</w:t>
      </w:r>
      <w:r w:rsidRPr="00F70301">
        <w:rPr>
          <w:rFonts w:hint="cs"/>
          <w:sz w:val="30"/>
          <w:szCs w:val="30"/>
          <w:rtl/>
        </w:rPr>
        <w:t>تطبيقاتها</w:t>
      </w:r>
      <w:r w:rsidRPr="00F70301">
        <w:rPr>
          <w:sz w:val="30"/>
          <w:szCs w:val="30"/>
          <w:rtl/>
        </w:rPr>
        <w:t xml:space="preserve"> الفرعية عنده، </w:t>
      </w:r>
      <w:r>
        <w:rPr>
          <w:rFonts w:hint="cs"/>
          <w:sz w:val="30"/>
          <w:szCs w:val="30"/>
          <w:rtl/>
        </w:rPr>
        <w:t>وذكر</w:t>
      </w:r>
      <w:r>
        <w:rPr>
          <w:sz w:val="30"/>
          <w:szCs w:val="30"/>
          <w:rtl/>
        </w:rPr>
        <w:t xml:space="preserve"> الباحث أن السياسة الشرعية أخذ بها الفقهاء وإن لم يستخدم المسمى لها.</w:t>
      </w:r>
    </w:p>
    <w:p w:rsidR="005F44B2" w:rsidRPr="00F70301" w:rsidRDefault="005F44B2" w:rsidP="00F70301">
      <w:pPr>
        <w:pStyle w:val="a0"/>
        <w:rPr>
          <w:sz w:val="30"/>
          <w:szCs w:val="30"/>
          <w:rtl/>
        </w:rPr>
      </w:pPr>
      <w:r w:rsidRPr="00F70301">
        <w:rPr>
          <w:rFonts w:hint="cs"/>
          <w:sz w:val="30"/>
          <w:szCs w:val="30"/>
          <w:rtl/>
        </w:rPr>
        <w:t>ولقد</w:t>
      </w:r>
      <w:r w:rsidRPr="00F70301">
        <w:rPr>
          <w:sz w:val="30"/>
          <w:szCs w:val="30"/>
          <w:rtl/>
        </w:rPr>
        <w:t xml:space="preserve"> عالج هذا البحث تعريف السياسة الشرعية لغةً واصطلاحًا عند ابن عابدين وعند الفقهاء المتقدمين والمعاصرين، ومقارنة مفهومها بينهما( ابن عابدين من جهة والفقهاء من جهة أخرى )، وفي هذا الصدد تحدّث عن أدلّتها، وشروط العمل بها، ومناهجها.</w:t>
      </w:r>
    </w:p>
    <w:p w:rsidR="005F44B2" w:rsidRPr="00F70301" w:rsidRDefault="005F44B2" w:rsidP="00161ABC">
      <w:pPr>
        <w:pStyle w:val="a0"/>
        <w:rPr>
          <w:sz w:val="30"/>
          <w:szCs w:val="30"/>
          <w:rtl/>
        </w:rPr>
      </w:pPr>
      <w:r w:rsidRPr="00F70301">
        <w:rPr>
          <w:rFonts w:hint="cs"/>
          <w:sz w:val="30"/>
          <w:szCs w:val="30"/>
          <w:rtl/>
        </w:rPr>
        <w:t>ثم</w:t>
      </w:r>
      <w:r w:rsidRPr="00F70301">
        <w:rPr>
          <w:sz w:val="30"/>
          <w:szCs w:val="30"/>
          <w:rtl/>
        </w:rPr>
        <w:t xml:space="preserve"> قام الباحث بذكر تأثير الحالة السياسية في هذا العهد على ابن عابدين وتأثيره عليها</w:t>
      </w:r>
      <w:r>
        <w:rPr>
          <w:sz w:val="30"/>
          <w:szCs w:val="30"/>
          <w:rtl/>
        </w:rPr>
        <w:t xml:space="preserve"> وبناء الفتوى على الناس الزمان والظرف</w:t>
      </w:r>
      <w:r w:rsidRPr="00F70301">
        <w:rPr>
          <w:rFonts w:hint="cs"/>
          <w:sz w:val="30"/>
          <w:szCs w:val="30"/>
          <w:rtl/>
        </w:rPr>
        <w:t>،</w:t>
      </w:r>
      <w:r w:rsidRPr="00F70301">
        <w:rPr>
          <w:sz w:val="30"/>
          <w:szCs w:val="30"/>
          <w:rtl/>
        </w:rPr>
        <w:t xml:space="preserve"> </w:t>
      </w:r>
      <w:r>
        <w:rPr>
          <w:rFonts w:hint="cs"/>
          <w:sz w:val="30"/>
          <w:szCs w:val="30"/>
          <w:rtl/>
        </w:rPr>
        <w:t>ف</w:t>
      </w:r>
      <w:r w:rsidRPr="00F70301">
        <w:rPr>
          <w:rFonts w:hint="cs"/>
          <w:sz w:val="30"/>
          <w:szCs w:val="30"/>
          <w:rtl/>
        </w:rPr>
        <w:t>تحدّث</w:t>
      </w:r>
      <w:r w:rsidRPr="00F70301">
        <w:rPr>
          <w:sz w:val="30"/>
          <w:szCs w:val="30"/>
          <w:rtl/>
        </w:rPr>
        <w:t xml:space="preserve"> الباحث عن الملامح العامة للعصر الذي عاش فيه ابن عابدين، وقواعد ا</w:t>
      </w:r>
      <w:r>
        <w:rPr>
          <w:rFonts w:hint="cs"/>
          <w:sz w:val="30"/>
          <w:szCs w:val="30"/>
          <w:rtl/>
        </w:rPr>
        <w:t>لتنظيمات،</w:t>
      </w:r>
      <w:r>
        <w:rPr>
          <w:sz w:val="30"/>
          <w:szCs w:val="30"/>
          <w:rtl/>
        </w:rPr>
        <w:t xml:space="preserve"> ومجلة الأحكام العدلية، وكان لابن عابدين الأثر الكبير في قواعد التنظيمات والتي هي قوانين للبلاد لم يرد فيها نص شرعي، وهذا الكلام واضح في قواعد التنظيمات، حيث كان لابن عابدين أثر في المواد المقننة والتي سيشير عليها الناس آنذاك.</w:t>
      </w:r>
    </w:p>
    <w:p w:rsidR="005F44B2" w:rsidRPr="00F70301" w:rsidRDefault="005F44B2" w:rsidP="000228F9">
      <w:pPr>
        <w:pStyle w:val="a0"/>
        <w:rPr>
          <w:sz w:val="30"/>
          <w:szCs w:val="30"/>
          <w:rtl/>
        </w:rPr>
      </w:pPr>
      <w:r w:rsidRPr="00F70301">
        <w:rPr>
          <w:rFonts w:hint="cs"/>
          <w:sz w:val="30"/>
          <w:szCs w:val="30"/>
          <w:rtl/>
        </w:rPr>
        <w:t>وأخيرًا</w:t>
      </w:r>
      <w:r w:rsidRPr="00F70301">
        <w:rPr>
          <w:sz w:val="30"/>
          <w:szCs w:val="30"/>
          <w:rtl/>
        </w:rPr>
        <w:t xml:space="preserve"> عالج الباحث التطبيقات الفرعيّة من خلال كتاب " رد المحتار" و رسائل ابن عابدين، واست</w:t>
      </w:r>
      <w:r>
        <w:rPr>
          <w:rFonts w:hint="cs"/>
          <w:sz w:val="30"/>
          <w:szCs w:val="30"/>
          <w:rtl/>
        </w:rPr>
        <w:t>نت</w:t>
      </w:r>
      <w:r w:rsidRPr="00F70301">
        <w:rPr>
          <w:rFonts w:hint="cs"/>
          <w:sz w:val="30"/>
          <w:szCs w:val="30"/>
          <w:rtl/>
        </w:rPr>
        <w:t>ج</w:t>
      </w:r>
      <w:r w:rsidRPr="00F70301">
        <w:rPr>
          <w:sz w:val="30"/>
          <w:szCs w:val="30"/>
          <w:rtl/>
        </w:rPr>
        <w:t xml:space="preserve"> من التطبيقات</w:t>
      </w:r>
      <w:r>
        <w:rPr>
          <w:rFonts w:hint="cs"/>
          <w:sz w:val="30"/>
          <w:szCs w:val="30"/>
          <w:rtl/>
        </w:rPr>
        <w:t>ه</w:t>
      </w:r>
      <w:r w:rsidRPr="00F70301">
        <w:rPr>
          <w:sz w:val="30"/>
          <w:szCs w:val="30"/>
          <w:rtl/>
        </w:rPr>
        <w:t xml:space="preserve"> التي اختارها أنّ ابن عابدين أخذ </w:t>
      </w:r>
      <w:r>
        <w:rPr>
          <w:rFonts w:hint="cs"/>
          <w:sz w:val="30"/>
          <w:szCs w:val="30"/>
          <w:rtl/>
        </w:rPr>
        <w:t>ب</w:t>
      </w:r>
      <w:r w:rsidRPr="00F70301">
        <w:rPr>
          <w:rFonts w:hint="cs"/>
          <w:sz w:val="30"/>
          <w:szCs w:val="30"/>
          <w:rtl/>
        </w:rPr>
        <w:t>السياسة</w:t>
      </w:r>
      <w:r w:rsidRPr="00F70301">
        <w:rPr>
          <w:sz w:val="30"/>
          <w:szCs w:val="30"/>
          <w:rtl/>
        </w:rPr>
        <w:t xml:space="preserve"> الشرعية </w:t>
      </w:r>
      <w:r>
        <w:rPr>
          <w:rFonts w:hint="cs"/>
          <w:sz w:val="30"/>
          <w:szCs w:val="30"/>
          <w:rtl/>
        </w:rPr>
        <w:t>من</w:t>
      </w:r>
      <w:r>
        <w:rPr>
          <w:sz w:val="30"/>
          <w:szCs w:val="30"/>
          <w:rtl/>
        </w:rPr>
        <w:t xml:space="preserve"> ناحيةال</w:t>
      </w:r>
      <w:r w:rsidRPr="00F70301">
        <w:rPr>
          <w:rFonts w:hint="cs"/>
          <w:sz w:val="30"/>
          <w:szCs w:val="30"/>
          <w:rtl/>
        </w:rPr>
        <w:t>عام</w:t>
      </w:r>
      <w:r>
        <w:rPr>
          <w:rFonts w:hint="cs"/>
          <w:sz w:val="30"/>
          <w:szCs w:val="30"/>
          <w:rtl/>
        </w:rPr>
        <w:t>والخاص</w:t>
      </w:r>
      <w:r w:rsidRPr="00F70301">
        <w:rPr>
          <w:sz w:val="30"/>
          <w:szCs w:val="30"/>
          <w:rtl/>
        </w:rPr>
        <w:t>.</w:t>
      </w:r>
    </w:p>
    <w:p w:rsidR="005F44B2" w:rsidRDefault="005F44B2" w:rsidP="00011E6E">
      <w:pPr>
        <w:pStyle w:val="a0"/>
        <w:rPr>
          <w:rtl/>
        </w:rPr>
      </w:pPr>
    </w:p>
    <w:p w:rsidR="005F44B2" w:rsidRPr="00C12CC2" w:rsidRDefault="005F44B2" w:rsidP="00305D94">
      <w:pPr>
        <w:pStyle w:val="a0"/>
        <w:ind w:firstLine="0"/>
        <w:rPr>
          <w:rtl/>
        </w:rPr>
        <w:sectPr w:rsidR="005F44B2" w:rsidRPr="00C12CC2" w:rsidSect="0093211B">
          <w:headerReference w:type="default" r:id="rId11"/>
          <w:footnotePr>
            <w:numRestart w:val="eachPage"/>
          </w:footnotePr>
          <w:pgSz w:w="11906" w:h="16838"/>
          <w:pgMar w:top="1418" w:right="1985" w:bottom="1418" w:left="1418" w:header="709" w:footer="709" w:gutter="0"/>
          <w:pgNumType w:fmt="arabicAbjad" w:start="2"/>
          <w:cols w:space="708"/>
          <w:rtlGutter/>
          <w:docGrid w:linePitch="360"/>
        </w:sectPr>
      </w:pPr>
    </w:p>
    <w:p w:rsidR="005F44B2" w:rsidRPr="00DA75F8" w:rsidRDefault="005F44B2" w:rsidP="005E6A96">
      <w:pPr>
        <w:spacing w:line="360" w:lineRule="auto"/>
        <w:jc w:val="lowKashida"/>
        <w:rPr>
          <w:sz w:val="28"/>
          <w:szCs w:val="28"/>
        </w:rPr>
      </w:pPr>
    </w:p>
    <w:p w:rsidR="005F44B2" w:rsidRPr="00DA75F8" w:rsidRDefault="005F44B2" w:rsidP="00BF287A">
      <w:pPr>
        <w:pStyle w:val="a1"/>
        <w:jc w:val="center"/>
        <w:rPr>
          <w:rtl/>
        </w:rPr>
      </w:pPr>
      <w:bookmarkStart w:id="4" w:name="_Toc447092546"/>
      <w:r w:rsidRPr="00DA75F8">
        <w:rPr>
          <w:rFonts w:hint="cs"/>
          <w:rtl/>
        </w:rPr>
        <w:t>المقدمة</w:t>
      </w:r>
      <w:bookmarkEnd w:id="4"/>
    </w:p>
    <w:p w:rsidR="005F44B2" w:rsidRPr="00DA75F8" w:rsidRDefault="005F44B2" w:rsidP="007B6769">
      <w:pPr>
        <w:pStyle w:val="a0"/>
        <w:rPr>
          <w:rtl/>
        </w:rPr>
      </w:pPr>
    </w:p>
    <w:p w:rsidR="005F44B2" w:rsidRPr="00DA75F8" w:rsidRDefault="005F44B2" w:rsidP="00305D94">
      <w:pPr>
        <w:pStyle w:val="a0"/>
        <w:rPr>
          <w:rtl/>
        </w:rPr>
      </w:pPr>
      <w:r w:rsidRPr="00DA75F8">
        <w:rPr>
          <w:rFonts w:hint="cs"/>
          <w:rtl/>
        </w:rPr>
        <w:t>إن</w:t>
      </w:r>
      <w:r w:rsidRPr="00DA75F8">
        <w:rPr>
          <w:rtl/>
        </w:rPr>
        <w:t xml:space="preserve"> الحمد لله نحمده ونستعينه ونستغفره ونعوذ بالله من شرور أنفسنا وسيئات أعمالنا.</w:t>
      </w:r>
    </w:p>
    <w:p w:rsidR="005F44B2" w:rsidRPr="00DA75F8" w:rsidRDefault="005F44B2" w:rsidP="00305D94">
      <w:pPr>
        <w:pStyle w:val="a0"/>
        <w:rPr>
          <w:rtl/>
        </w:rPr>
      </w:pPr>
      <w:r w:rsidRPr="00DA75F8">
        <w:rPr>
          <w:rFonts w:hint="cs"/>
          <w:rtl/>
        </w:rPr>
        <w:t>ونشهد</w:t>
      </w:r>
      <w:r w:rsidRPr="00DA75F8">
        <w:rPr>
          <w:rtl/>
        </w:rPr>
        <w:t xml:space="preserve"> أن لا إله إلا الله ونشهد أن محمدًا عبده ورسوله جاء بالرسالة الخاتمة فقدّمتْ للبشرية أرقى نماذج الحكم والسلطان.</w:t>
      </w:r>
    </w:p>
    <w:p w:rsidR="005F44B2" w:rsidRPr="00DA75F8" w:rsidRDefault="005F44B2" w:rsidP="00305D94">
      <w:pPr>
        <w:pStyle w:val="a0"/>
        <w:rPr>
          <w:rtl/>
        </w:rPr>
      </w:pPr>
      <w:r w:rsidRPr="00DA75F8">
        <w:rPr>
          <w:rFonts w:hint="cs"/>
          <w:rtl/>
        </w:rPr>
        <w:t>فصلاة</w:t>
      </w:r>
      <w:r w:rsidRPr="00DA75F8">
        <w:rPr>
          <w:rtl/>
        </w:rPr>
        <w:t xml:space="preserve"> الله وسلامه على سيد المرسلين محمد المصطفى – صلى الله عليه </w:t>
      </w:r>
      <w:r w:rsidRPr="00DA75F8">
        <w:rPr>
          <w:rFonts w:hint="cs"/>
          <w:rtl/>
        </w:rPr>
        <w:t>وسلم</w:t>
      </w:r>
      <w:r w:rsidRPr="00DA75F8">
        <w:rPr>
          <w:rtl/>
        </w:rPr>
        <w:t xml:space="preserve"> – وعلى آله ال</w:t>
      </w:r>
      <w:r w:rsidRPr="00DA75F8">
        <w:rPr>
          <w:rFonts w:hint="cs"/>
          <w:rtl/>
        </w:rPr>
        <w:t>أطهار</w:t>
      </w:r>
      <w:r w:rsidRPr="00DA75F8">
        <w:rPr>
          <w:rtl/>
        </w:rPr>
        <w:t xml:space="preserve"> وصحبه الأبرار</w:t>
      </w:r>
    </w:p>
    <w:p w:rsidR="005F44B2" w:rsidRPr="00DA75F8" w:rsidRDefault="005F44B2" w:rsidP="00305D94">
      <w:pPr>
        <w:pStyle w:val="a0"/>
      </w:pPr>
      <w:r w:rsidRPr="00DA75F8">
        <w:rPr>
          <w:rtl/>
        </w:rPr>
        <w:tab/>
      </w:r>
      <w:r w:rsidRPr="00DA75F8">
        <w:rPr>
          <w:rFonts w:hint="cs"/>
          <w:rtl/>
        </w:rPr>
        <w:t>وبعد</w:t>
      </w:r>
      <w:r w:rsidRPr="00DA75F8">
        <w:rPr>
          <w:rtl/>
        </w:rPr>
        <w:t>:</w:t>
      </w:r>
    </w:p>
    <w:p w:rsidR="005F44B2" w:rsidRPr="00DA75F8" w:rsidRDefault="005F44B2" w:rsidP="00AC075E">
      <w:pPr>
        <w:pStyle w:val="a0"/>
        <w:rPr>
          <w:rtl/>
        </w:rPr>
      </w:pPr>
      <w:r w:rsidRPr="00DA75F8">
        <w:rPr>
          <w:rFonts w:hint="cs"/>
          <w:rtl/>
        </w:rPr>
        <w:t>إن</w:t>
      </w:r>
      <w:r w:rsidRPr="00DA75F8">
        <w:rPr>
          <w:rtl/>
        </w:rPr>
        <w:t xml:space="preserve"> الله تعالى أعطى النبوّة لرسول الله – صلى اله عليه وسلم –</w:t>
      </w:r>
      <w:r w:rsidRPr="00DA75F8">
        <w:rPr>
          <w:rFonts w:hint="cs"/>
          <w:rtl/>
        </w:rPr>
        <w:t>،</w:t>
      </w:r>
      <w:r>
        <w:rPr>
          <w:rtl/>
        </w:rPr>
        <w:t xml:space="preserve"> حيث</w:t>
      </w:r>
      <w:r w:rsidRPr="00DA75F8">
        <w:rPr>
          <w:rtl/>
        </w:rPr>
        <w:t xml:space="preserve"> بدأ – صلى الله عليه وسلم – بنشر الإسلام بين الناس، يدعوهم </w:t>
      </w:r>
      <w:r>
        <w:rPr>
          <w:rFonts w:hint="cs"/>
          <w:rtl/>
        </w:rPr>
        <w:t>ل</w:t>
      </w:r>
      <w:r w:rsidRPr="00DA75F8">
        <w:rPr>
          <w:rFonts w:hint="cs"/>
          <w:rtl/>
        </w:rPr>
        <w:t>هذا</w:t>
      </w:r>
      <w:r w:rsidRPr="00DA75F8">
        <w:rPr>
          <w:rtl/>
        </w:rPr>
        <w:t xml:space="preserve"> الد</w:t>
      </w:r>
      <w:r w:rsidRPr="00DA75F8">
        <w:rPr>
          <w:rFonts w:hint="cs"/>
          <w:rtl/>
        </w:rPr>
        <w:t>ين</w:t>
      </w:r>
      <w:r w:rsidRPr="00DA75F8">
        <w:rPr>
          <w:rtl/>
        </w:rPr>
        <w:t xml:space="preserve"> إلى حياة سعيدة معنويًا </w:t>
      </w:r>
      <w:r>
        <w:rPr>
          <w:rtl/>
        </w:rPr>
        <w:t xml:space="preserve"> و</w:t>
      </w:r>
      <w:r w:rsidRPr="00DA75F8">
        <w:rPr>
          <w:rFonts w:hint="cs"/>
          <w:rtl/>
        </w:rPr>
        <w:t>ماديًا</w:t>
      </w:r>
      <w:r w:rsidRPr="00DA75F8">
        <w:rPr>
          <w:rtl/>
        </w:rPr>
        <w:t xml:space="preserve"> في الدنيا والآخرة، وشُرع </w:t>
      </w:r>
      <w:r>
        <w:rPr>
          <w:rFonts w:hint="cs"/>
          <w:rtl/>
        </w:rPr>
        <w:t>ب</w:t>
      </w:r>
      <w:r w:rsidRPr="00DA75F8">
        <w:rPr>
          <w:rFonts w:hint="cs"/>
          <w:rtl/>
        </w:rPr>
        <w:t>تأسيس</w:t>
      </w:r>
      <w:r w:rsidRPr="00DA75F8">
        <w:rPr>
          <w:rtl/>
        </w:rPr>
        <w:t xml:space="preserve"> ال</w:t>
      </w:r>
      <w:r>
        <w:rPr>
          <w:rFonts w:hint="cs"/>
          <w:rtl/>
        </w:rPr>
        <w:t>دولة</w:t>
      </w:r>
      <w:r>
        <w:rPr>
          <w:rtl/>
        </w:rPr>
        <w:t xml:space="preserve"> الإسلامية</w:t>
      </w:r>
      <w:r w:rsidRPr="00DA75F8">
        <w:rPr>
          <w:rFonts w:hint="cs"/>
          <w:rtl/>
        </w:rPr>
        <w:t>،</w:t>
      </w:r>
      <w:r w:rsidRPr="00DA75F8">
        <w:rPr>
          <w:rtl/>
        </w:rPr>
        <w:t xml:space="preserve"> </w:t>
      </w:r>
      <w:r>
        <w:rPr>
          <w:rFonts w:hint="cs"/>
          <w:rtl/>
        </w:rPr>
        <w:t>ف</w:t>
      </w:r>
      <w:r w:rsidRPr="00DA75F8">
        <w:rPr>
          <w:rFonts w:hint="cs"/>
          <w:rtl/>
        </w:rPr>
        <w:t>ظهرتال</w:t>
      </w:r>
      <w:r>
        <w:rPr>
          <w:rFonts w:hint="cs"/>
          <w:rtl/>
        </w:rPr>
        <w:t>قوانين</w:t>
      </w:r>
      <w:r w:rsidRPr="00DA75F8">
        <w:rPr>
          <w:rtl/>
        </w:rPr>
        <w:t xml:space="preserve"> والقواعد، والعقوبات في الدولة</w:t>
      </w:r>
      <w:r>
        <w:rPr>
          <w:rtl/>
        </w:rPr>
        <w:t xml:space="preserve"> وعلاقات المسلمين بغيرهم</w:t>
      </w:r>
      <w:r w:rsidRPr="00DA75F8">
        <w:rPr>
          <w:rFonts w:hint="cs"/>
          <w:rtl/>
        </w:rPr>
        <w:t>،</w:t>
      </w:r>
      <w:r w:rsidRPr="00DA75F8">
        <w:rPr>
          <w:rtl/>
        </w:rPr>
        <w:t xml:space="preserve"> و</w:t>
      </w:r>
      <w:r>
        <w:rPr>
          <w:rFonts w:hint="cs"/>
          <w:rtl/>
        </w:rPr>
        <w:t>ا</w:t>
      </w:r>
      <w:r w:rsidRPr="00DA75F8">
        <w:rPr>
          <w:rFonts w:hint="cs"/>
          <w:rtl/>
        </w:rPr>
        <w:t>ستمرّ</w:t>
      </w:r>
      <w:r>
        <w:rPr>
          <w:rFonts w:hint="cs"/>
          <w:rtl/>
        </w:rPr>
        <w:t>ت</w:t>
      </w:r>
      <w:r w:rsidRPr="00DA75F8">
        <w:rPr>
          <w:rtl/>
        </w:rPr>
        <w:t xml:space="preserve"> الدولة الإسلامية بعد رسول الله – صلى اله عليه وسلم –</w:t>
      </w:r>
      <w:r>
        <w:rPr>
          <w:rFonts w:hint="cs"/>
          <w:rtl/>
        </w:rPr>
        <w:t>،فكان</w:t>
      </w:r>
      <w:r>
        <w:rPr>
          <w:rtl/>
        </w:rPr>
        <w:t xml:space="preserve"> للخلفاء الراشدين بصمتهم في السياسة الدين والدنيا</w:t>
      </w:r>
      <w:r w:rsidRPr="00DA75F8">
        <w:rPr>
          <w:rtl/>
        </w:rPr>
        <w:t>.</w:t>
      </w:r>
    </w:p>
    <w:p w:rsidR="005F44B2" w:rsidRPr="00DA75F8" w:rsidRDefault="005F44B2" w:rsidP="00AC075E">
      <w:pPr>
        <w:pStyle w:val="a0"/>
        <w:rPr>
          <w:rtl/>
        </w:rPr>
      </w:pPr>
      <w:r>
        <w:rPr>
          <w:rFonts w:hint="cs"/>
          <w:rtl/>
        </w:rPr>
        <w:t>لذا</w:t>
      </w:r>
      <w:r>
        <w:rPr>
          <w:rtl/>
        </w:rPr>
        <w:t xml:space="preserve"> </w:t>
      </w:r>
      <w:r w:rsidRPr="00DA75F8">
        <w:rPr>
          <w:rFonts w:hint="cs"/>
          <w:rtl/>
        </w:rPr>
        <w:t>السياسة</w:t>
      </w:r>
      <w:r w:rsidRPr="00DA75F8">
        <w:rPr>
          <w:rtl/>
        </w:rPr>
        <w:t xml:space="preserve"> الشرعية </w:t>
      </w:r>
      <w:r>
        <w:rPr>
          <w:rFonts w:hint="cs"/>
          <w:rtl/>
        </w:rPr>
        <w:t>تعد</w:t>
      </w:r>
      <w:r w:rsidRPr="00DA75F8">
        <w:rPr>
          <w:rtl/>
        </w:rPr>
        <w:t xml:space="preserve"> من ضروريات الدولة الإسلامية،</w:t>
      </w:r>
      <w:r>
        <w:rPr>
          <w:rtl/>
        </w:rPr>
        <w:t xml:space="preserve"> كما</w:t>
      </w:r>
      <w:r w:rsidRPr="00DA75F8">
        <w:rPr>
          <w:rFonts w:hint="cs"/>
          <w:rtl/>
        </w:rPr>
        <w:t>تَظهر</w:t>
      </w:r>
      <w:r w:rsidRPr="00DA75F8">
        <w:rPr>
          <w:rtl/>
        </w:rPr>
        <w:t xml:space="preserve"> تطبيقاتها مِن عهدرسول الله – صلى الله عليه وسلم – إلى يومنا مع أنه لم يكن لها </w:t>
      </w:r>
      <w:r>
        <w:rPr>
          <w:rFonts w:hint="cs"/>
          <w:rtl/>
        </w:rPr>
        <w:t>اسمًا</w:t>
      </w:r>
      <w:r>
        <w:rPr>
          <w:rtl/>
        </w:rPr>
        <w:t xml:space="preserve"> واضحًا</w:t>
      </w:r>
      <w:r w:rsidRPr="00DA75F8">
        <w:rPr>
          <w:rtl/>
        </w:rPr>
        <w:t xml:space="preserve"> في أوائل ال</w:t>
      </w:r>
      <w:r w:rsidRPr="00DA75F8">
        <w:rPr>
          <w:rFonts w:hint="cs"/>
          <w:rtl/>
        </w:rPr>
        <w:t>إسلام</w:t>
      </w:r>
      <w:r>
        <w:rPr>
          <w:rFonts w:hint="cs"/>
          <w:rtl/>
        </w:rPr>
        <w:t>،</w:t>
      </w:r>
      <w:r>
        <w:rPr>
          <w:rtl/>
        </w:rPr>
        <w:t xml:space="preserve"> ولكن هي معروفة كفكرة ملازمة للمجتهد.</w:t>
      </w:r>
    </w:p>
    <w:p w:rsidR="005F44B2" w:rsidRPr="00DA75F8" w:rsidRDefault="005F44B2" w:rsidP="00063E2E">
      <w:pPr>
        <w:pStyle w:val="a0"/>
        <w:rPr>
          <w:rtl/>
        </w:rPr>
      </w:pPr>
      <w:r w:rsidRPr="00DA75F8">
        <w:rPr>
          <w:rFonts w:hint="cs"/>
          <w:rtl/>
        </w:rPr>
        <w:t>السياسة</w:t>
      </w:r>
      <w:r w:rsidRPr="00DA75F8">
        <w:rPr>
          <w:rtl/>
        </w:rPr>
        <w:t xml:space="preserve"> الشرعية علم يهدف إلى تحقيق مصالح الخلق في كل زمان ومكان، وهو أيضًا من غايات دين الإسلام، </w:t>
      </w:r>
      <w:r>
        <w:rPr>
          <w:rFonts w:hint="cs"/>
          <w:rtl/>
        </w:rPr>
        <w:t>و</w:t>
      </w:r>
      <w:r w:rsidRPr="00DA75F8">
        <w:rPr>
          <w:rFonts w:hint="cs"/>
          <w:rtl/>
        </w:rPr>
        <w:t>السياسة</w:t>
      </w:r>
      <w:r w:rsidRPr="00DA75F8">
        <w:rPr>
          <w:rtl/>
        </w:rPr>
        <w:t xml:space="preserve"> الشرعية </w:t>
      </w:r>
      <w:r>
        <w:rPr>
          <w:rFonts w:hint="cs"/>
          <w:rtl/>
        </w:rPr>
        <w:t>تواف</w:t>
      </w:r>
      <w:r w:rsidRPr="00DA75F8">
        <w:rPr>
          <w:rFonts w:hint="cs"/>
          <w:rtl/>
        </w:rPr>
        <w:t>ق</w:t>
      </w:r>
      <w:r w:rsidRPr="00DA75F8">
        <w:rPr>
          <w:rtl/>
        </w:rPr>
        <w:t xml:space="preserve"> مقاصد الشرع ولاتنافيها، وتوافق غاية التشريع ولاتخالفها. السياسة الشرعية قد </w:t>
      </w:r>
      <w:r>
        <w:rPr>
          <w:rFonts w:hint="cs"/>
          <w:rtl/>
        </w:rPr>
        <w:t>تعمل</w:t>
      </w:r>
      <w:r w:rsidRPr="00DA75F8">
        <w:rPr>
          <w:rtl/>
        </w:rPr>
        <w:t xml:space="preserve"> في المنصوص عليه، </w:t>
      </w:r>
      <w:r>
        <w:rPr>
          <w:rFonts w:hint="cs"/>
          <w:rtl/>
        </w:rPr>
        <w:t>كما</w:t>
      </w:r>
      <w:r>
        <w:rPr>
          <w:rtl/>
        </w:rPr>
        <w:t xml:space="preserve"> تعمل</w:t>
      </w:r>
      <w:r w:rsidRPr="00DA75F8">
        <w:rPr>
          <w:rtl/>
        </w:rPr>
        <w:t xml:space="preserve"> في غير المنصوص عليه، </w:t>
      </w:r>
      <w:r>
        <w:rPr>
          <w:rFonts w:hint="cs"/>
          <w:rtl/>
        </w:rPr>
        <w:t>ويُطبق</w:t>
      </w:r>
      <w:r w:rsidRPr="00DA75F8">
        <w:rPr>
          <w:rtl/>
        </w:rPr>
        <w:t xml:space="preserve"> السياسة الشرعية</w:t>
      </w:r>
      <w:r>
        <w:rPr>
          <w:rtl/>
        </w:rPr>
        <w:t xml:space="preserve"> من قبل</w:t>
      </w:r>
      <w:r w:rsidRPr="00DA75F8">
        <w:rPr>
          <w:rtl/>
        </w:rPr>
        <w:t xml:space="preserve"> الحاكم أو نائبه أو مَن </w:t>
      </w:r>
      <w:r>
        <w:rPr>
          <w:rFonts w:hint="cs"/>
          <w:rtl/>
        </w:rPr>
        <w:t>كان</w:t>
      </w:r>
      <w:r>
        <w:rPr>
          <w:rtl/>
        </w:rPr>
        <w:t xml:space="preserve"> له</w:t>
      </w:r>
      <w:r w:rsidRPr="00DA75F8">
        <w:rPr>
          <w:rtl/>
        </w:rPr>
        <w:t xml:space="preserve"> القرار </w:t>
      </w:r>
      <w:r>
        <w:rPr>
          <w:rFonts w:hint="cs"/>
          <w:rtl/>
        </w:rPr>
        <w:t>الحكم</w:t>
      </w:r>
      <w:r w:rsidRPr="00DA75F8">
        <w:rPr>
          <w:rtl/>
        </w:rPr>
        <w:t xml:space="preserve"> في المسألة برأيه مع رعاية مصالح الأمة، ويمكننا أن نقول بهذا الإطار إن السياسة الشرعية هي باب من أبواب الاجتهاد، وعلى المجتهد أو الحاكم أو نائبه عند </w:t>
      </w:r>
      <w:r>
        <w:rPr>
          <w:rFonts w:hint="cs"/>
          <w:rtl/>
        </w:rPr>
        <w:t>اتخاذ</w:t>
      </w:r>
      <w:r>
        <w:rPr>
          <w:rtl/>
        </w:rPr>
        <w:t xml:space="preserve"> الحكم</w:t>
      </w:r>
      <w:r w:rsidRPr="00DA75F8">
        <w:rPr>
          <w:rtl/>
        </w:rPr>
        <w:t xml:space="preserve"> النظر في ملابسات الواقعة وظروفها من كل جهة لئلا يحكم حكمًا شرعيًّا يتناقض مع غاية الشريعة.</w:t>
      </w:r>
    </w:p>
    <w:p w:rsidR="005F44B2" w:rsidRPr="00DA75F8" w:rsidRDefault="005F44B2" w:rsidP="00063E2E">
      <w:pPr>
        <w:pStyle w:val="a0"/>
        <w:rPr>
          <w:rtl/>
        </w:rPr>
      </w:pPr>
      <w:r w:rsidRPr="00DA75F8">
        <w:rPr>
          <w:rFonts w:hint="cs"/>
          <w:rtl/>
        </w:rPr>
        <w:t>وعلى</w:t>
      </w:r>
      <w:r w:rsidRPr="00DA75F8">
        <w:rPr>
          <w:rtl/>
        </w:rPr>
        <w:t xml:space="preserve"> هذا فقد أخذ الباحث هذا الموضوع ع</w:t>
      </w:r>
      <w:r w:rsidRPr="00DA75F8">
        <w:rPr>
          <w:rFonts w:hint="cs"/>
          <w:rtl/>
        </w:rPr>
        <w:t>ند</w:t>
      </w:r>
      <w:r w:rsidRPr="00DA75F8">
        <w:rPr>
          <w:rtl/>
        </w:rPr>
        <w:t xml:space="preserve"> ابن عابدين</w:t>
      </w:r>
      <w:r>
        <w:rPr>
          <w:rtl/>
        </w:rPr>
        <w:t>– رحمه الله –</w:t>
      </w:r>
      <w:r w:rsidRPr="00DA75F8">
        <w:rPr>
          <w:rFonts w:hint="cs"/>
          <w:rtl/>
        </w:rPr>
        <w:t>،</w:t>
      </w:r>
      <w:r w:rsidRPr="00DA75F8">
        <w:rPr>
          <w:rtl/>
        </w:rPr>
        <w:t xml:space="preserve"> </w:t>
      </w:r>
      <w:r>
        <w:rPr>
          <w:rFonts w:hint="cs"/>
          <w:rtl/>
        </w:rPr>
        <w:t>إ</w:t>
      </w:r>
      <w:r w:rsidRPr="00DA75F8">
        <w:rPr>
          <w:rFonts w:hint="cs"/>
          <w:rtl/>
        </w:rPr>
        <w:t>نه</w:t>
      </w:r>
      <w:r w:rsidRPr="00DA75F8">
        <w:rPr>
          <w:rtl/>
        </w:rPr>
        <w:t xml:space="preserve"> من العلماء المتأخرين القريبينمن زماننا حيث عاش بين سنتي 1784م و 1836م (1198هـ و 1252هـ )، ومن هنا خطرللباحث أنّ ظروف حياته وحياتنا أكثر تشابها، وكتب ابن عابدين مؤلفات كثيرة حيث لم يترك سؤالًا بدون جواب، ولا مشكلة بدون تحليل، وإضافة إلى ما م</w:t>
      </w:r>
      <w:r w:rsidRPr="00DA75F8">
        <w:rPr>
          <w:rFonts w:hint="cs"/>
          <w:rtl/>
        </w:rPr>
        <w:t>ضى</w:t>
      </w:r>
      <w:r w:rsidRPr="00DA75F8">
        <w:rPr>
          <w:rtl/>
        </w:rPr>
        <w:t xml:space="preserve"> فإن سببإختيار الباحث لابن عابدين أنه من أعظم العلماء في زمانه بل كان من مرجحي المذهب في زمانه.</w:t>
      </w:r>
    </w:p>
    <w:p w:rsidR="005F44B2" w:rsidRPr="00DA75F8" w:rsidRDefault="005F44B2" w:rsidP="007B6769">
      <w:pPr>
        <w:pStyle w:val="a0"/>
        <w:rPr>
          <w:rtl/>
        </w:rPr>
      </w:pPr>
    </w:p>
    <w:p w:rsidR="005F44B2" w:rsidRPr="00DA75F8" w:rsidRDefault="005F44B2" w:rsidP="007B6769">
      <w:pPr>
        <w:pStyle w:val="a0"/>
        <w:rPr>
          <w:rtl/>
        </w:rPr>
      </w:pPr>
      <w:r w:rsidRPr="00DA75F8">
        <w:rPr>
          <w:rFonts w:hint="cs"/>
          <w:b/>
          <w:bCs/>
          <w:rtl/>
        </w:rPr>
        <w:t>أهمية</w:t>
      </w:r>
      <w:r w:rsidRPr="00DA75F8">
        <w:rPr>
          <w:b/>
          <w:bCs/>
          <w:rtl/>
        </w:rPr>
        <w:t xml:space="preserve"> الدراسة ومشكلتها وأهدافها: </w:t>
      </w:r>
    </w:p>
    <w:p w:rsidR="005F44B2" w:rsidRPr="00DA75F8" w:rsidRDefault="005F44B2" w:rsidP="007B6769">
      <w:pPr>
        <w:pStyle w:val="a0"/>
        <w:rPr>
          <w:rtl/>
        </w:rPr>
      </w:pPr>
    </w:p>
    <w:p w:rsidR="005F44B2" w:rsidRPr="00DA75F8" w:rsidRDefault="005F44B2" w:rsidP="007B6769">
      <w:pPr>
        <w:pStyle w:val="a0"/>
        <w:rPr>
          <w:b/>
          <w:bCs/>
        </w:rPr>
      </w:pPr>
      <w:r w:rsidRPr="00DA75F8">
        <w:rPr>
          <w:rFonts w:hint="cs"/>
          <w:b/>
          <w:bCs/>
          <w:rtl/>
        </w:rPr>
        <w:t>أهمية</w:t>
      </w:r>
      <w:r w:rsidRPr="00DA75F8">
        <w:rPr>
          <w:b/>
          <w:bCs/>
          <w:rtl/>
        </w:rPr>
        <w:t xml:space="preserve"> الدراسة:</w:t>
      </w:r>
    </w:p>
    <w:p w:rsidR="005F44B2" w:rsidRDefault="005F44B2" w:rsidP="007B6769">
      <w:pPr>
        <w:pStyle w:val="a0"/>
        <w:numPr>
          <w:ilvl w:val="0"/>
          <w:numId w:val="41"/>
        </w:numPr>
      </w:pPr>
      <w:r w:rsidRPr="00DA75F8">
        <w:rPr>
          <w:rFonts w:hint="cs"/>
          <w:rtl/>
        </w:rPr>
        <w:t>إن</w:t>
      </w:r>
      <w:r w:rsidRPr="00DA75F8">
        <w:rPr>
          <w:rtl/>
        </w:rPr>
        <w:t xml:space="preserve"> آراء ابن عابدين مهمة جداً، </w:t>
      </w:r>
      <w:r w:rsidRPr="00DA75F8">
        <w:rPr>
          <w:rFonts w:hint="cs"/>
          <w:rtl/>
        </w:rPr>
        <w:t>لكونه</w:t>
      </w:r>
      <w:r w:rsidRPr="00DA75F8">
        <w:rPr>
          <w:rtl/>
        </w:rPr>
        <w:t xml:space="preserve"> عاش في أواخر عصر الدولة العثمانية وتنشأ أهمية ذلك من وجهين:</w:t>
      </w:r>
    </w:p>
    <w:p w:rsidR="005F44B2" w:rsidRPr="00DA75F8" w:rsidRDefault="005F44B2" w:rsidP="007B6769">
      <w:pPr>
        <w:pStyle w:val="a0"/>
        <w:numPr>
          <w:ilvl w:val="1"/>
          <w:numId w:val="41"/>
        </w:numPr>
      </w:pPr>
      <w:r>
        <w:rPr>
          <w:rFonts w:hint="cs"/>
          <w:rtl/>
        </w:rPr>
        <w:t>إ</w:t>
      </w:r>
      <w:r w:rsidRPr="00DA75F8">
        <w:rPr>
          <w:rFonts w:hint="cs"/>
          <w:rtl/>
        </w:rPr>
        <w:t>نه</w:t>
      </w:r>
      <w:r w:rsidRPr="00DA75F8">
        <w:rPr>
          <w:rtl/>
        </w:rPr>
        <w:t xml:space="preserve"> حن</w:t>
      </w:r>
      <w:r w:rsidRPr="00DA75F8">
        <w:rPr>
          <w:rFonts w:hint="cs"/>
          <w:rtl/>
        </w:rPr>
        <w:t>في</w:t>
      </w:r>
      <w:r w:rsidRPr="00DA75F8">
        <w:rPr>
          <w:rtl/>
        </w:rPr>
        <w:t xml:space="preserve"> المذهب بل من المرجحين في المذهب، والدولة العثمانية كانت تنفذ الأحكام على ضوء الفقه الحنفي.</w:t>
      </w:r>
    </w:p>
    <w:p w:rsidR="005F44B2" w:rsidRPr="00DA75F8" w:rsidRDefault="005F44B2" w:rsidP="007B6769">
      <w:pPr>
        <w:pStyle w:val="a0"/>
        <w:numPr>
          <w:ilvl w:val="1"/>
          <w:numId w:val="41"/>
        </w:numPr>
        <w:rPr>
          <w:rtl/>
        </w:rPr>
      </w:pPr>
      <w:r>
        <w:rPr>
          <w:rFonts w:hint="cs"/>
          <w:rtl/>
        </w:rPr>
        <w:t>إ</w:t>
      </w:r>
      <w:r w:rsidRPr="00DA75F8">
        <w:rPr>
          <w:rFonts w:hint="cs"/>
          <w:rtl/>
        </w:rPr>
        <w:t>نه</w:t>
      </w:r>
      <w:r w:rsidRPr="00DA75F8">
        <w:rPr>
          <w:rtl/>
        </w:rPr>
        <w:t xml:space="preserve"> من المتأخرين الذين عاصروا انهيار الدولة العثمانية ولذلك فإن آراءه في السياسة الشرعية مهمة جدًا.</w:t>
      </w:r>
    </w:p>
    <w:p w:rsidR="005F44B2" w:rsidRPr="00DA75F8" w:rsidRDefault="005F44B2" w:rsidP="00063E2E">
      <w:pPr>
        <w:pStyle w:val="a0"/>
        <w:numPr>
          <w:ilvl w:val="0"/>
          <w:numId w:val="41"/>
        </w:numPr>
      </w:pPr>
      <w:r w:rsidRPr="00DA75F8">
        <w:rPr>
          <w:rFonts w:hint="cs"/>
          <w:rtl/>
        </w:rPr>
        <w:t>ولقد</w:t>
      </w:r>
      <w:r w:rsidRPr="00DA75F8">
        <w:rPr>
          <w:rtl/>
        </w:rPr>
        <w:t xml:space="preserve"> خدم ابن عابدين الفقه الإسلامي خدمات جليلة، حيث أنه لم يكد يترك مشكلة</w:t>
      </w:r>
      <w:r>
        <w:rPr>
          <w:rtl/>
        </w:rPr>
        <w:t xml:space="preserve"> دون حل فقهي</w:t>
      </w:r>
      <w:r w:rsidRPr="00DA75F8">
        <w:rPr>
          <w:rtl/>
        </w:rPr>
        <w:t xml:space="preserve"> </w:t>
      </w:r>
      <w:r w:rsidRPr="00DA75F8">
        <w:rPr>
          <w:rFonts w:hint="cs"/>
          <w:rtl/>
        </w:rPr>
        <w:t>من</w:t>
      </w:r>
      <w:r w:rsidRPr="00DA75F8">
        <w:rPr>
          <w:rtl/>
        </w:rPr>
        <w:t xml:space="preserve"> مشكلات عصره أو ما </w:t>
      </w:r>
      <w:r>
        <w:rPr>
          <w:rFonts w:hint="cs"/>
          <w:rtl/>
        </w:rPr>
        <w:t>بعد</w:t>
      </w:r>
      <w:r>
        <w:rPr>
          <w:rtl/>
        </w:rPr>
        <w:t xml:space="preserve"> عصره مما إفترضه آتيا وقوعه،و</w:t>
      </w:r>
      <w:r w:rsidRPr="00DA75F8">
        <w:rPr>
          <w:rFonts w:hint="cs"/>
          <w:rtl/>
        </w:rPr>
        <w:t>يتجلى</w:t>
      </w:r>
      <w:r w:rsidRPr="00DA75F8">
        <w:rPr>
          <w:rtl/>
        </w:rPr>
        <w:t xml:space="preserve"> ذلك في رسائله الفقهية و في كتبه الكبيرة ك"رد المحتار"، و"تنقيح الفتاوى الحامدية"، و"حاشية البحر".</w:t>
      </w:r>
    </w:p>
    <w:p w:rsidR="005F44B2" w:rsidRPr="00DA75F8" w:rsidRDefault="005F44B2" w:rsidP="007B6769">
      <w:pPr>
        <w:pStyle w:val="a0"/>
        <w:numPr>
          <w:ilvl w:val="0"/>
          <w:numId w:val="41"/>
        </w:numPr>
      </w:pPr>
      <w:r w:rsidRPr="00DA75F8">
        <w:rPr>
          <w:rFonts w:hint="cs"/>
          <w:rtl/>
        </w:rPr>
        <w:t>وبما</w:t>
      </w:r>
      <w:r w:rsidRPr="00DA75F8">
        <w:rPr>
          <w:rtl/>
        </w:rPr>
        <w:t xml:space="preserve"> لا يَدَعُ مجالا للشك أننا نحتاج إلى دراسة كتب السلف من الفقه الإسلامي وبخاصة الكتب المتعلقة بالسياسة الشرعية لأنها ثروة فقهية علمية، تركها العلماء تراثا للمسلمين حتى نستفيد منها. فدراستها ضرورية لمعرفة قيمة هذه الشريعة، لفهم عصرنا الحاضر ولبعض أحكام القوانين الوضعية الحالية وتفسيرها وتقريبها إلى ما يناسب الشرع.</w:t>
      </w:r>
    </w:p>
    <w:p w:rsidR="005F44B2" w:rsidRPr="00DA75F8" w:rsidRDefault="005F44B2" w:rsidP="007B6769">
      <w:pPr>
        <w:pStyle w:val="a0"/>
        <w:numPr>
          <w:ilvl w:val="0"/>
          <w:numId w:val="41"/>
        </w:numPr>
      </w:pPr>
      <w:r w:rsidRPr="00DA75F8">
        <w:rPr>
          <w:rFonts w:hint="cs"/>
          <w:rtl/>
        </w:rPr>
        <w:t>أننا</w:t>
      </w:r>
      <w:r w:rsidRPr="00DA75F8">
        <w:rPr>
          <w:rtl/>
        </w:rPr>
        <w:t xml:space="preserve"> في حاجة ماسة في عصرنا الحاضر إلى آراء مناسبة للشريعة الإسلامية حتى نغير بها القوانين غير المناسبة للشريعة.</w:t>
      </w:r>
    </w:p>
    <w:p w:rsidR="005F44B2" w:rsidRPr="00DA75F8" w:rsidRDefault="005F44B2" w:rsidP="007B6769">
      <w:pPr>
        <w:pStyle w:val="a0"/>
        <w:numPr>
          <w:ilvl w:val="0"/>
          <w:numId w:val="41"/>
        </w:numPr>
      </w:pPr>
      <w:r w:rsidRPr="00DA75F8">
        <w:rPr>
          <w:rFonts w:hint="cs"/>
          <w:rtl/>
        </w:rPr>
        <w:t>رغم</w:t>
      </w:r>
      <w:r w:rsidRPr="00DA75F8">
        <w:rPr>
          <w:rtl/>
        </w:rPr>
        <w:t xml:space="preserve"> آرائه المنفردة الواسعة في الحقوق والسياسة الشرعية في حل المشاكل في عصره الا أنها ظلت بعيدة في الغالب عن متناول كثيرين من رجال الحقوق في العالم. </w:t>
      </w:r>
    </w:p>
    <w:p w:rsidR="005F44B2" w:rsidRPr="00DA75F8" w:rsidRDefault="005F44B2" w:rsidP="00063E2E">
      <w:pPr>
        <w:pStyle w:val="a0"/>
        <w:numPr>
          <w:ilvl w:val="0"/>
          <w:numId w:val="41"/>
        </w:numPr>
      </w:pPr>
      <w:r>
        <w:rPr>
          <w:rFonts w:hint="cs"/>
          <w:rtl/>
        </w:rPr>
        <w:t>لقد</w:t>
      </w:r>
      <w:r>
        <w:rPr>
          <w:rtl/>
        </w:rPr>
        <w:t xml:space="preserve"> ترجمتْ كتب ابن عابدين إلى اللغات الأخرى، فأولى بنا أن نهتم به، </w:t>
      </w:r>
      <w:r w:rsidRPr="00DA75F8">
        <w:rPr>
          <w:rFonts w:hint="cs"/>
          <w:rtl/>
        </w:rPr>
        <w:t>قال</w:t>
      </w:r>
      <w:r w:rsidRPr="00DA75F8">
        <w:rPr>
          <w:rtl/>
        </w:rPr>
        <w:t xml:space="preserve"> محمد صالح الفرفور مؤلف كتاب "ابن عابدين وأثره في الفقه الإسلامي "كنت زائرا بعض المعاهد العلمية الغربية في دمشق فكان مما قاله مدير ذلك المعهد في تلك الوقت : أليس من العجيب في الفقه الإسلامي عندكم ألا تكون فيه دراسة مستفيضة عن ابن عابدين و حاشيته ال</w:t>
      </w:r>
      <w:r w:rsidRPr="00DA75F8">
        <w:rPr>
          <w:rFonts w:hint="cs"/>
          <w:rtl/>
        </w:rPr>
        <w:t>تى</w:t>
      </w:r>
      <w:r w:rsidRPr="00DA75F8">
        <w:rPr>
          <w:rtl/>
        </w:rPr>
        <w:t xml:space="preserve"> ترجمت نصوص منها إلى بعض لغات الغرب وتعد عند فقهائنا أشبه بدائرة معارف للمذهب الحنفي وللفقه الإسلامي ومن أهم مصادر فقه الحقوق الحديث وأعظم عمل تمهيدي ن</w:t>
      </w:r>
      <w:r>
        <w:rPr>
          <w:rFonts w:hint="cs"/>
          <w:rtl/>
        </w:rPr>
        <w:t>حو</w:t>
      </w:r>
      <w:r>
        <w:rPr>
          <w:rtl/>
        </w:rPr>
        <w:t xml:space="preserve"> دائرة معارف للفقه الإسلامي ".</w:t>
      </w:r>
    </w:p>
    <w:p w:rsidR="005F44B2" w:rsidRPr="00DA75F8" w:rsidRDefault="005F44B2" w:rsidP="00D54EB1">
      <w:pPr>
        <w:pStyle w:val="a0"/>
        <w:numPr>
          <w:ilvl w:val="0"/>
          <w:numId w:val="41"/>
        </w:numPr>
      </w:pPr>
      <w:r w:rsidRPr="00DA75F8">
        <w:rPr>
          <w:rFonts w:hint="cs"/>
          <w:rtl/>
        </w:rPr>
        <w:t>إن</w:t>
      </w:r>
      <w:r w:rsidRPr="00DA75F8">
        <w:rPr>
          <w:rtl/>
        </w:rPr>
        <w:t xml:space="preserve"> موضوع</w:t>
      </w:r>
      <w:r>
        <w:rPr>
          <w:rtl/>
        </w:rPr>
        <w:t xml:space="preserve"> السياسة الشرعية</w:t>
      </w:r>
      <w:r w:rsidRPr="00DA75F8">
        <w:rPr>
          <w:rFonts w:hint="cs"/>
          <w:rtl/>
        </w:rPr>
        <w:t>تحتاجه</w:t>
      </w:r>
      <w:r w:rsidRPr="00DA75F8">
        <w:rPr>
          <w:rtl/>
        </w:rPr>
        <w:t xml:space="preserve"> الأمة</w:t>
      </w:r>
      <w:r>
        <w:rPr>
          <w:rFonts w:hint="cs"/>
          <w:rtl/>
        </w:rPr>
        <w:t>،</w:t>
      </w:r>
      <w:r>
        <w:rPr>
          <w:rtl/>
        </w:rPr>
        <w:t xml:space="preserve"> ومن المهم أن نرى رأي الفقهاء فيه، والذي منهم ابن عابدين – رحمه الله –.</w:t>
      </w:r>
    </w:p>
    <w:p w:rsidR="005F44B2" w:rsidRPr="00DA75F8" w:rsidRDefault="005F44B2" w:rsidP="007B6769">
      <w:pPr>
        <w:pStyle w:val="a0"/>
        <w:rPr>
          <w:b/>
          <w:bCs/>
        </w:rPr>
      </w:pPr>
      <w:r w:rsidRPr="00DA75F8">
        <w:rPr>
          <w:rFonts w:hint="cs"/>
          <w:b/>
          <w:bCs/>
          <w:rtl/>
        </w:rPr>
        <w:t>مشكلة</w:t>
      </w:r>
      <w:r w:rsidRPr="00DA75F8">
        <w:rPr>
          <w:b/>
          <w:bCs/>
          <w:rtl/>
        </w:rPr>
        <w:t xml:space="preserve"> الدراسة:</w:t>
      </w:r>
    </w:p>
    <w:p w:rsidR="005F44B2" w:rsidRPr="00DA75F8" w:rsidRDefault="005F44B2" w:rsidP="00D54EB1">
      <w:pPr>
        <w:pStyle w:val="a0"/>
        <w:numPr>
          <w:ilvl w:val="0"/>
          <w:numId w:val="40"/>
        </w:numPr>
      </w:pPr>
      <w:r w:rsidRPr="00DA75F8">
        <w:rPr>
          <w:rFonts w:hint="cs"/>
          <w:rtl/>
        </w:rPr>
        <w:t>ما</w:t>
      </w:r>
      <w:r w:rsidRPr="00DA75F8">
        <w:rPr>
          <w:rtl/>
        </w:rPr>
        <w:t xml:space="preserve"> مفهوم السياسة الشرعية عند ابن عابدين ؟</w:t>
      </w:r>
    </w:p>
    <w:p w:rsidR="005F44B2" w:rsidRPr="00DA75F8" w:rsidRDefault="005F44B2" w:rsidP="007B6769">
      <w:pPr>
        <w:pStyle w:val="a0"/>
        <w:numPr>
          <w:ilvl w:val="0"/>
          <w:numId w:val="40"/>
        </w:numPr>
      </w:pPr>
      <w:r w:rsidRPr="00DA75F8">
        <w:rPr>
          <w:rFonts w:hint="cs"/>
          <w:rtl/>
        </w:rPr>
        <w:t>هل</w:t>
      </w:r>
      <w:r w:rsidRPr="00DA75F8">
        <w:rPr>
          <w:rtl/>
        </w:rPr>
        <w:t xml:space="preserve"> اعتمد ابن عابدين في مباحث السياسة الشرعية على كتب الأحناف فحسب أم أخذ من غيرهم؟</w:t>
      </w:r>
    </w:p>
    <w:p w:rsidR="005F44B2" w:rsidRPr="00DA75F8" w:rsidRDefault="005F44B2" w:rsidP="007B6769">
      <w:pPr>
        <w:pStyle w:val="a0"/>
        <w:numPr>
          <w:ilvl w:val="0"/>
          <w:numId w:val="40"/>
        </w:numPr>
      </w:pPr>
      <w:r w:rsidRPr="00DA75F8">
        <w:rPr>
          <w:rFonts w:hint="cs"/>
          <w:rtl/>
        </w:rPr>
        <w:t>ما</w:t>
      </w:r>
      <w:r w:rsidRPr="00DA75F8">
        <w:rPr>
          <w:rtl/>
        </w:rPr>
        <w:t xml:space="preserve"> تأثير ابن عابدين في أحكام السياسة الشرعية في عهد انهيار الدولة العثمانية ؟</w:t>
      </w:r>
    </w:p>
    <w:p w:rsidR="005F44B2" w:rsidRPr="00DA75F8" w:rsidRDefault="005F44B2" w:rsidP="00BF287A">
      <w:pPr>
        <w:pStyle w:val="a0"/>
        <w:rPr>
          <w:b/>
          <w:bCs/>
          <w:rtl/>
        </w:rPr>
      </w:pPr>
      <w:r w:rsidRPr="00DA75F8">
        <w:rPr>
          <w:rFonts w:hint="cs"/>
          <w:b/>
          <w:bCs/>
          <w:rtl/>
        </w:rPr>
        <w:t>أهداف</w:t>
      </w:r>
      <w:r w:rsidRPr="00DA75F8">
        <w:rPr>
          <w:b/>
          <w:bCs/>
          <w:rtl/>
        </w:rPr>
        <w:t xml:space="preserve"> الدراسة:</w:t>
      </w:r>
    </w:p>
    <w:p w:rsidR="005F44B2" w:rsidRPr="00DA75F8" w:rsidRDefault="005F44B2" w:rsidP="00B7164D">
      <w:pPr>
        <w:pStyle w:val="a0"/>
        <w:numPr>
          <w:ilvl w:val="0"/>
          <w:numId w:val="42"/>
        </w:numPr>
      </w:pPr>
      <w:r w:rsidRPr="00DA75F8">
        <w:rPr>
          <w:rFonts w:hint="cs"/>
          <w:rtl/>
        </w:rPr>
        <w:t>ابراز</w:t>
      </w:r>
      <w:r w:rsidRPr="00DA75F8">
        <w:rPr>
          <w:rtl/>
        </w:rPr>
        <w:t xml:space="preserve"> أهمية السياسة الشرعية </w:t>
      </w:r>
      <w:r>
        <w:rPr>
          <w:rFonts w:hint="cs"/>
          <w:rtl/>
        </w:rPr>
        <w:t>و</w:t>
      </w:r>
      <w:r w:rsidRPr="00DA75F8">
        <w:rPr>
          <w:rFonts w:hint="cs"/>
          <w:rtl/>
        </w:rPr>
        <w:t>عند</w:t>
      </w:r>
      <w:r w:rsidRPr="00DA75F8">
        <w:rPr>
          <w:rtl/>
        </w:rPr>
        <w:t xml:space="preserve"> الأحناف نحو المذاهب الأخرى في عهد الدولة العثمانية.</w:t>
      </w:r>
    </w:p>
    <w:p w:rsidR="005F44B2" w:rsidRPr="00DA75F8" w:rsidRDefault="005F44B2" w:rsidP="007B6769">
      <w:pPr>
        <w:pStyle w:val="a0"/>
        <w:numPr>
          <w:ilvl w:val="0"/>
          <w:numId w:val="42"/>
        </w:numPr>
      </w:pPr>
      <w:r w:rsidRPr="00DA75F8">
        <w:rPr>
          <w:rFonts w:hint="cs"/>
          <w:rtl/>
        </w:rPr>
        <w:t>بيان</w:t>
      </w:r>
      <w:r w:rsidRPr="00DA75F8">
        <w:rPr>
          <w:rtl/>
        </w:rPr>
        <w:t xml:space="preserve"> معنى السياسة الشرعية عند ابن عابدين.</w:t>
      </w:r>
    </w:p>
    <w:p w:rsidR="005F44B2" w:rsidRPr="00DA75F8" w:rsidRDefault="005F44B2" w:rsidP="007B6769">
      <w:pPr>
        <w:pStyle w:val="a0"/>
        <w:numPr>
          <w:ilvl w:val="0"/>
          <w:numId w:val="42"/>
        </w:numPr>
      </w:pPr>
      <w:r>
        <w:rPr>
          <w:rFonts w:hint="cs"/>
          <w:rtl/>
        </w:rPr>
        <w:t>بيان</w:t>
      </w:r>
      <w:r w:rsidRPr="00DA75F8">
        <w:rPr>
          <w:rtl/>
        </w:rPr>
        <w:t xml:space="preserve"> تأثير ابن عاب</w:t>
      </w:r>
      <w:r w:rsidRPr="00DA75F8">
        <w:rPr>
          <w:rFonts w:hint="cs"/>
          <w:rtl/>
        </w:rPr>
        <w:t>دين</w:t>
      </w:r>
      <w:r w:rsidRPr="00DA75F8">
        <w:rPr>
          <w:rtl/>
        </w:rPr>
        <w:t xml:space="preserve"> على أحكام السياسة الشرعية في عهد انهيار الدولة العثمانية.</w:t>
      </w:r>
    </w:p>
    <w:p w:rsidR="005F44B2" w:rsidRPr="00DA75F8" w:rsidRDefault="005F44B2" w:rsidP="006E5A8D">
      <w:pPr>
        <w:pStyle w:val="a0"/>
        <w:numPr>
          <w:ilvl w:val="0"/>
          <w:numId w:val="42"/>
        </w:numPr>
      </w:pPr>
      <w:r w:rsidRPr="00DA75F8">
        <w:rPr>
          <w:rFonts w:hint="cs"/>
          <w:rtl/>
        </w:rPr>
        <w:t>إلقاء</w:t>
      </w:r>
      <w:r w:rsidRPr="00DA75F8">
        <w:rPr>
          <w:rtl/>
        </w:rPr>
        <w:t xml:space="preserve"> الضوء على </w:t>
      </w:r>
      <w:r>
        <w:rPr>
          <w:rFonts w:hint="cs"/>
          <w:rtl/>
        </w:rPr>
        <w:t>سيرة</w:t>
      </w:r>
      <w:r>
        <w:rPr>
          <w:rtl/>
        </w:rPr>
        <w:t xml:space="preserve"> ابن عابدين وأهم كتبه.</w:t>
      </w:r>
    </w:p>
    <w:p w:rsidR="005F44B2" w:rsidRPr="00DA75F8" w:rsidRDefault="005F44B2" w:rsidP="007B6769">
      <w:pPr>
        <w:pStyle w:val="a0"/>
        <w:numPr>
          <w:ilvl w:val="0"/>
          <w:numId w:val="42"/>
        </w:numPr>
      </w:pPr>
      <w:r w:rsidRPr="00DA75F8">
        <w:rPr>
          <w:rFonts w:hint="cs"/>
          <w:rtl/>
        </w:rPr>
        <w:t>امكانية</w:t>
      </w:r>
      <w:r w:rsidRPr="00DA75F8">
        <w:rPr>
          <w:rtl/>
        </w:rPr>
        <w:t xml:space="preserve"> الاستفادة من آراء ابن عابدين في السياسة الشرعية عن</w:t>
      </w:r>
      <w:r w:rsidRPr="00DA75F8">
        <w:rPr>
          <w:rFonts w:hint="cs"/>
          <w:rtl/>
        </w:rPr>
        <w:t>د</w:t>
      </w:r>
      <w:r w:rsidRPr="00DA75F8">
        <w:rPr>
          <w:rtl/>
        </w:rPr>
        <w:t xml:space="preserve"> حلول المسائل المعاصرة في يومنا هذا.</w:t>
      </w:r>
    </w:p>
    <w:p w:rsidR="005F44B2" w:rsidRPr="00DA75F8" w:rsidRDefault="005F44B2" w:rsidP="00C44173">
      <w:pPr>
        <w:pStyle w:val="a0"/>
        <w:numPr>
          <w:ilvl w:val="0"/>
          <w:numId w:val="42"/>
        </w:numPr>
        <w:rPr>
          <w:rtl/>
        </w:rPr>
      </w:pPr>
      <w:r w:rsidRPr="00DA75F8">
        <w:rPr>
          <w:rFonts w:hint="cs"/>
          <w:rtl/>
        </w:rPr>
        <w:t>إظهارالوصف</w:t>
      </w:r>
      <w:r w:rsidRPr="00DA75F8">
        <w:rPr>
          <w:rtl/>
        </w:rPr>
        <w:t xml:space="preserve"> العام للحالة السياسية والإجتماعية في عصر ابن </w:t>
      </w:r>
      <w:r w:rsidRPr="00DA75F8">
        <w:rPr>
          <w:rFonts w:hint="cs"/>
          <w:rtl/>
        </w:rPr>
        <w:t>عابدين</w:t>
      </w:r>
      <w:r w:rsidRPr="00DA75F8">
        <w:rPr>
          <w:rtl/>
        </w:rPr>
        <w:t xml:space="preserve"> وأثرها عليه.</w:t>
      </w:r>
    </w:p>
    <w:p w:rsidR="005F44B2" w:rsidRPr="00B763B0" w:rsidRDefault="005F44B2" w:rsidP="00B763B0">
      <w:pPr>
        <w:pStyle w:val="a0"/>
        <w:rPr>
          <w:b/>
          <w:bCs/>
        </w:rPr>
      </w:pPr>
      <w:r w:rsidRPr="00BF287A">
        <w:rPr>
          <w:rFonts w:hint="cs"/>
          <w:b/>
          <w:bCs/>
          <w:rtl/>
        </w:rPr>
        <w:t>منهج</w:t>
      </w:r>
      <w:r w:rsidRPr="00BF287A">
        <w:rPr>
          <w:b/>
          <w:bCs/>
          <w:rtl/>
        </w:rPr>
        <w:t xml:space="preserve"> البحث:</w:t>
      </w:r>
    </w:p>
    <w:p w:rsidR="005F44B2" w:rsidRPr="00DA75F8" w:rsidRDefault="005F44B2" w:rsidP="007B6769">
      <w:pPr>
        <w:pStyle w:val="a0"/>
        <w:rPr>
          <w:noProof/>
          <w:rtl/>
        </w:rPr>
      </w:pPr>
      <w:r w:rsidRPr="00DA75F8">
        <w:rPr>
          <w:rFonts w:hint="cs"/>
          <w:rtl/>
        </w:rPr>
        <w:t>اتبع</w:t>
      </w:r>
      <w:r w:rsidRPr="00DA75F8">
        <w:rPr>
          <w:rtl/>
        </w:rPr>
        <w:t xml:space="preserve"> الباحث في دراسته ل</w:t>
      </w:r>
      <w:r w:rsidRPr="00DA75F8">
        <w:rPr>
          <w:rFonts w:hint="cs"/>
          <w:rtl/>
        </w:rPr>
        <w:t>هذه</w:t>
      </w:r>
      <w:r w:rsidRPr="00DA75F8">
        <w:rPr>
          <w:rtl/>
        </w:rPr>
        <w:t xml:space="preserve"> الرسالة أكثر من منهج واحد، كالمنهج الاستقرائي، والوصفي، والتحليلي، والمقارن: حيث قام الباحث بقراءة المعلومات حول موضوع رسالته في كتب ابن عابدين ورسائله وأمهات كتب الفقه في المذاهب الأربعة التي تتعلق بموضوع الرسالة، حيث جمع البيانات للوصول إلى مسألة الرسالة، وبعد ذلك قام الباحث بنقل التعريفات عن الموضوع وآراء العلماء حتى يُظهر مواقعهم في المسألة وموقع ابن عابدين في تلك المسألة، ثم قام الباحث بتحليل أقوال العلماء وابن عابدين في المسألة ليفسّر آراءهم حول الموضوع وقارنها ليصل إلى النتيجة في مسأل</w:t>
      </w:r>
      <w:r w:rsidRPr="00DA75F8">
        <w:rPr>
          <w:rFonts w:hint="cs"/>
          <w:rtl/>
        </w:rPr>
        <w:t>ة</w:t>
      </w:r>
      <w:r w:rsidRPr="00DA75F8">
        <w:rPr>
          <w:rtl/>
        </w:rPr>
        <w:t xml:space="preserve"> السياسة الشرعية.</w:t>
      </w:r>
    </w:p>
    <w:p w:rsidR="005F44B2" w:rsidRPr="00DA75F8" w:rsidRDefault="005F44B2" w:rsidP="007B6769">
      <w:pPr>
        <w:pStyle w:val="a0"/>
      </w:pPr>
    </w:p>
    <w:p w:rsidR="005F44B2" w:rsidRPr="00BF287A" w:rsidRDefault="005F44B2" w:rsidP="00BF287A">
      <w:pPr>
        <w:pStyle w:val="a0"/>
        <w:rPr>
          <w:b/>
          <w:bCs/>
          <w:rtl/>
        </w:rPr>
      </w:pPr>
      <w:r w:rsidRPr="00BF287A">
        <w:rPr>
          <w:rFonts w:hint="cs"/>
          <w:b/>
          <w:bCs/>
          <w:rtl/>
        </w:rPr>
        <w:t>الدراسات</w:t>
      </w:r>
      <w:r w:rsidRPr="00BF287A">
        <w:rPr>
          <w:b/>
          <w:bCs/>
          <w:rtl/>
        </w:rPr>
        <w:t xml:space="preserve"> السابقة</w:t>
      </w:r>
    </w:p>
    <w:p w:rsidR="005F44B2" w:rsidRPr="00DA75F8" w:rsidRDefault="005F44B2" w:rsidP="007B6769">
      <w:pPr>
        <w:pStyle w:val="a0"/>
        <w:rPr>
          <w:rtl/>
        </w:rPr>
      </w:pPr>
    </w:p>
    <w:p w:rsidR="005F44B2" w:rsidRPr="00DA75F8" w:rsidRDefault="005F44B2" w:rsidP="007B6769">
      <w:pPr>
        <w:pStyle w:val="a0"/>
        <w:rPr>
          <w:rtl/>
        </w:rPr>
      </w:pPr>
      <w:r w:rsidRPr="00DA75F8">
        <w:rPr>
          <w:rFonts w:hint="cs"/>
          <w:rtl/>
        </w:rPr>
        <w:t>أما</w:t>
      </w:r>
      <w:r w:rsidRPr="00DA75F8">
        <w:rPr>
          <w:rtl/>
        </w:rPr>
        <w:t xml:space="preserve"> الدراسات عن ابن عابدين فهي قليلة في يومنا هذا، وهي تجميع الرسائل لابن عابدين أو تحقيقات مؤلفاته، أو عن سيرته أو عن فتاوى له . </w:t>
      </w:r>
    </w:p>
    <w:p w:rsidR="005F44B2" w:rsidRPr="00DA75F8" w:rsidRDefault="005F44B2" w:rsidP="00E8678D">
      <w:pPr>
        <w:pStyle w:val="a0"/>
        <w:rPr>
          <w:rtl/>
        </w:rPr>
      </w:pPr>
      <w:r>
        <w:rPr>
          <w:rFonts w:hint="cs"/>
          <w:rtl/>
        </w:rPr>
        <w:t>وبحسب</w:t>
      </w:r>
      <w:r>
        <w:rPr>
          <w:rtl/>
        </w:rPr>
        <w:t xml:space="preserve"> بحثي وجدت أن</w:t>
      </w:r>
      <w:r w:rsidRPr="00DA75F8">
        <w:rPr>
          <w:rtl/>
        </w:rPr>
        <w:t xml:space="preserve"> أوسع كتاب بحث</w:t>
      </w:r>
      <w:r>
        <w:rPr>
          <w:rtl/>
        </w:rPr>
        <w:t xml:space="preserve"> عن ابن عابدينفي هذه القضية</w:t>
      </w:r>
      <w:r w:rsidRPr="00DA75F8">
        <w:rPr>
          <w:rtl/>
        </w:rPr>
        <w:t xml:space="preserve">: </w:t>
      </w:r>
    </w:p>
    <w:p w:rsidR="005F44B2" w:rsidRPr="00DA75F8" w:rsidRDefault="005F44B2" w:rsidP="007B6769">
      <w:pPr>
        <w:pStyle w:val="a0"/>
      </w:pPr>
      <w:r>
        <w:rPr>
          <w:rtl/>
        </w:rPr>
        <w:t xml:space="preserve">- </w:t>
      </w:r>
      <w:r w:rsidRPr="00DA75F8">
        <w:rPr>
          <w:rFonts w:hint="cs"/>
          <w:rtl/>
        </w:rPr>
        <w:t>محمد</w:t>
      </w:r>
      <w:r w:rsidRPr="00DA75F8">
        <w:rPr>
          <w:rtl/>
        </w:rPr>
        <w:t xml:space="preserve"> عبد اللطيف صالح فرفور،</w:t>
      </w:r>
      <w:r>
        <w:rPr>
          <w:rtl/>
        </w:rPr>
        <w:t xml:space="preserve"> ألّف كتابًا بعنوان</w:t>
      </w:r>
      <w:r w:rsidRPr="00243398">
        <w:rPr>
          <w:rFonts w:hint="cs"/>
          <w:b/>
          <w:bCs/>
          <w:rtl/>
        </w:rPr>
        <w:t>ابن</w:t>
      </w:r>
      <w:r w:rsidRPr="00243398">
        <w:rPr>
          <w:b/>
          <w:bCs/>
          <w:rtl/>
        </w:rPr>
        <w:t xml:space="preserve"> عابدين وأثره في الفقه الإسلامي دراسة مقارنة بالقانون</w:t>
      </w:r>
      <w:r w:rsidRPr="00DA75F8">
        <w:rPr>
          <w:rFonts w:hint="cs"/>
          <w:rtl/>
        </w:rPr>
        <w:t>،</w:t>
      </w:r>
      <w:r>
        <w:rPr>
          <w:rtl/>
        </w:rPr>
        <w:t xml:space="preserve"> نُشر من قبل</w:t>
      </w:r>
      <w:r w:rsidRPr="00DA75F8">
        <w:rPr>
          <w:rtl/>
        </w:rPr>
        <w:t xml:space="preserve"> دار البشائر، دمشق، 1422ه – 2001م</w:t>
      </w:r>
    </w:p>
    <w:p w:rsidR="005F44B2" w:rsidRDefault="005F44B2" w:rsidP="00E8678D">
      <w:pPr>
        <w:pStyle w:val="a0"/>
        <w:rPr>
          <w:rtl/>
          <w:lang/>
        </w:rPr>
      </w:pPr>
      <w:r>
        <w:rPr>
          <w:rFonts w:hint="cs"/>
          <w:rtl/>
          <w:lang/>
        </w:rPr>
        <w:t>و</w:t>
      </w:r>
      <w:r w:rsidRPr="00DA75F8">
        <w:rPr>
          <w:rFonts w:hint="cs"/>
          <w:rtl/>
          <w:lang/>
        </w:rPr>
        <w:t>الكتاب</w:t>
      </w:r>
      <w:r w:rsidRPr="00DA75F8">
        <w:rPr>
          <w:rtl/>
          <w:lang/>
        </w:rPr>
        <w:t xml:space="preserve"> عبارة عن دراسة شاملة ل</w:t>
      </w:r>
      <w:r>
        <w:rPr>
          <w:rFonts w:hint="cs"/>
          <w:rtl/>
          <w:lang/>
        </w:rPr>
        <w:t>حياة</w:t>
      </w:r>
      <w:r>
        <w:rPr>
          <w:rtl/>
          <w:lang/>
        </w:rPr>
        <w:t xml:space="preserve"> وفقه</w:t>
      </w:r>
      <w:r w:rsidRPr="00DA75F8">
        <w:rPr>
          <w:rtl/>
          <w:lang/>
        </w:rPr>
        <w:t xml:space="preserve"> العلاّمة الحنفي محمد أمين بن عمر، الشهير</w:t>
      </w:r>
      <w:r>
        <w:rPr>
          <w:rtl/>
          <w:lang/>
        </w:rPr>
        <w:t xml:space="preserve"> بابن عابدين ( 1198 - 1252هـ )</w:t>
      </w:r>
      <w:r w:rsidRPr="00DA75F8">
        <w:rPr>
          <w:rFonts w:hint="cs"/>
          <w:rtl/>
          <w:lang/>
        </w:rPr>
        <w:t>،</w:t>
      </w:r>
      <w:r w:rsidRPr="00DA75F8">
        <w:rPr>
          <w:rtl/>
          <w:lang/>
        </w:rPr>
        <w:t xml:space="preserve"> وقد اختاره الباحث محور أطروحته لنيل درجة الدكتوراه؛ لما تميّز به ابن </w:t>
      </w:r>
      <w:r>
        <w:rPr>
          <w:rFonts w:hint="cs"/>
          <w:rtl/>
          <w:lang/>
        </w:rPr>
        <w:t>عابدين</w:t>
      </w:r>
      <w:r>
        <w:rPr>
          <w:rtl/>
          <w:lang/>
        </w:rPr>
        <w:t xml:space="preserve"> من إحاطة بالمذهب الحنفي. وقد </w:t>
      </w:r>
      <w:r w:rsidRPr="00DA75F8">
        <w:rPr>
          <w:rFonts w:hint="cs"/>
          <w:rtl/>
          <w:lang/>
        </w:rPr>
        <w:t>جاءت</w:t>
      </w:r>
      <w:r w:rsidRPr="00DA75F8">
        <w:rPr>
          <w:rtl/>
          <w:lang/>
        </w:rPr>
        <w:t xml:space="preserve"> </w:t>
      </w:r>
      <w:r>
        <w:rPr>
          <w:rFonts w:hint="cs"/>
          <w:rtl/>
          <w:lang/>
        </w:rPr>
        <w:t>دراستي</w:t>
      </w:r>
      <w:r>
        <w:rPr>
          <w:rtl/>
          <w:lang/>
        </w:rPr>
        <w:t xml:space="preserve"> فكزنه من</w:t>
      </w:r>
      <w:r w:rsidRPr="00DA75F8">
        <w:rPr>
          <w:rtl/>
          <w:lang/>
        </w:rPr>
        <w:t xml:space="preserve"> مقدمة وأربعة أبواب وخاتمة وملاحق. أما المقدمة، فقد خصصها الباحث لاستعراض تاريخ الفقه الإسلامي من عصر التشريع إلى استقرار المذاهب، ممهداً بتعريف الفقه واستمداده وأهميته وخصائصه، مقارناً إياه بالقانون الوض</w:t>
      </w:r>
      <w:r w:rsidRPr="00DA75F8">
        <w:rPr>
          <w:rFonts w:hint="cs"/>
          <w:rtl/>
          <w:lang/>
        </w:rPr>
        <w:t>عي،</w:t>
      </w:r>
      <w:r w:rsidRPr="00DA75F8">
        <w:rPr>
          <w:rtl/>
          <w:lang/>
        </w:rPr>
        <w:t xml:space="preserve"> وذكر بعد ذلك في مبحث مستقل : عن مذهب الحنفية أصولا وكتبا وآثارا، موضحا أثر تكوين المذاهب الفقهية في عموم الشريعة، إشارة إلى فائدة دراسات مؤلفات السلف في حل مشكلات العصر. وفي الباب الأول، درس الباحث عصر ابن عابدين وموطنه، من النواحي العلمية والسياسية والاجتماعية والروحية، وتأثر ابن عابدين بذلك كله، بإنفراد بحث  في شخصيته. وعقب ذلك خصص الباب الثاني على شخصية ابن عابدين، حيث دُرست حياته وبيئته وتحصيله العلمي، وشيوخه وتلاميذه، وشخصيته العلمية وجوانبها الفقهية والأصولية، كما عُرضت آراء الكاتبين فيه، وضُبطت آثاره العلمية في دراسة وافية، وختم الباب بنظرية لطبقات فقهاء الحنفية حسب مكانتهم العلمية. وقد خُصّص الباب الثالث لأهم أثر علمي تركه ابن عابدين، وهو حاشيته: " ردّ المحتار "، حيث عرّف الباحث بكتاب " الدر المختار " وشروحه، وكذا متن: " تنوير الأبصار "، وقام بدراسة تأليف الحاشية من حيث التاريخ والكيفية والمراحل، كما بيّن منهج المؤلف واصطلاحاته ومصادره فيها، وأورد التقارير العلمية عنها، وأبرز خصائصها وميزاتها، وحاكمها إلى أبرز شروحات " الدر المختار "، وختم بدراسة لآراء ابن عابدين في حاشيته وترجيحاته بدون توسع في ذ</w:t>
      </w:r>
      <w:r w:rsidRPr="00DA75F8">
        <w:rPr>
          <w:rFonts w:hint="cs"/>
          <w:rtl/>
          <w:lang/>
        </w:rPr>
        <w:t>لك</w:t>
      </w:r>
      <w:r w:rsidRPr="00DA75F8">
        <w:rPr>
          <w:rtl/>
          <w:lang/>
        </w:rPr>
        <w:t xml:space="preserve"> و إكتفاء مثال واحد أو مثالين وع</w:t>
      </w:r>
      <w:r>
        <w:rPr>
          <w:rFonts w:hint="cs"/>
          <w:rtl/>
          <w:lang/>
        </w:rPr>
        <w:t>دم</w:t>
      </w:r>
      <w:r>
        <w:rPr>
          <w:rtl/>
          <w:lang/>
        </w:rPr>
        <w:t xml:space="preserve"> ذكر آرائه في السياسة الشرعية</w:t>
      </w:r>
      <w:r w:rsidRPr="00DA75F8">
        <w:rPr>
          <w:rtl/>
          <w:lang/>
        </w:rPr>
        <w:t>. أما الباب الرابع، فقد جعله الباحث لكشف اتجاه ابن عابدين الفقهي، وأثره في استقرار الفتوى عليه في الفقه الحنفي، وكذا أثره في حياة العصر باختصارموجز وعلاقة ذلك بالموسوعات الفقهية. وكانت الخاتمة للموازنة بين ابن عابدين وبين فقهاء المذاهب الأخرى في حياته، واستخلاص بعض آرائه في قضية غير متعلقة بموضوعنا أى سياسة شرعية لحل واقعات العصر وبعض مشكلاته، وأ</w:t>
      </w:r>
      <w:r w:rsidRPr="00DA75F8">
        <w:rPr>
          <w:rFonts w:hint="cs"/>
          <w:rtl/>
          <w:lang/>
        </w:rPr>
        <w:t>لحق</w:t>
      </w:r>
      <w:r w:rsidRPr="00DA75F8">
        <w:rPr>
          <w:rtl/>
          <w:lang/>
        </w:rPr>
        <w:t xml:space="preserve"> بالرسالته ملاحق عدة، تضمنت نصوص بعض ما كُتب عن ابن عابدين، وتراجم أبرز أعلام الكتاب، وصوراً لبعض مخطوطات الحاشية، ووثائق إجازات ابن عابدين. وكما بينا لنا خلال القرائة هذ الكتاب رغم توسعه نجد أنه لم يأخذ بعين الإ</w:t>
      </w:r>
      <w:r>
        <w:rPr>
          <w:rFonts w:hint="cs"/>
          <w:rtl/>
          <w:lang/>
        </w:rPr>
        <w:t>عتبار</w:t>
      </w:r>
      <w:r>
        <w:rPr>
          <w:rtl/>
          <w:lang/>
        </w:rPr>
        <w:t xml:space="preserve"> الأرائه في سياسة الشرعية.</w:t>
      </w:r>
    </w:p>
    <w:p w:rsidR="005F44B2" w:rsidRDefault="005F44B2" w:rsidP="00E8678D">
      <w:pPr>
        <w:pStyle w:val="a0"/>
        <w:rPr>
          <w:rtl/>
          <w:lang/>
        </w:rPr>
      </w:pPr>
      <w:r>
        <w:rPr>
          <w:rtl/>
          <w:lang/>
        </w:rPr>
        <w:t xml:space="preserve">- جميلة عبد القادر شعبان الرفاعي، </w:t>
      </w:r>
      <w:r w:rsidRPr="00243398">
        <w:rPr>
          <w:rFonts w:hint="cs"/>
          <w:b/>
          <w:bCs/>
          <w:rtl/>
          <w:lang/>
        </w:rPr>
        <w:t>السياسة</w:t>
      </w:r>
      <w:r w:rsidRPr="00243398">
        <w:rPr>
          <w:b/>
          <w:bCs/>
          <w:rtl/>
          <w:lang/>
        </w:rPr>
        <w:t xml:space="preserve"> الشرعية عند الإمام ابن قيم الجوزية</w:t>
      </w:r>
      <w:r>
        <w:rPr>
          <w:rFonts w:hint="cs"/>
          <w:rtl/>
          <w:lang/>
        </w:rPr>
        <w:t>،</w:t>
      </w:r>
      <w:r>
        <w:rPr>
          <w:rtl/>
          <w:lang/>
        </w:rPr>
        <w:t xml:space="preserve"> دار ال</w:t>
      </w:r>
      <w:r>
        <w:rPr>
          <w:rFonts w:hint="cs"/>
          <w:rtl/>
          <w:lang/>
        </w:rPr>
        <w:t>فرقان،</w:t>
      </w:r>
      <w:r>
        <w:rPr>
          <w:rtl/>
          <w:lang/>
        </w:rPr>
        <w:t xml:space="preserve"> عمان، 2004م.</w:t>
      </w:r>
    </w:p>
    <w:p w:rsidR="005F44B2" w:rsidRDefault="005F44B2" w:rsidP="00E8678D">
      <w:pPr>
        <w:pStyle w:val="a0"/>
        <w:rPr>
          <w:rtl/>
          <w:lang/>
        </w:rPr>
      </w:pPr>
      <w:r>
        <w:rPr>
          <w:rtl/>
          <w:lang/>
        </w:rPr>
        <w:t xml:space="preserve">- عبد الله إبراهيم زيد كيلاني، </w:t>
      </w:r>
      <w:r w:rsidRPr="00243398">
        <w:rPr>
          <w:rFonts w:hint="cs"/>
          <w:b/>
          <w:bCs/>
          <w:rtl/>
          <w:lang/>
        </w:rPr>
        <w:t>السياسة</w:t>
      </w:r>
      <w:r w:rsidRPr="00243398">
        <w:rPr>
          <w:b/>
          <w:bCs/>
          <w:rtl/>
          <w:lang/>
        </w:rPr>
        <w:t xml:space="preserve"> الشرعية مدخل إلى تجدييد الخطاب الإسلامي</w:t>
      </w:r>
      <w:r>
        <w:rPr>
          <w:rFonts w:hint="cs"/>
          <w:rtl/>
          <w:lang/>
        </w:rPr>
        <w:t>،</w:t>
      </w:r>
      <w:r>
        <w:rPr>
          <w:rtl/>
          <w:lang/>
        </w:rPr>
        <w:t xml:space="preserve"> دار الفرقان، عمان، 2014م.</w:t>
      </w:r>
    </w:p>
    <w:p w:rsidR="005F44B2" w:rsidRPr="00591A13" w:rsidRDefault="005F44B2" w:rsidP="00B20342">
      <w:pPr>
        <w:pStyle w:val="Subtitle"/>
        <w:numPr>
          <w:ilvl w:val="0"/>
          <w:numId w:val="0"/>
        </w:numPr>
        <w:spacing w:line="259" w:lineRule="auto"/>
        <w:ind w:left="360"/>
        <w:jc w:val="both"/>
      </w:pPr>
      <w:r>
        <w:rPr>
          <w:rtl/>
        </w:rPr>
        <w:t xml:space="preserve">- </w:t>
      </w:r>
      <w:r w:rsidRPr="00591A13">
        <w:rPr>
          <w:rFonts w:hint="eastAsia"/>
          <w:rtl/>
        </w:rPr>
        <w:t>عبد</w:t>
      </w:r>
      <w:r w:rsidRPr="00591A13">
        <w:rPr>
          <w:rtl/>
        </w:rPr>
        <w:t xml:space="preserve"> </w:t>
      </w:r>
      <w:r w:rsidRPr="00591A13">
        <w:rPr>
          <w:rFonts w:hint="eastAsia"/>
          <w:rtl/>
        </w:rPr>
        <w:t>الفتاح</w:t>
      </w:r>
      <w:r w:rsidRPr="00591A13">
        <w:rPr>
          <w:rtl/>
        </w:rPr>
        <w:t xml:space="preserve"> </w:t>
      </w:r>
      <w:r w:rsidRPr="00591A13">
        <w:rPr>
          <w:rFonts w:hint="eastAsia"/>
          <w:rtl/>
        </w:rPr>
        <w:t>عمرو،</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الأحوال</w:t>
      </w:r>
      <w:r w:rsidRPr="00591A13">
        <w:rPr>
          <w:b/>
          <w:bCs/>
          <w:rtl/>
        </w:rPr>
        <w:t xml:space="preserve"> </w:t>
      </w:r>
      <w:r w:rsidRPr="00591A13">
        <w:rPr>
          <w:rFonts w:hint="eastAsia"/>
          <w:b/>
          <w:bCs/>
          <w:rtl/>
        </w:rPr>
        <w:t>الشخصية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النفائس،</w:t>
      </w:r>
      <w:r w:rsidRPr="00591A13">
        <w:rPr>
          <w:rtl/>
        </w:rPr>
        <w:t xml:space="preserve"> </w:t>
      </w:r>
      <w:r w:rsidRPr="00591A13">
        <w:rPr>
          <w:rFonts w:hint="eastAsia"/>
          <w:rtl/>
        </w:rPr>
        <w:t>عمان،</w:t>
      </w:r>
      <w:r w:rsidRPr="00591A13">
        <w:rPr>
          <w:rtl/>
        </w:rPr>
        <w:t xml:space="preserve"> 1998 </w:t>
      </w:r>
      <w:r w:rsidRPr="00591A13">
        <w:rPr>
          <w:rFonts w:hint="eastAsia"/>
          <w:rtl/>
        </w:rPr>
        <w:t>م</w:t>
      </w:r>
      <w:r w:rsidRPr="00591A13">
        <w:rPr>
          <w:rtl/>
        </w:rPr>
        <w:t>.</w:t>
      </w:r>
    </w:p>
    <w:p w:rsidR="005F44B2" w:rsidRDefault="005F44B2" w:rsidP="00B20342">
      <w:pPr>
        <w:pStyle w:val="Subtitle"/>
        <w:numPr>
          <w:ilvl w:val="0"/>
          <w:numId w:val="0"/>
        </w:numPr>
        <w:spacing w:line="259" w:lineRule="auto"/>
        <w:ind w:left="360"/>
        <w:jc w:val="both"/>
        <w:rPr>
          <w:rtl/>
        </w:rPr>
      </w:pPr>
      <w:r>
        <w:rPr>
          <w:rtl/>
        </w:rPr>
        <w:t xml:space="preserve">- </w:t>
      </w:r>
      <w:r w:rsidRPr="00591A13">
        <w:rPr>
          <w:rFonts w:hint="eastAsia"/>
          <w:rtl/>
        </w:rPr>
        <w:t>عطوة،</w:t>
      </w:r>
      <w:r w:rsidRPr="00591A13">
        <w:rPr>
          <w:rtl/>
        </w:rPr>
        <w:t xml:space="preserve"> </w:t>
      </w:r>
      <w:r w:rsidRPr="00591A13">
        <w:rPr>
          <w:rFonts w:hint="eastAsia"/>
          <w:rtl/>
        </w:rPr>
        <w:t>عبد</w:t>
      </w:r>
      <w:r w:rsidRPr="00591A13">
        <w:rPr>
          <w:rtl/>
        </w:rPr>
        <w:t xml:space="preserve"> </w:t>
      </w:r>
      <w:r w:rsidRPr="00591A13">
        <w:rPr>
          <w:rFonts w:hint="eastAsia"/>
          <w:rtl/>
        </w:rPr>
        <w:t>العال</w:t>
      </w:r>
      <w:r w:rsidRPr="00591A13">
        <w:rPr>
          <w:rtl/>
        </w:rPr>
        <w:t xml:space="preserve"> </w:t>
      </w:r>
      <w:r w:rsidRPr="00591A13">
        <w:rPr>
          <w:rFonts w:hint="eastAsia"/>
          <w:rtl/>
        </w:rPr>
        <w:t>أحمد،</w:t>
      </w:r>
      <w:r w:rsidRPr="00591A13">
        <w:rPr>
          <w:rtl/>
        </w:rPr>
        <w:t xml:space="preserve"> </w:t>
      </w:r>
      <w:r>
        <w:rPr>
          <w:rFonts w:hint="eastAsia"/>
          <w:b/>
          <w:bCs/>
          <w:rtl/>
        </w:rPr>
        <w:t>المدخل</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جامعة</w:t>
      </w:r>
      <w:r w:rsidRPr="00591A13">
        <w:rPr>
          <w:rtl/>
        </w:rPr>
        <w:t xml:space="preserve"> </w:t>
      </w:r>
      <w:r w:rsidRPr="00591A13">
        <w:rPr>
          <w:rFonts w:hint="eastAsia"/>
          <w:rtl/>
        </w:rPr>
        <w:t>الإمام</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سعود</w:t>
      </w:r>
      <w:r w:rsidRPr="00591A13">
        <w:rPr>
          <w:rtl/>
        </w:rPr>
        <w:t xml:space="preserve"> </w:t>
      </w:r>
      <w:r w:rsidRPr="00591A13">
        <w:rPr>
          <w:rFonts w:hint="eastAsia"/>
          <w:rtl/>
        </w:rPr>
        <w:t>الإسلامية،</w:t>
      </w:r>
      <w:r w:rsidRPr="00591A13">
        <w:rPr>
          <w:rtl/>
        </w:rPr>
        <w:t xml:space="preserve"> </w:t>
      </w:r>
      <w:r w:rsidRPr="00591A13">
        <w:rPr>
          <w:rFonts w:hint="eastAsia"/>
          <w:rtl/>
        </w:rPr>
        <w:t>رياض،</w:t>
      </w:r>
      <w:r w:rsidRPr="00591A13">
        <w:rPr>
          <w:rtl/>
        </w:rPr>
        <w:t xml:space="preserve"> 1993</w:t>
      </w:r>
      <w:r w:rsidRPr="00591A13">
        <w:rPr>
          <w:rFonts w:hint="eastAsia"/>
          <w:rtl/>
        </w:rPr>
        <w:t>م</w:t>
      </w:r>
      <w:r w:rsidRPr="00591A13">
        <w:rPr>
          <w:rtl/>
        </w:rPr>
        <w:t>.</w:t>
      </w:r>
    </w:p>
    <w:p w:rsidR="005F44B2" w:rsidRPr="00591A13" w:rsidRDefault="005F44B2" w:rsidP="003A7CAE">
      <w:pPr>
        <w:pStyle w:val="Subtitle"/>
        <w:numPr>
          <w:ilvl w:val="0"/>
          <w:numId w:val="0"/>
        </w:numPr>
        <w:spacing w:line="259" w:lineRule="auto"/>
        <w:ind w:left="360"/>
        <w:jc w:val="both"/>
      </w:pPr>
      <w:r>
        <w:rPr>
          <w:rtl/>
        </w:rPr>
        <w:t xml:space="preserve">- </w:t>
      </w:r>
      <w:r w:rsidRPr="00591A13">
        <w:rPr>
          <w:rFonts w:hint="eastAsia"/>
          <w:rtl/>
        </w:rPr>
        <w:t>عبد</w:t>
      </w:r>
      <w:r w:rsidRPr="00591A13">
        <w:rPr>
          <w:rtl/>
        </w:rPr>
        <w:t xml:space="preserve"> </w:t>
      </w:r>
      <w:r w:rsidRPr="00591A13">
        <w:rPr>
          <w:rFonts w:hint="eastAsia"/>
          <w:rtl/>
        </w:rPr>
        <w:t>الرحيم،</w:t>
      </w:r>
      <w:r w:rsidRPr="00591A13">
        <w:rPr>
          <w:rtl/>
        </w:rPr>
        <w:t xml:space="preserve"> </w:t>
      </w:r>
      <w:r w:rsidRPr="00591A13">
        <w:rPr>
          <w:rFonts w:hint="eastAsia"/>
          <w:rtl/>
        </w:rPr>
        <w:t>إبراهيم،</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 </w:t>
      </w:r>
      <w:r w:rsidRPr="00591A13">
        <w:rPr>
          <w:rFonts w:hint="eastAsia"/>
          <w:b/>
          <w:bCs/>
          <w:rtl/>
        </w:rPr>
        <w:t>مفهومها</w:t>
      </w:r>
      <w:r w:rsidRPr="00591A13">
        <w:rPr>
          <w:b/>
          <w:bCs/>
          <w:rtl/>
        </w:rPr>
        <w:t>-</w:t>
      </w:r>
      <w:r w:rsidRPr="00591A13">
        <w:rPr>
          <w:rFonts w:hint="eastAsia"/>
          <w:b/>
          <w:bCs/>
          <w:rtl/>
        </w:rPr>
        <w:t>مصادرها</w:t>
      </w:r>
      <w:r w:rsidRPr="00591A13">
        <w:rPr>
          <w:b/>
          <w:bCs/>
          <w:rtl/>
        </w:rPr>
        <w:t>-</w:t>
      </w:r>
      <w:r w:rsidRPr="00591A13">
        <w:rPr>
          <w:rFonts w:hint="eastAsia"/>
          <w:b/>
          <w:bCs/>
          <w:rtl/>
        </w:rPr>
        <w:t>مجالاتها</w:t>
      </w:r>
      <w:r w:rsidRPr="00591A13">
        <w:rPr>
          <w:b/>
          <w:bCs/>
          <w:rtl/>
        </w:rPr>
        <w:t>)</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النصر</w:t>
      </w:r>
      <w:r w:rsidRPr="00591A13">
        <w:rPr>
          <w:rtl/>
        </w:rPr>
        <w:t xml:space="preserve"> </w:t>
      </w:r>
      <w:r w:rsidRPr="00591A13">
        <w:rPr>
          <w:rFonts w:hint="eastAsia"/>
          <w:rtl/>
        </w:rPr>
        <w:t>للتوزيع</w:t>
      </w:r>
      <w:r w:rsidRPr="00591A13">
        <w:rPr>
          <w:rtl/>
        </w:rPr>
        <w:t xml:space="preserve"> </w:t>
      </w:r>
      <w:r w:rsidRPr="00591A13">
        <w:rPr>
          <w:rFonts w:hint="eastAsia"/>
          <w:rtl/>
        </w:rPr>
        <w:t>والنشر،</w:t>
      </w:r>
      <w:r w:rsidRPr="00591A13">
        <w:rPr>
          <w:rtl/>
        </w:rPr>
        <w:t xml:space="preserve"> </w:t>
      </w:r>
      <w:r w:rsidRPr="00591A13">
        <w:rPr>
          <w:rFonts w:hint="eastAsia"/>
          <w:rtl/>
        </w:rPr>
        <w:t>قاهرة</w:t>
      </w:r>
      <w:r w:rsidRPr="00591A13">
        <w:rPr>
          <w:rtl/>
        </w:rPr>
        <w:t xml:space="preserve"> </w:t>
      </w:r>
      <w:r w:rsidRPr="00591A13">
        <w:rPr>
          <w:rFonts w:hint="eastAsia"/>
          <w:rtl/>
        </w:rPr>
        <w:t>،</w:t>
      </w:r>
      <w:r w:rsidRPr="00591A13">
        <w:rPr>
          <w:rtl/>
        </w:rPr>
        <w:t xml:space="preserve"> 2006</w:t>
      </w:r>
      <w:r w:rsidRPr="00591A13">
        <w:rPr>
          <w:rFonts w:hint="eastAsia"/>
          <w:rtl/>
        </w:rPr>
        <w:t>م</w:t>
      </w:r>
      <w:r w:rsidRPr="00591A13">
        <w:rPr>
          <w:rtl/>
        </w:rPr>
        <w:t>.</w:t>
      </w:r>
    </w:p>
    <w:p w:rsidR="005F44B2" w:rsidRPr="003A7CAE" w:rsidRDefault="005F44B2" w:rsidP="003A7CAE"/>
    <w:p w:rsidR="005F44B2" w:rsidRPr="00B20342" w:rsidRDefault="005F44B2" w:rsidP="00E8678D">
      <w:pPr>
        <w:pStyle w:val="a0"/>
        <w:rPr>
          <w:rtl/>
          <w:lang/>
        </w:rPr>
      </w:pPr>
    </w:p>
    <w:p w:rsidR="005F44B2" w:rsidRPr="00DA75F8" w:rsidRDefault="005F44B2" w:rsidP="005E6A96">
      <w:pPr>
        <w:pStyle w:val="a1"/>
        <w:bidi w:val="0"/>
        <w:rPr>
          <w:rtl/>
          <w:lang/>
        </w:rPr>
      </w:pPr>
      <w:r w:rsidRPr="00DA75F8">
        <w:rPr>
          <w:rtl/>
          <w:lang/>
        </w:rPr>
        <w:br w:type="page"/>
      </w:r>
    </w:p>
    <w:p w:rsidR="005F44B2" w:rsidRPr="00DA75F8" w:rsidRDefault="005F44B2" w:rsidP="005E6A96">
      <w:pPr>
        <w:pStyle w:val="a1"/>
        <w:rPr>
          <w:sz w:val="50"/>
          <w:szCs w:val="50"/>
          <w:rtl/>
        </w:rPr>
      </w:pPr>
      <w:bookmarkStart w:id="5" w:name="_Toc447092547"/>
      <w:r w:rsidRPr="00DA75F8">
        <w:rPr>
          <w:rFonts w:hint="cs"/>
          <w:sz w:val="50"/>
          <w:szCs w:val="50"/>
          <w:rtl/>
        </w:rPr>
        <w:t>الفصل</w:t>
      </w:r>
      <w:r w:rsidRPr="00DA75F8">
        <w:rPr>
          <w:sz w:val="50"/>
          <w:szCs w:val="50"/>
          <w:rtl/>
        </w:rPr>
        <w:t xml:space="preserve"> التمهيدي</w:t>
      </w:r>
      <w:bookmarkEnd w:id="5"/>
    </w:p>
    <w:p w:rsidR="005F44B2" w:rsidRPr="00DA75F8" w:rsidRDefault="005F44B2" w:rsidP="007B6769">
      <w:pPr>
        <w:pStyle w:val="a0"/>
        <w:rPr>
          <w:rtl/>
        </w:rPr>
      </w:pPr>
    </w:p>
    <w:p w:rsidR="005F44B2" w:rsidRPr="00DA75F8" w:rsidRDefault="005F44B2" w:rsidP="007B6769">
      <w:pPr>
        <w:pStyle w:val="a0"/>
        <w:rPr>
          <w:rtl/>
        </w:rPr>
      </w:pPr>
    </w:p>
    <w:p w:rsidR="005F44B2" w:rsidRPr="000C2566" w:rsidRDefault="005F44B2" w:rsidP="007B6769">
      <w:pPr>
        <w:pStyle w:val="a0"/>
        <w:rPr>
          <w:b/>
          <w:bCs/>
          <w:sz w:val="32"/>
          <w:szCs w:val="32"/>
          <w:rtl/>
        </w:rPr>
      </w:pPr>
      <w:r w:rsidRPr="000C2566">
        <w:rPr>
          <w:rFonts w:hint="cs"/>
          <w:b/>
          <w:bCs/>
          <w:sz w:val="32"/>
          <w:szCs w:val="32"/>
          <w:rtl/>
        </w:rPr>
        <w:t>المبحث</w:t>
      </w:r>
      <w:r w:rsidRPr="000C2566">
        <w:rPr>
          <w:b/>
          <w:bCs/>
          <w:sz w:val="32"/>
          <w:szCs w:val="32"/>
          <w:rtl/>
        </w:rPr>
        <w:t xml:space="preserve"> الأول: ترجمة ابن عابدين</w:t>
      </w:r>
    </w:p>
    <w:p w:rsidR="005F44B2" w:rsidRPr="00DA75F8" w:rsidRDefault="005F44B2" w:rsidP="007B6769">
      <w:pPr>
        <w:pStyle w:val="a0"/>
        <w:rPr>
          <w:rtl/>
        </w:rPr>
      </w:pPr>
    </w:p>
    <w:p w:rsidR="005F44B2" w:rsidRPr="00DA75F8" w:rsidRDefault="005F44B2" w:rsidP="007B6769">
      <w:pPr>
        <w:pStyle w:val="a0"/>
        <w:rPr>
          <w:rtl/>
        </w:rPr>
      </w:pPr>
    </w:p>
    <w:p w:rsidR="005F44B2" w:rsidRPr="000C2566" w:rsidRDefault="005F44B2" w:rsidP="007B6769">
      <w:pPr>
        <w:pStyle w:val="a0"/>
        <w:rPr>
          <w:b/>
          <w:bCs/>
          <w:sz w:val="32"/>
          <w:szCs w:val="32"/>
          <w:rtl/>
        </w:rPr>
      </w:pPr>
      <w:r w:rsidRPr="000C2566">
        <w:rPr>
          <w:rFonts w:hint="cs"/>
          <w:b/>
          <w:bCs/>
          <w:sz w:val="32"/>
          <w:szCs w:val="32"/>
          <w:rtl/>
        </w:rPr>
        <w:t>المبحث</w:t>
      </w:r>
      <w:r w:rsidRPr="000C2566">
        <w:rPr>
          <w:b/>
          <w:bCs/>
          <w:sz w:val="32"/>
          <w:szCs w:val="32"/>
          <w:rtl/>
        </w:rPr>
        <w:t xml:space="preserve"> الثاني: الملامح العامة للعصر الذي عاش فيه ابن عابدين</w:t>
      </w:r>
    </w:p>
    <w:p w:rsidR="005F44B2" w:rsidRPr="00DA75F8" w:rsidRDefault="005F44B2" w:rsidP="007B6769">
      <w:pPr>
        <w:pStyle w:val="a0"/>
        <w:rPr>
          <w:rtl/>
        </w:rPr>
      </w:pPr>
    </w:p>
    <w:p w:rsidR="005F44B2" w:rsidRPr="00DA75F8" w:rsidRDefault="005F44B2" w:rsidP="007B6769">
      <w:pPr>
        <w:pStyle w:val="a0"/>
        <w:rPr>
          <w:rtl/>
        </w:rPr>
      </w:pPr>
    </w:p>
    <w:p w:rsidR="005F44B2" w:rsidRPr="000C2566" w:rsidRDefault="005F44B2" w:rsidP="007B6769">
      <w:pPr>
        <w:pStyle w:val="a0"/>
        <w:rPr>
          <w:b/>
          <w:bCs/>
          <w:sz w:val="32"/>
          <w:szCs w:val="32"/>
          <w:rtl/>
        </w:rPr>
      </w:pPr>
      <w:r w:rsidRPr="000C2566">
        <w:rPr>
          <w:rFonts w:hint="cs"/>
          <w:b/>
          <w:bCs/>
          <w:sz w:val="32"/>
          <w:szCs w:val="32"/>
          <w:rtl/>
        </w:rPr>
        <w:t>المبحث</w:t>
      </w:r>
      <w:r w:rsidRPr="000C2566">
        <w:rPr>
          <w:b/>
          <w:bCs/>
          <w:sz w:val="32"/>
          <w:szCs w:val="32"/>
          <w:rtl/>
        </w:rPr>
        <w:t xml:space="preserve"> الثالث: تعريف السياسة الشرعية</w:t>
      </w:r>
    </w:p>
    <w:p w:rsidR="005F44B2" w:rsidRPr="00DA75F8" w:rsidRDefault="005F44B2" w:rsidP="007B6769">
      <w:pPr>
        <w:pStyle w:val="a0"/>
        <w:rPr>
          <w:rtl/>
        </w:rPr>
      </w:pPr>
    </w:p>
    <w:p w:rsidR="005F44B2" w:rsidRPr="00DA75F8" w:rsidRDefault="005F44B2" w:rsidP="005E6A96">
      <w:pPr>
        <w:pStyle w:val="a2"/>
        <w:rPr>
          <w:rtl/>
        </w:rPr>
      </w:pPr>
      <w:r w:rsidRPr="00DA75F8">
        <w:br w:type="column"/>
      </w:r>
      <w:bookmarkStart w:id="6" w:name="_Toc447092548"/>
      <w:r w:rsidRPr="00DA75F8">
        <w:rPr>
          <w:rFonts w:hint="cs"/>
          <w:rtl/>
        </w:rPr>
        <w:t>المبحث</w:t>
      </w:r>
      <w:r w:rsidRPr="00DA75F8">
        <w:rPr>
          <w:rtl/>
        </w:rPr>
        <w:t xml:space="preserve"> الأول: ترجمة</w:t>
      </w:r>
      <w:r>
        <w:rPr>
          <w:rtl/>
        </w:rPr>
        <w:t xml:space="preserve"> الإمام</w:t>
      </w:r>
      <w:r w:rsidRPr="00DA75F8">
        <w:rPr>
          <w:rtl/>
        </w:rPr>
        <w:t xml:space="preserve"> ابن عابدين</w:t>
      </w:r>
      <w:r>
        <w:rPr>
          <w:rtl/>
        </w:rPr>
        <w:t xml:space="preserve"> - رحمه الله -</w:t>
      </w:r>
      <w:bookmarkEnd w:id="6"/>
    </w:p>
    <w:p w:rsidR="005F44B2" w:rsidRPr="00DA75F8" w:rsidRDefault="005F44B2" w:rsidP="00E8678D">
      <w:pPr>
        <w:pStyle w:val="a0"/>
        <w:rPr>
          <w:rtl/>
        </w:rPr>
      </w:pPr>
      <w:r w:rsidRPr="00DA75F8">
        <w:rPr>
          <w:rFonts w:hint="cs"/>
          <w:rtl/>
        </w:rPr>
        <w:t>يتكون</w:t>
      </w:r>
      <w:r w:rsidRPr="00DA75F8">
        <w:rPr>
          <w:rtl/>
        </w:rPr>
        <w:t xml:space="preserve"> هذا المبحث من ثلاثة مطالب، تناولتُ فيها التعريفبالإمام ابن عابدين وكنيته ونسبه وولادته ووفاته، ثم تطرّقتُ إلى الحديث عن شيوخه وتلاميذه، وختمت هذا المبحث بذكر مؤلفاته.</w:t>
      </w:r>
    </w:p>
    <w:p w:rsidR="005F44B2" w:rsidRPr="00DA75F8" w:rsidRDefault="005F44B2" w:rsidP="005E6A96">
      <w:pPr>
        <w:pStyle w:val="a3"/>
        <w:rPr>
          <w:rtl/>
        </w:rPr>
      </w:pPr>
      <w:bookmarkStart w:id="7" w:name="_Toc447092549"/>
      <w:r w:rsidRPr="00DA75F8">
        <w:rPr>
          <w:rFonts w:hint="cs"/>
          <w:rtl/>
        </w:rPr>
        <w:t>المطلب</w:t>
      </w:r>
      <w:r w:rsidRPr="00DA75F8">
        <w:rPr>
          <w:rtl/>
        </w:rPr>
        <w:t xml:space="preserve"> الأول: اسمه وكنيته ونسبه وولادته ونشأته ووفاته</w:t>
      </w:r>
      <w:bookmarkEnd w:id="7"/>
    </w:p>
    <w:p w:rsidR="005F44B2" w:rsidRPr="00DA75F8" w:rsidRDefault="005F44B2" w:rsidP="007B6769">
      <w:pPr>
        <w:pStyle w:val="a0"/>
        <w:rPr>
          <w:rtl/>
        </w:rPr>
      </w:pPr>
      <w:r>
        <w:rPr>
          <w:rFonts w:hint="cs"/>
          <w:rtl/>
        </w:rPr>
        <w:t>معرفة</w:t>
      </w:r>
      <w:r>
        <w:rPr>
          <w:rtl/>
        </w:rPr>
        <w:t xml:space="preserve"> السيرة الذاتية للإمام ابن عابدين يجعلك تعرف على عالم باع طويل في مجالات الفقه، ويجعلك تقبل على علومه لسمو تفكيره وحرصه على أمته.</w:t>
      </w:r>
    </w:p>
    <w:p w:rsidR="005F44B2" w:rsidRPr="00DA75F8" w:rsidRDefault="005F44B2" w:rsidP="008171A1">
      <w:pPr>
        <w:pStyle w:val="NoSpacing"/>
        <w:rPr>
          <w:rtl/>
        </w:rPr>
      </w:pPr>
      <w:r w:rsidRPr="00DA75F8">
        <w:rPr>
          <w:rFonts w:hint="cs"/>
          <w:rtl/>
        </w:rPr>
        <w:t>الفرع</w:t>
      </w:r>
      <w:r w:rsidRPr="00DA75F8">
        <w:rPr>
          <w:rtl/>
        </w:rPr>
        <w:t xml:space="preserve"> الأول: اسمه وكنيته ونسبه</w:t>
      </w:r>
    </w:p>
    <w:p w:rsidR="005F44B2" w:rsidRPr="00DA75F8" w:rsidRDefault="005F44B2" w:rsidP="00DD6E11">
      <w:pPr>
        <w:pStyle w:val="a0"/>
        <w:rPr>
          <w:rtl/>
        </w:rPr>
      </w:pPr>
      <w:r w:rsidRPr="00DA75F8">
        <w:rPr>
          <w:rFonts w:hint="cs"/>
          <w:rtl/>
        </w:rPr>
        <w:t>لقد</w:t>
      </w:r>
      <w:r w:rsidRPr="00DA75F8">
        <w:rPr>
          <w:rtl/>
        </w:rPr>
        <w:t xml:space="preserve"> ذك</w:t>
      </w:r>
      <w:r w:rsidRPr="00DA75F8">
        <w:rPr>
          <w:rFonts w:hint="cs"/>
          <w:rtl/>
        </w:rPr>
        <w:t>ر</w:t>
      </w:r>
      <w:r w:rsidRPr="00DA75F8">
        <w:rPr>
          <w:rtl/>
        </w:rPr>
        <w:t xml:space="preserve"> علاء الدين أفندي</w:t>
      </w:r>
      <w:r w:rsidRPr="00DA75F8">
        <w:rPr>
          <w:vertAlign w:val="superscript"/>
          <w:rtl/>
        </w:rPr>
        <w:t>(</w:t>
      </w:r>
      <w:r w:rsidRPr="00DA75F8">
        <w:rPr>
          <w:rStyle w:val="FootnoteReference"/>
          <w:rFonts w:cs="Arabic Transparent"/>
          <w:rtl/>
        </w:rPr>
        <w:footnoteReference w:id="2"/>
      </w:r>
      <w:r w:rsidRPr="00DA75F8">
        <w:rPr>
          <w:vertAlign w:val="superscript"/>
          <w:rtl/>
        </w:rPr>
        <w:t>)</w:t>
      </w:r>
      <w:r w:rsidRPr="00DA75F8">
        <w:rPr>
          <w:rFonts w:hint="cs"/>
          <w:rtl/>
        </w:rPr>
        <w:t>وهو</w:t>
      </w:r>
      <w:r w:rsidRPr="00DA75F8">
        <w:rPr>
          <w:rtl/>
        </w:rPr>
        <w:t xml:space="preserve"> ولد ابن عابدين اسم أبيه كاملا في كتابه قرة عيون الأخيار،حيث ذكر في الكتاب أن والده هو الشيخ السيد الشريف محمد </w:t>
      </w:r>
      <w:r w:rsidRPr="00DA75F8">
        <w:rPr>
          <w:rFonts w:hint="cs"/>
          <w:rtl/>
        </w:rPr>
        <w:t>أمين</w:t>
      </w:r>
      <w:r w:rsidRPr="00DA75F8">
        <w:rPr>
          <w:rtl/>
        </w:rPr>
        <w:t xml:space="preserve"> عابدين ابن السيد الشريف عمر عابدين ابن السيد الشريف عبد العزيز عابدين ابن السيد الشريف أحمد عابدين ابن السيد الشريف عبد الرحيم عابدين ابن السيد الشريف نجم الدين ابن السيد الشريف العالم الفاضل الولي الصالح الجامع بين الشريعة والحقيقة، إمام الفضل والطريقة، محمد صلاح الدين الشهير بعابدين ابن السيد الشريف نجم الدين ابن السيد الشريف محمد كمال ابن السيد الشريف تقي الدين المدرس ابن السيد الشريف مصطفى شهابي ابن السيد الشريف حسين ابن السيد الشريف -رحمة الله- ابن السيد الشريف أحمد الثاني ابن </w:t>
      </w:r>
      <w:r w:rsidRPr="00DA75F8">
        <w:rPr>
          <w:rFonts w:hint="cs"/>
          <w:rtl/>
        </w:rPr>
        <w:t>السيد</w:t>
      </w:r>
      <w:r w:rsidRPr="00DA75F8">
        <w:rPr>
          <w:rtl/>
        </w:rPr>
        <w:t xml:space="preserve"> الشريف علي ابن السيد الشريف أحمد الثالث ابن السيد الشريف محمد ابن السيد الشريف أحمد الرابع ابن السيد الشريف عبد الله ابن السيد الشريف عز الدين عبد الله الثاني ابن السيد الشريف قاسم ابن السيد الشريف حسن ابن السيد الشريف إسماعيل ابن السيد الشريف حسين النتيف الثالث ابن السيد الشريف أحمد الخامس ابن السيد الشريف إسماعيل الثاني ابن السيد الشريف محمد ابن السيد الشريف إسماعيل الأعرج ابن الإمام جعفر الصادق ابن الإمام محمد الباقر ابن الإمام زين العابدين ابن الإمام حسين ابن البتول، هي الزهراء فاطمة ب</w:t>
      </w:r>
      <w:r w:rsidRPr="00DA75F8">
        <w:rPr>
          <w:rFonts w:hint="cs"/>
          <w:rtl/>
        </w:rPr>
        <w:t>نت</w:t>
      </w:r>
      <w:r w:rsidRPr="00DA75F8">
        <w:rPr>
          <w:rtl/>
        </w:rPr>
        <w:t xml:space="preserve"> الرسول - صلى الله تعا</w:t>
      </w:r>
      <w:r w:rsidRPr="00DA75F8">
        <w:rPr>
          <w:rFonts w:hint="cs"/>
          <w:rtl/>
        </w:rPr>
        <w:t>لى</w:t>
      </w:r>
      <w:r w:rsidRPr="00DA75F8">
        <w:rPr>
          <w:rtl/>
        </w:rPr>
        <w:t xml:space="preserve"> عليه وسلم -وعليها وعلى جميع آله وصحبه آمين</w:t>
      </w:r>
      <w:r w:rsidRPr="00DA75F8">
        <w:rPr>
          <w:vertAlign w:val="superscript"/>
          <w:rtl/>
        </w:rPr>
        <w:t>(</w:t>
      </w:r>
      <w:r w:rsidRPr="00DA75F8">
        <w:rPr>
          <w:rStyle w:val="FootnoteReference"/>
          <w:rFonts w:cs="Arabic Transparent"/>
          <w:rtl/>
        </w:rPr>
        <w:footnoteReference w:id="3"/>
      </w:r>
      <w:r w:rsidRPr="00DA75F8">
        <w:rPr>
          <w:vertAlign w:val="superscript"/>
          <w:rtl/>
        </w:rPr>
        <w:t>)</w:t>
      </w:r>
      <w:r w:rsidRPr="00DA75F8">
        <w:rPr>
          <w:rtl/>
        </w:rPr>
        <w:t>. ولقد كفانا علاء الدين ولد ابن عابدين السؤال والبحث عن نسب والده فتم.</w:t>
      </w:r>
    </w:p>
    <w:p w:rsidR="005F44B2" w:rsidRPr="00DA75F8" w:rsidRDefault="005F44B2" w:rsidP="008171A1">
      <w:pPr>
        <w:pStyle w:val="NoSpacing"/>
        <w:rPr>
          <w:rtl/>
        </w:rPr>
      </w:pPr>
      <w:r w:rsidRPr="00DA75F8">
        <w:rPr>
          <w:rFonts w:hint="cs"/>
          <w:rtl/>
        </w:rPr>
        <w:t>الفرع</w:t>
      </w:r>
      <w:r w:rsidRPr="00DA75F8">
        <w:rPr>
          <w:rtl/>
        </w:rPr>
        <w:t xml:space="preserve"> الثاني: ولادته</w:t>
      </w:r>
    </w:p>
    <w:p w:rsidR="005F44B2" w:rsidRPr="00DA75F8" w:rsidRDefault="005F44B2" w:rsidP="007B6769">
      <w:pPr>
        <w:pStyle w:val="a0"/>
        <w:rPr>
          <w:rtl/>
        </w:rPr>
      </w:pPr>
      <w:r w:rsidRPr="00DA75F8">
        <w:rPr>
          <w:rFonts w:hint="cs"/>
          <w:rtl/>
        </w:rPr>
        <w:t>ولد</w:t>
      </w:r>
      <w:r w:rsidRPr="00DA75F8">
        <w:rPr>
          <w:rtl/>
        </w:rPr>
        <w:t xml:space="preserve"> ابن عابدين في سنة 1198هـ الموافق لـ 1784م في دمشق الشام</w:t>
      </w:r>
      <w:r w:rsidRPr="00DA75F8">
        <w:rPr>
          <w:vertAlign w:val="superscript"/>
          <w:rtl/>
        </w:rPr>
        <w:t>(</w:t>
      </w:r>
      <w:r w:rsidRPr="00DA75F8">
        <w:rPr>
          <w:rStyle w:val="FootnoteReference"/>
          <w:rFonts w:cs="Arabic Transparent"/>
          <w:rtl/>
        </w:rPr>
        <w:footnoteReference w:id="4"/>
      </w:r>
      <w:r w:rsidRPr="00DA75F8">
        <w:rPr>
          <w:vertAlign w:val="superscript"/>
          <w:rtl/>
        </w:rPr>
        <w:t>)</w:t>
      </w:r>
      <w:r w:rsidRPr="00DA75F8">
        <w:rPr>
          <w:rFonts w:hint="cs"/>
          <w:rtl/>
        </w:rPr>
        <w:t>،</w:t>
      </w:r>
      <w:r w:rsidRPr="00DA75F8">
        <w:rPr>
          <w:rtl/>
        </w:rPr>
        <w:t xml:space="preserve"> وكان له عمّ هو الذي سماه بـ (محمد أمين) حين كان في بطن أمّه</w:t>
      </w:r>
      <w:r w:rsidRPr="00DA75F8">
        <w:rPr>
          <w:vertAlign w:val="superscript"/>
          <w:rtl/>
        </w:rPr>
        <w:t>(</w:t>
      </w:r>
      <w:r w:rsidRPr="00DA75F8">
        <w:rPr>
          <w:rStyle w:val="FootnoteReference"/>
          <w:rFonts w:cs="Arabic Transparent"/>
          <w:rtl/>
        </w:rPr>
        <w:footnoteReference w:id="5"/>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الثالث: نشأته</w:t>
      </w:r>
    </w:p>
    <w:p w:rsidR="005F44B2" w:rsidRPr="00DA75F8" w:rsidRDefault="005F44B2" w:rsidP="00DD6E11">
      <w:pPr>
        <w:pStyle w:val="a0"/>
        <w:rPr>
          <w:rtl/>
        </w:rPr>
      </w:pPr>
      <w:r w:rsidRPr="00DA75F8">
        <w:rPr>
          <w:rFonts w:hint="cs"/>
          <w:rtl/>
        </w:rPr>
        <w:t>نشأ</w:t>
      </w:r>
      <w:r w:rsidRPr="00DA75F8">
        <w:rPr>
          <w:rtl/>
        </w:rPr>
        <w:t xml:space="preserve"> ابن عابدين في حجر والده وكان والده تاجرا، وحفظ القرآن الكريم وهو صغير</w:t>
      </w:r>
      <w:r w:rsidRPr="00DA75F8">
        <w:rPr>
          <w:vertAlign w:val="superscript"/>
          <w:rtl/>
        </w:rPr>
        <w:t>(</w:t>
      </w:r>
      <w:r w:rsidRPr="00DA75F8">
        <w:rPr>
          <w:rStyle w:val="FootnoteReference"/>
          <w:rFonts w:cs="Arabic Transparent"/>
          <w:rtl/>
        </w:rPr>
        <w:footnoteReference w:id="6"/>
      </w:r>
      <w:r w:rsidRPr="00DA75F8">
        <w:rPr>
          <w:vertAlign w:val="superscript"/>
          <w:rtl/>
        </w:rPr>
        <w:t>)</w:t>
      </w:r>
      <w:r w:rsidRPr="00DA75F8">
        <w:rPr>
          <w:rFonts w:hint="cs"/>
          <w:rtl/>
        </w:rPr>
        <w:t>،</w:t>
      </w:r>
      <w:r w:rsidRPr="00DA75F8">
        <w:rPr>
          <w:rtl/>
        </w:rPr>
        <w:t xml:space="preserve"> كانت بداية اتجاهه للعلم إثر حادثة وقعت له في محل أبيه، ذكر ابنه علاء الدين أفندي كيف شرع ابن عابدين في انجذابه لدروس العلم، قال: "جلس في محل تجارة والده ليألف التجارة ويتعلم البيع والشراء، فجلس مرة يقرأ القرآن العظيم فمرّ رجل لايعرفه فسمعه وهو يقرأ، وزجره وأنكر قراءته وقال عنه: لا يجوز لك أن تقرأ هذه القراءة. أولًا: لأن هذا المحل محل التجارة وا</w:t>
      </w:r>
      <w:r w:rsidRPr="00DA75F8">
        <w:rPr>
          <w:rFonts w:hint="cs"/>
          <w:rtl/>
        </w:rPr>
        <w:t>لناس</w:t>
      </w:r>
      <w:r w:rsidRPr="00DA75F8">
        <w:rPr>
          <w:rtl/>
        </w:rPr>
        <w:t xml:space="preserve"> لا يستمعون قراءتك ف</w:t>
      </w:r>
      <w:r w:rsidRPr="00DA75F8">
        <w:rPr>
          <w:rFonts w:hint="cs"/>
          <w:rtl/>
        </w:rPr>
        <w:t>يرتكبون</w:t>
      </w:r>
      <w:r w:rsidRPr="00DA75F8">
        <w:rPr>
          <w:rtl/>
        </w:rPr>
        <w:t xml:space="preserve"> الإثم بسببك، وأنت أيضًا آثم. وثانيًا: قراءتك ملحونة"</w:t>
      </w:r>
      <w:r w:rsidRPr="00DA75F8">
        <w:rPr>
          <w:vertAlign w:val="superscript"/>
          <w:rtl/>
        </w:rPr>
        <w:t>(</w:t>
      </w:r>
      <w:r w:rsidRPr="00DA75F8">
        <w:rPr>
          <w:rStyle w:val="FootnoteReference"/>
          <w:rFonts w:cs="Arabic Transparent"/>
          <w:rtl/>
        </w:rPr>
        <w:footnoteReference w:id="7"/>
      </w:r>
      <w:r w:rsidRPr="00DA75F8">
        <w:rPr>
          <w:vertAlign w:val="superscript"/>
          <w:rtl/>
        </w:rPr>
        <w:t>)</w:t>
      </w:r>
      <w:r w:rsidRPr="00DA75F8">
        <w:rPr>
          <w:rtl/>
        </w:rPr>
        <w:t>. فسأل ابن عابدين عن شيخ يتعلم القرآن على يده فدله أحدهم على الشيخ محمد سعيد الحموي، وهكذا بدأ حياة العلم في كنف الشيخ محمد سعيد الحموي</w:t>
      </w:r>
      <w:r w:rsidRPr="00DA75F8">
        <w:rPr>
          <w:vertAlign w:val="superscript"/>
          <w:rtl/>
        </w:rPr>
        <w:t>(</w:t>
      </w:r>
      <w:r w:rsidRPr="00DA75F8">
        <w:rPr>
          <w:rStyle w:val="FootnoteReference"/>
          <w:rFonts w:cs="Arabic Transparent"/>
          <w:rtl/>
        </w:rPr>
        <w:footnoteReference w:id="8"/>
      </w:r>
      <w:r w:rsidRPr="00DA75F8">
        <w:rPr>
          <w:vertAlign w:val="superscript"/>
          <w:rtl/>
        </w:rPr>
        <w:t>)</w:t>
      </w:r>
      <w:r w:rsidRPr="00DA75F8">
        <w:rPr>
          <w:rtl/>
        </w:rPr>
        <w:t>.</w:t>
      </w:r>
    </w:p>
    <w:p w:rsidR="005F44B2" w:rsidRPr="00DA75F8" w:rsidRDefault="005F44B2" w:rsidP="00F619A5">
      <w:pPr>
        <w:pStyle w:val="NoSpacing"/>
        <w:keepNext/>
        <w:rPr>
          <w:rtl/>
        </w:rPr>
      </w:pPr>
      <w:r w:rsidRPr="00DA75F8">
        <w:rPr>
          <w:rFonts w:hint="cs"/>
          <w:rtl/>
        </w:rPr>
        <w:t>الفرع</w:t>
      </w:r>
      <w:r w:rsidRPr="00DA75F8">
        <w:rPr>
          <w:rtl/>
        </w:rPr>
        <w:t xml:space="preserve"> الرابع: وفاته</w:t>
      </w:r>
    </w:p>
    <w:p w:rsidR="005F44B2" w:rsidRPr="00DA75F8" w:rsidRDefault="005F44B2" w:rsidP="007B6769">
      <w:pPr>
        <w:pStyle w:val="a0"/>
        <w:rPr>
          <w:rtl/>
        </w:rPr>
      </w:pPr>
      <w:r w:rsidRPr="00DA75F8">
        <w:rPr>
          <w:rFonts w:hint="cs"/>
          <w:rtl/>
        </w:rPr>
        <w:t>توفي</w:t>
      </w:r>
      <w:r w:rsidRPr="00DA75F8">
        <w:rPr>
          <w:rtl/>
        </w:rPr>
        <w:t xml:space="preserve"> -رحمه الله تعالى- يوم الأربعاء الحادي والعشرين من ربيع الثاني سنة 1252هـ الموافق لـ 1836م في دمشق</w:t>
      </w:r>
      <w:r w:rsidRPr="00DA75F8">
        <w:rPr>
          <w:vertAlign w:val="superscript"/>
          <w:rtl/>
        </w:rPr>
        <w:t>(</w:t>
      </w:r>
      <w:r w:rsidRPr="00DA75F8">
        <w:rPr>
          <w:rStyle w:val="FootnoteReference"/>
          <w:rFonts w:cs="Arabic Transparent"/>
          <w:rtl/>
        </w:rPr>
        <w:footnoteReference w:id="9"/>
      </w:r>
      <w:r w:rsidRPr="00DA75F8">
        <w:rPr>
          <w:vertAlign w:val="superscript"/>
          <w:rtl/>
        </w:rPr>
        <w:t>)</w:t>
      </w:r>
      <w:r w:rsidRPr="00DA75F8">
        <w:rPr>
          <w:rFonts w:hint="cs"/>
          <w:rtl/>
        </w:rPr>
        <w:t>،</w:t>
      </w:r>
      <w:r w:rsidRPr="00DA75F8">
        <w:rPr>
          <w:rtl/>
        </w:rPr>
        <w:t xml:space="preserve"> وكان عمره اثنين و خمسين سنة، ودفنبمقبرة دمشق في الباب الصغير في التربة الوفقانية وكان</w:t>
      </w:r>
      <w:r>
        <w:rPr>
          <w:rtl/>
        </w:rPr>
        <w:t xml:space="preserve"> قد اشترى القبر</w:t>
      </w:r>
      <w:r w:rsidRPr="00DA75F8">
        <w:rPr>
          <w:rtl/>
        </w:rPr>
        <w:t xml:space="preserve"> قبل وفاته بعشرين يومًا وأوصى أن يدفن فيه، وذلك لمجاورته لقبري العلامتين: الشيخ علاء الدين الحصكفي صاحب كتاب الدر المختار الذي شرحه الإمام ابن عابدين وسمى كتابه (رد المحتار على الدر المختار)، و الشيخ صالح الجنيني المحدث الكبير</w:t>
      </w:r>
      <w:r w:rsidRPr="00DA75F8">
        <w:rPr>
          <w:vertAlign w:val="superscript"/>
          <w:rtl/>
        </w:rPr>
        <w:t>(</w:t>
      </w:r>
      <w:r w:rsidRPr="00DA75F8">
        <w:rPr>
          <w:rStyle w:val="FootnoteReference"/>
          <w:rFonts w:cs="Arabic Transparent"/>
          <w:rtl/>
        </w:rPr>
        <w:footnoteReference w:id="10"/>
      </w:r>
      <w:r w:rsidRPr="00DA75F8">
        <w:rPr>
          <w:vertAlign w:val="superscript"/>
          <w:rtl/>
        </w:rPr>
        <w:t>)</w:t>
      </w:r>
      <w:r>
        <w:rPr>
          <w:rtl/>
        </w:rPr>
        <w:t>.</w:t>
      </w:r>
    </w:p>
    <w:p w:rsidR="005F44B2" w:rsidRPr="00DA75F8" w:rsidRDefault="005F44B2" w:rsidP="005E6A96">
      <w:pPr>
        <w:pStyle w:val="a3"/>
        <w:rPr>
          <w:rtl/>
        </w:rPr>
      </w:pPr>
      <w:bookmarkStart w:id="8" w:name="_Toc447092550"/>
      <w:r w:rsidRPr="00DA75F8">
        <w:rPr>
          <w:rFonts w:hint="cs"/>
          <w:rtl/>
        </w:rPr>
        <w:t>المطلب</w:t>
      </w:r>
      <w:r w:rsidRPr="00DA75F8">
        <w:rPr>
          <w:rtl/>
        </w:rPr>
        <w:t xml:space="preserve"> الثاني: شيوخه وتلاميذه</w:t>
      </w:r>
      <w:bookmarkEnd w:id="8"/>
    </w:p>
    <w:p w:rsidR="005F44B2" w:rsidRPr="00DA75F8" w:rsidRDefault="005F44B2" w:rsidP="00DD6E11">
      <w:pPr>
        <w:pStyle w:val="a0"/>
        <w:rPr>
          <w:rtl/>
        </w:rPr>
      </w:pPr>
      <w:r w:rsidRPr="00DA75F8">
        <w:rPr>
          <w:rFonts w:hint="cs"/>
          <w:rtl/>
        </w:rPr>
        <w:t>في</w:t>
      </w:r>
      <w:r w:rsidRPr="00DA75F8">
        <w:rPr>
          <w:rtl/>
        </w:rPr>
        <w:t xml:space="preserve"> هذا المطلب سأتحدث عن </w:t>
      </w:r>
      <w:r w:rsidRPr="00DA75F8">
        <w:rPr>
          <w:rFonts w:hint="cs"/>
          <w:rtl/>
        </w:rPr>
        <w:t>شيوخه</w:t>
      </w:r>
      <w:r w:rsidRPr="00DA75F8">
        <w:rPr>
          <w:rtl/>
        </w:rPr>
        <w:t xml:space="preserve"> الذينأثروا في حياته، ثم أنتقل إلى</w:t>
      </w:r>
      <w:r>
        <w:rPr>
          <w:rtl/>
        </w:rPr>
        <w:t xml:space="preserve"> الشخصيات البارزة والتي لها أثر في العلوم الشرعية من تلاميذه</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الأول: شيوخه</w:t>
      </w:r>
    </w:p>
    <w:p w:rsidR="005F44B2" w:rsidRPr="00DA75F8" w:rsidRDefault="005F44B2" w:rsidP="00B763B0">
      <w:pPr>
        <w:pStyle w:val="a0"/>
        <w:rPr>
          <w:rtl/>
        </w:rPr>
      </w:pPr>
      <w:r w:rsidRPr="00DA75F8">
        <w:rPr>
          <w:rFonts w:hint="cs"/>
          <w:rtl/>
        </w:rPr>
        <w:t>درس</w:t>
      </w:r>
      <w:r w:rsidRPr="00DA75F8">
        <w:rPr>
          <w:rtl/>
        </w:rPr>
        <w:t xml:space="preserve"> الإمام ابن عابدين على أيدي كثير من المشايخ، وسأقتصر على ذكر</w:t>
      </w:r>
      <w:r>
        <w:rPr>
          <w:rFonts w:hint="cs"/>
          <w:rtl/>
        </w:rPr>
        <w:t>بعض</w:t>
      </w:r>
      <w:r w:rsidRPr="00DA75F8">
        <w:rPr>
          <w:rtl/>
        </w:rPr>
        <w:t xml:space="preserve"> منهم لأهميتهم فقط، حيث كانوا الأكثر تأثيرًا في حياته.</w:t>
      </w:r>
    </w:p>
    <w:p w:rsidR="005F44B2" w:rsidRPr="00DA75F8" w:rsidRDefault="005F44B2" w:rsidP="008171A1">
      <w:pPr>
        <w:pStyle w:val="NoSpacing"/>
        <w:rPr>
          <w:rtl/>
        </w:rPr>
      </w:pPr>
      <w:r w:rsidRPr="00DA75F8">
        <w:rPr>
          <w:rFonts w:hint="cs"/>
          <w:rtl/>
        </w:rPr>
        <w:t>أولاً</w:t>
      </w:r>
      <w:r w:rsidRPr="00DA75F8">
        <w:rPr>
          <w:rtl/>
        </w:rPr>
        <w:t>: الشيخ سعيد الحموي</w:t>
      </w:r>
    </w:p>
    <w:p w:rsidR="005F44B2" w:rsidRPr="00DA75F8" w:rsidRDefault="005F44B2" w:rsidP="007B6769">
      <w:pPr>
        <w:pStyle w:val="a0"/>
        <w:rPr>
          <w:rtl/>
        </w:rPr>
      </w:pPr>
      <w:r w:rsidRPr="00DA75F8">
        <w:rPr>
          <w:rFonts w:hint="cs"/>
          <w:rtl/>
        </w:rPr>
        <w:t>هو</w:t>
      </w:r>
      <w:r w:rsidRPr="00DA75F8">
        <w:rPr>
          <w:rtl/>
        </w:rPr>
        <w:t xml:space="preserve"> شيخ القراءة في دمشق، تعلّم الإمام ابن عابدين على يديه أحكام القرآن والتجويد، فحفظ المتون الميدانية والجزرية والشاطبية، وقرأها عليه قراءة إتقان وإمعان ودرس عليه الصرف والنحو وفقه الإمام الشافعي، وأيضًا حفظ متن الزبد وبعض المتون من الن</w:t>
      </w:r>
      <w:r w:rsidRPr="00DA75F8">
        <w:rPr>
          <w:rFonts w:hint="cs"/>
          <w:rtl/>
        </w:rPr>
        <w:t>حو</w:t>
      </w:r>
      <w:r w:rsidRPr="00DA75F8">
        <w:rPr>
          <w:rtl/>
        </w:rPr>
        <w:t xml:space="preserve"> والصرف والفقه</w:t>
      </w:r>
      <w:r w:rsidRPr="00DA75F8">
        <w:rPr>
          <w:vertAlign w:val="superscript"/>
          <w:rtl/>
        </w:rPr>
        <w:t>(</w:t>
      </w:r>
      <w:r w:rsidRPr="00DA75F8">
        <w:rPr>
          <w:rStyle w:val="FootnoteReference"/>
          <w:rFonts w:cs="Arabic Transparent"/>
          <w:rtl/>
        </w:rPr>
        <w:footnoteReference w:id="11"/>
      </w:r>
      <w:r w:rsidRPr="00DA75F8">
        <w:rPr>
          <w:vertAlign w:val="superscript"/>
          <w:rtl/>
        </w:rPr>
        <w:t>)</w:t>
      </w:r>
      <w:r w:rsidRPr="00DA75F8">
        <w:rPr>
          <w:rtl/>
        </w:rPr>
        <w:t>.</w:t>
      </w:r>
    </w:p>
    <w:p w:rsidR="005F44B2" w:rsidRPr="00DA75F8" w:rsidRDefault="005F44B2" w:rsidP="00F619A5">
      <w:pPr>
        <w:pStyle w:val="NoSpacing"/>
        <w:keepNext/>
        <w:rPr>
          <w:rtl/>
        </w:rPr>
      </w:pPr>
      <w:r w:rsidRPr="00DA75F8">
        <w:rPr>
          <w:rFonts w:hint="cs"/>
          <w:rtl/>
        </w:rPr>
        <w:t>ثانيًا</w:t>
      </w:r>
      <w:r w:rsidRPr="00DA75F8">
        <w:rPr>
          <w:rtl/>
        </w:rPr>
        <w:t>: السيد محمد شاكرالعقاد</w:t>
      </w:r>
    </w:p>
    <w:p w:rsidR="005F44B2" w:rsidRPr="00DA75F8" w:rsidRDefault="005F44B2" w:rsidP="007B6769">
      <w:pPr>
        <w:pStyle w:val="a0"/>
        <w:rPr>
          <w:rtl/>
        </w:rPr>
      </w:pPr>
      <w:r w:rsidRPr="00DA75F8">
        <w:rPr>
          <w:rFonts w:hint="cs"/>
          <w:rtl/>
        </w:rPr>
        <w:t>اسمه</w:t>
      </w:r>
      <w:r w:rsidRPr="00DA75F8">
        <w:rPr>
          <w:rtl/>
        </w:rPr>
        <w:t xml:space="preserve"> الحقيقي محمد شاكر ابن علي بن سعد بن علي بن سالم العمر الشهير والده بالعقاد وبابن مقدّم سعد</w:t>
      </w:r>
      <w:r w:rsidRPr="00DA75F8">
        <w:rPr>
          <w:vertAlign w:val="superscript"/>
          <w:rtl/>
        </w:rPr>
        <w:t>(</w:t>
      </w:r>
      <w:r w:rsidRPr="00DA75F8">
        <w:rPr>
          <w:rStyle w:val="FootnoteReference"/>
          <w:rFonts w:cs="Arabic Transparent"/>
          <w:rtl/>
        </w:rPr>
        <w:footnoteReference w:id="12"/>
      </w:r>
      <w:r w:rsidRPr="00DA75F8">
        <w:rPr>
          <w:vertAlign w:val="superscript"/>
          <w:rtl/>
        </w:rPr>
        <w:t>)</w:t>
      </w:r>
      <w:r w:rsidRPr="00DA75F8">
        <w:rPr>
          <w:rtl/>
        </w:rPr>
        <w:t>. وهو من أهم شيوخ ابن عابدين، لأنه كان السبب في اتباع ابن عابدين المذهب الحنفي. وقد قرأ عليه ابن عابدين علم المعقول والحديث والتفسير،وعندما وصل إلى دراسة الفقه وأصوله ألزمه الشيخ شاكر العقاد التحول للمذهب الحنفي،فقرأ عليه كتب الفقه وأصوله في المذهب. توفي الشيخ شاكر العقاد وكان ابن عابدين يقرأ عليه البحر والهداية وشروحها،ثم أتم قراءة الكتب على أكبر تلامذة الشيخ العقاد وهو الشيخ العلامة سعيد الحلبي</w:t>
      </w:r>
      <w:r w:rsidRPr="00DA75F8">
        <w:rPr>
          <w:vertAlign w:val="superscript"/>
          <w:rtl/>
        </w:rPr>
        <w:t>(</w:t>
      </w:r>
      <w:r w:rsidRPr="00DA75F8">
        <w:rPr>
          <w:rStyle w:val="FootnoteReference"/>
          <w:rFonts w:cs="Arabic Transparent"/>
          <w:rtl/>
        </w:rPr>
        <w:footnoteReference w:id="13"/>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ثالثًا</w:t>
      </w:r>
      <w:r w:rsidRPr="00DA75F8">
        <w:rPr>
          <w:rtl/>
        </w:rPr>
        <w:t>: الشيخ سعيد الحلبي</w:t>
      </w:r>
    </w:p>
    <w:p w:rsidR="005F44B2" w:rsidRDefault="005F44B2" w:rsidP="000B62CC">
      <w:pPr>
        <w:pStyle w:val="a0"/>
      </w:pPr>
      <w:r w:rsidRPr="00DA75F8">
        <w:rPr>
          <w:rFonts w:hint="cs"/>
          <w:rtl/>
        </w:rPr>
        <w:t>لقد</w:t>
      </w:r>
      <w:r w:rsidRPr="00DA75F8">
        <w:rPr>
          <w:rtl/>
        </w:rPr>
        <w:t xml:space="preserve"> كان أكبر تلامي</w:t>
      </w:r>
      <w:r w:rsidRPr="00DA75F8">
        <w:rPr>
          <w:rFonts w:hint="cs"/>
          <w:rtl/>
        </w:rPr>
        <w:t>ذ</w:t>
      </w:r>
      <w:r w:rsidRPr="00DA75F8">
        <w:rPr>
          <w:rtl/>
        </w:rPr>
        <w:t xml:space="preserve"> الشيخ شاكر العقاد سنًا وقدرًا، لذلك أصبح شيخًاللحلقة التي كان الشيخ العقاد يدرّس تلاميذه فيها</w:t>
      </w:r>
      <w:r w:rsidRPr="00DA75F8">
        <w:rPr>
          <w:vertAlign w:val="superscript"/>
          <w:rtl/>
        </w:rPr>
        <w:t>(</w:t>
      </w:r>
      <w:r w:rsidRPr="00DA75F8">
        <w:rPr>
          <w:rStyle w:val="FootnoteReference"/>
          <w:rFonts w:cs="Arabic Transparent"/>
          <w:rtl/>
        </w:rPr>
        <w:footnoteReference w:id="14"/>
      </w:r>
      <w:r w:rsidRPr="00DA75F8">
        <w:rPr>
          <w:vertAlign w:val="superscript"/>
          <w:rtl/>
        </w:rPr>
        <w:t>)</w:t>
      </w:r>
      <w:r w:rsidRPr="00DA75F8">
        <w:rPr>
          <w:rtl/>
        </w:rPr>
        <w:t>. وذكر صاحب قرة عيون الأخيار النص التالي: " فأتم سيدي الوالد قراءته الكتب المذكورة عليه، وحضر معه لإتمام الكتب المذكورة بقية التلامذة والطلبة الذين كانوا يداومون على الشيخ محمد شاكر المذكور"</w:t>
      </w:r>
      <w:r w:rsidRPr="00DA75F8">
        <w:rPr>
          <w:vertAlign w:val="superscript"/>
          <w:rtl/>
        </w:rPr>
        <w:t>(</w:t>
      </w:r>
      <w:r w:rsidRPr="00DA75F8">
        <w:rPr>
          <w:rStyle w:val="FootnoteReference"/>
          <w:rFonts w:cs="Arabic Transparent"/>
          <w:rtl/>
        </w:rPr>
        <w:footnoteReference w:id="15"/>
      </w:r>
      <w:r w:rsidRPr="00DA75F8">
        <w:rPr>
          <w:vertAlign w:val="superscript"/>
          <w:rtl/>
        </w:rPr>
        <w:t>)</w:t>
      </w:r>
      <w:r w:rsidRPr="00DA75F8">
        <w:rPr>
          <w:rtl/>
        </w:rPr>
        <w:t>.</w:t>
      </w:r>
    </w:p>
    <w:p w:rsidR="005F44B2" w:rsidRDefault="005F44B2" w:rsidP="008171A1">
      <w:pPr>
        <w:pStyle w:val="NoSpacing"/>
        <w:rPr>
          <w:rtl/>
        </w:rPr>
      </w:pPr>
      <w:r>
        <w:rPr>
          <w:rFonts w:hint="cs"/>
          <w:rtl/>
        </w:rPr>
        <w:t>رابعًا</w:t>
      </w:r>
      <w:r>
        <w:rPr>
          <w:rtl/>
        </w:rPr>
        <w:t xml:space="preserve">: </w:t>
      </w:r>
      <w:r w:rsidRPr="00DA75F8">
        <w:rPr>
          <w:rFonts w:hint="cs"/>
          <w:rtl/>
        </w:rPr>
        <w:t>الشيخ</w:t>
      </w:r>
      <w:r w:rsidRPr="00DA75F8">
        <w:rPr>
          <w:rtl/>
        </w:rPr>
        <w:t xml:space="preserve"> خالد النقشبندي</w:t>
      </w:r>
    </w:p>
    <w:p w:rsidR="005F44B2" w:rsidRDefault="005F44B2" w:rsidP="003269BC">
      <w:pPr>
        <w:pStyle w:val="a0"/>
        <w:rPr>
          <w:rtl/>
        </w:rPr>
      </w:pPr>
      <w:r>
        <w:rPr>
          <w:rFonts w:hint="cs"/>
          <w:rtl/>
        </w:rPr>
        <w:t>خالد</w:t>
      </w:r>
      <w:r>
        <w:rPr>
          <w:rtl/>
        </w:rPr>
        <w:t xml:space="preserve"> النقشبندي (1193 - 1242 هـ)، (1779 - 1827 م)، وهو خالد بن احمد بن حسين الشهرزوري، الكردي، الشافعي، صوفي، شيخ الطريقة النقشبندية.ولد بقره طاغ من بلاد شهرزور، وسافر إلى بغداد، وهاجر إلى دمشق وتوفي بها في 28 شوال. ومن آثاره: العقد الجوهري في الفرق بين كسبي الماتريدي والاشعري، الرسالة الخالدية في آداب الطريقة النقشبندية، شرح مقامات الحريري، شرح ا</w:t>
      </w:r>
      <w:r>
        <w:rPr>
          <w:rFonts w:hint="cs"/>
          <w:rtl/>
        </w:rPr>
        <w:t>لعقائد</w:t>
      </w:r>
      <w:r>
        <w:rPr>
          <w:rtl/>
        </w:rPr>
        <w:t xml:space="preserve"> العضدية</w:t>
      </w:r>
      <w:r>
        <w:rPr>
          <w:vertAlign w:val="superscript"/>
          <w:rtl/>
        </w:rPr>
        <w:t>(</w:t>
      </w:r>
      <w:r>
        <w:rPr>
          <w:rStyle w:val="FootnoteReference"/>
          <w:rFonts w:cs="Arabic Transparent"/>
          <w:rtl/>
        </w:rPr>
        <w:footnoteReference w:id="16"/>
      </w:r>
      <w:r>
        <w:rPr>
          <w:vertAlign w:val="superscript"/>
          <w:rtl/>
        </w:rPr>
        <w:t>)</w:t>
      </w:r>
      <w:r>
        <w:rPr>
          <w:rtl/>
        </w:rPr>
        <w:t>.</w:t>
      </w:r>
    </w:p>
    <w:p w:rsidR="005F44B2" w:rsidRDefault="005F44B2" w:rsidP="00F619A5">
      <w:pPr>
        <w:pStyle w:val="NoSpacing"/>
        <w:keepNext/>
        <w:rPr>
          <w:rtl/>
        </w:rPr>
      </w:pPr>
      <w:r>
        <w:rPr>
          <w:rFonts w:hint="cs"/>
          <w:rtl/>
        </w:rPr>
        <w:t>خامسًا</w:t>
      </w:r>
      <w:r>
        <w:rPr>
          <w:rtl/>
        </w:rPr>
        <w:t xml:space="preserve">: </w:t>
      </w:r>
      <w:r w:rsidRPr="00DA75F8">
        <w:rPr>
          <w:rFonts w:hint="cs"/>
          <w:rtl/>
        </w:rPr>
        <w:t>الشيخ</w:t>
      </w:r>
      <w:r w:rsidRPr="00DA75F8">
        <w:rPr>
          <w:rtl/>
        </w:rPr>
        <w:t xml:space="preserve"> الأمير الكبير المصري</w:t>
      </w:r>
    </w:p>
    <w:p w:rsidR="005F44B2" w:rsidRDefault="005F44B2" w:rsidP="00921AE5">
      <w:pPr>
        <w:pStyle w:val="a0"/>
        <w:rPr>
          <w:rtl/>
        </w:rPr>
      </w:pPr>
      <w:r>
        <w:rPr>
          <w:rFonts w:hint="cs"/>
          <w:rtl/>
        </w:rPr>
        <w:t>استجازه</w:t>
      </w:r>
      <w:r>
        <w:rPr>
          <w:rtl/>
        </w:rPr>
        <w:t xml:space="preserve"> ابن عابدين مكاتبة، فأجازه </w:t>
      </w:r>
      <w:r w:rsidRPr="00921AE5">
        <w:rPr>
          <w:rFonts w:hint="cs"/>
          <w:rtl/>
        </w:rPr>
        <w:t>الشيخ</w:t>
      </w:r>
      <w:r w:rsidRPr="00921AE5">
        <w:rPr>
          <w:rtl/>
        </w:rPr>
        <w:t xml:space="preserve"> الأمير</w:t>
      </w:r>
      <w:r w:rsidRPr="00DA75F8">
        <w:rPr>
          <w:rFonts w:hint="cs"/>
          <w:rtl/>
        </w:rPr>
        <w:t>المصري</w:t>
      </w:r>
      <w:r>
        <w:rPr>
          <w:rFonts w:hint="cs"/>
          <w:rtl/>
        </w:rPr>
        <w:t>بالمكاتبة</w:t>
      </w:r>
      <w:r w:rsidRPr="00DA75F8">
        <w:rPr>
          <w:vertAlign w:val="superscript"/>
          <w:rtl/>
        </w:rPr>
        <w:t>(</w:t>
      </w:r>
      <w:r w:rsidRPr="00DA75F8">
        <w:rPr>
          <w:rStyle w:val="FootnoteReference"/>
          <w:rFonts w:cs="Arabic Transparent"/>
          <w:rtl/>
        </w:rPr>
        <w:footnoteReference w:id="17"/>
      </w:r>
      <w:r w:rsidRPr="00DA75F8">
        <w:rPr>
          <w:vertAlign w:val="superscript"/>
          <w:rtl/>
        </w:rPr>
        <w:t>)</w:t>
      </w:r>
      <w:r>
        <w:rPr>
          <w:rtl/>
        </w:rPr>
        <w:t>.</w:t>
      </w:r>
    </w:p>
    <w:p w:rsidR="005F44B2" w:rsidRDefault="005F44B2" w:rsidP="008171A1">
      <w:pPr>
        <w:pStyle w:val="NoSpacing"/>
        <w:rPr>
          <w:rtl/>
        </w:rPr>
      </w:pPr>
      <w:r>
        <w:rPr>
          <w:rFonts w:hint="cs"/>
          <w:rtl/>
        </w:rPr>
        <w:t>سادسًا</w:t>
      </w:r>
      <w:r>
        <w:rPr>
          <w:rtl/>
        </w:rPr>
        <w:t xml:space="preserve">: </w:t>
      </w:r>
      <w:r w:rsidRPr="00DA75F8">
        <w:rPr>
          <w:rFonts w:hint="cs"/>
          <w:rtl/>
        </w:rPr>
        <w:t>عبد</w:t>
      </w:r>
      <w:r w:rsidRPr="00DA75F8">
        <w:rPr>
          <w:rtl/>
        </w:rPr>
        <w:t xml:space="preserve"> الملك القلعي المكي</w:t>
      </w:r>
    </w:p>
    <w:p w:rsidR="005F44B2" w:rsidRPr="00284697" w:rsidRDefault="005F44B2" w:rsidP="00A32BE8">
      <w:pPr>
        <w:pStyle w:val="a0"/>
        <w:rPr>
          <w:rtl/>
        </w:rPr>
      </w:pPr>
      <w:r>
        <w:rPr>
          <w:rFonts w:hint="cs"/>
          <w:rtl/>
        </w:rPr>
        <w:t>قد</w:t>
      </w:r>
      <w:r>
        <w:rPr>
          <w:rtl/>
        </w:rPr>
        <w:t xml:space="preserve"> ذكره </w:t>
      </w:r>
      <w:r w:rsidRPr="00284697">
        <w:rPr>
          <w:rFonts w:hint="cs"/>
          <w:rtl/>
        </w:rPr>
        <w:t>عبد</w:t>
      </w:r>
      <w:r w:rsidRPr="00284697">
        <w:rPr>
          <w:rtl/>
        </w:rPr>
        <w:t xml:space="preserve"> الحي الكتاني</w:t>
      </w:r>
      <w:r>
        <w:rPr>
          <w:rtl/>
        </w:rPr>
        <w:t xml:space="preserve"> في كتابه (( فهرس الفهارس)) عند ترجمة ابن عابدين، حيث قال: " </w:t>
      </w:r>
      <w:r w:rsidRPr="00284697">
        <w:rPr>
          <w:rFonts w:hint="cs"/>
          <w:rtl/>
        </w:rPr>
        <w:t>أخذ</w:t>
      </w:r>
      <w:r w:rsidRPr="00284697">
        <w:rPr>
          <w:rtl/>
        </w:rPr>
        <w:t xml:space="preserve"> بالمكاتبة عن الشيخ صالح الفلاني والأمير الكبير وعبد الملك القلعي المكي، وإن كان ثبته الذي جمع له لم يشتمل على إجازة الأخير له مع انها مثبوتة في ثبت الشيخ أبي النصر الخطيب الدمشقي</w:t>
      </w:r>
      <w:r>
        <w:rPr>
          <w:rtl/>
        </w:rPr>
        <w:t>"</w:t>
      </w:r>
      <w:r>
        <w:rPr>
          <w:vertAlign w:val="superscript"/>
          <w:rtl/>
        </w:rPr>
        <w:t>(</w:t>
      </w:r>
      <w:r>
        <w:rPr>
          <w:rStyle w:val="FootnoteReference"/>
          <w:rFonts w:cs="Arabic Transparent"/>
          <w:rtl/>
        </w:rPr>
        <w:footnoteReference w:id="18"/>
      </w:r>
      <w:r>
        <w:rPr>
          <w:vertAlign w:val="superscript"/>
          <w:rtl/>
        </w:rPr>
        <w:t>)</w:t>
      </w:r>
      <w:r>
        <w:rPr>
          <w:rtl/>
        </w:rPr>
        <w:t>.</w:t>
      </w:r>
    </w:p>
    <w:p w:rsidR="005F44B2" w:rsidRDefault="005F44B2" w:rsidP="008171A1">
      <w:pPr>
        <w:pStyle w:val="NoSpacing"/>
        <w:rPr>
          <w:rtl/>
        </w:rPr>
      </w:pPr>
      <w:r>
        <w:rPr>
          <w:rFonts w:hint="cs"/>
          <w:rtl/>
        </w:rPr>
        <w:t>سابعًا</w:t>
      </w:r>
      <w:r>
        <w:rPr>
          <w:rtl/>
        </w:rPr>
        <w:t xml:space="preserve">: </w:t>
      </w:r>
      <w:r w:rsidRPr="00DA75F8">
        <w:rPr>
          <w:rFonts w:hint="cs"/>
          <w:rtl/>
        </w:rPr>
        <w:t>الشيخ</w:t>
      </w:r>
      <w:r w:rsidRPr="00DA75F8">
        <w:rPr>
          <w:rtl/>
        </w:rPr>
        <w:t xml:space="preserve"> صالح الفلاني</w:t>
      </w:r>
    </w:p>
    <w:p w:rsidR="005F44B2" w:rsidRPr="00416924" w:rsidRDefault="005F44B2" w:rsidP="00416924">
      <w:pPr>
        <w:pStyle w:val="a0"/>
        <w:rPr>
          <w:rtl/>
          <w:lang w:val="en-US"/>
        </w:rPr>
      </w:pPr>
      <w:r>
        <w:rPr>
          <w:rFonts w:hint="cs"/>
          <w:rtl/>
        </w:rPr>
        <w:t>استجاز</w:t>
      </w:r>
      <w:r>
        <w:rPr>
          <w:rtl/>
        </w:rPr>
        <w:t xml:space="preserve"> </w:t>
      </w:r>
      <w:r w:rsidRPr="00DA75F8">
        <w:rPr>
          <w:rFonts w:hint="cs"/>
          <w:rtl/>
        </w:rPr>
        <w:t>الشيخ</w:t>
      </w:r>
      <w:r w:rsidRPr="00DA75F8">
        <w:rPr>
          <w:rtl/>
        </w:rPr>
        <w:t xml:space="preserve"> صالح الفلاني</w:t>
      </w:r>
      <w:r>
        <w:rPr>
          <w:rtl/>
        </w:rPr>
        <w:t xml:space="preserve"> ابن عابدين بالمكاتبة</w:t>
      </w:r>
      <w:r w:rsidRPr="00DA75F8">
        <w:rPr>
          <w:vertAlign w:val="superscript"/>
          <w:rtl/>
        </w:rPr>
        <w:t>(</w:t>
      </w:r>
      <w:r w:rsidRPr="00DA75F8">
        <w:rPr>
          <w:rStyle w:val="FootnoteReference"/>
          <w:rFonts w:cs="Arabic Transparent"/>
          <w:rtl/>
        </w:rPr>
        <w:footnoteReference w:id="19"/>
      </w:r>
      <w:r w:rsidRPr="00DA75F8">
        <w:rPr>
          <w:vertAlign w:val="superscript"/>
          <w:rtl/>
        </w:rPr>
        <w:t>)</w:t>
      </w:r>
      <w:r>
        <w:rPr>
          <w:rtl/>
        </w:rPr>
        <w:t>.</w:t>
      </w:r>
    </w:p>
    <w:p w:rsidR="005F44B2" w:rsidRPr="00DA75F8" w:rsidRDefault="005F44B2" w:rsidP="00A32BE8">
      <w:pPr>
        <w:pStyle w:val="a0"/>
        <w:rPr>
          <w:lang w:val="en-US"/>
        </w:rPr>
      </w:pPr>
      <w:r w:rsidRPr="00DA75F8">
        <w:rPr>
          <w:rFonts w:hint="cs"/>
          <w:rtl/>
          <w:lang w:val="en-US"/>
        </w:rPr>
        <w:t>وقد</w:t>
      </w:r>
      <w:r w:rsidRPr="00DA75F8">
        <w:rPr>
          <w:rtl/>
          <w:lang w:val="en-US"/>
        </w:rPr>
        <w:t xml:space="preserve"> درس عند مشايخ كثيرين من شاميين، ومصريين، وحجازيين، وعراقيين، وروميين</w:t>
      </w:r>
      <w:r w:rsidRPr="00DA75F8">
        <w:rPr>
          <w:vertAlign w:val="superscript"/>
          <w:rtl/>
          <w:lang w:val="en-US"/>
        </w:rPr>
        <w:t>(</w:t>
      </w:r>
      <w:r w:rsidRPr="00DA75F8">
        <w:rPr>
          <w:rStyle w:val="FootnoteReference"/>
          <w:rFonts w:cs="Arabic Transparent"/>
          <w:rtl/>
          <w:lang w:val="en-US"/>
        </w:rPr>
        <w:footnoteReference w:id="20"/>
      </w:r>
      <w:r w:rsidRPr="00DA75F8">
        <w:rPr>
          <w:vertAlign w:val="superscript"/>
          <w:rtl/>
          <w:lang w:val="en-US"/>
        </w:rPr>
        <w:t>)</w:t>
      </w:r>
      <w:r w:rsidRPr="00DA75F8">
        <w:rPr>
          <w:rFonts w:hint="cs"/>
          <w:rtl/>
          <w:lang w:val="en-US"/>
        </w:rPr>
        <w:t>،ويكفينا</w:t>
      </w:r>
      <w:r w:rsidRPr="00DA75F8">
        <w:rPr>
          <w:rtl/>
          <w:lang w:val="en-US"/>
        </w:rPr>
        <w:t xml:space="preserve"> ماذكرناهمنأسماء.</w:t>
      </w:r>
    </w:p>
    <w:p w:rsidR="005F44B2" w:rsidRPr="00DA75F8" w:rsidRDefault="005F44B2" w:rsidP="008171A1">
      <w:pPr>
        <w:pStyle w:val="NoSpacing"/>
        <w:rPr>
          <w:rtl/>
        </w:rPr>
      </w:pPr>
      <w:r w:rsidRPr="00DA75F8">
        <w:rPr>
          <w:rFonts w:hint="cs"/>
          <w:rtl/>
        </w:rPr>
        <w:t>الفرع</w:t>
      </w:r>
      <w:r w:rsidRPr="00DA75F8">
        <w:rPr>
          <w:rtl/>
        </w:rPr>
        <w:t xml:space="preserve"> الثاني: تلاميذه</w:t>
      </w:r>
    </w:p>
    <w:p w:rsidR="005F44B2" w:rsidRPr="00DA75F8" w:rsidRDefault="005F44B2" w:rsidP="007B6769">
      <w:pPr>
        <w:pStyle w:val="a0"/>
        <w:rPr>
          <w:rtl/>
        </w:rPr>
      </w:pPr>
      <w:r w:rsidRPr="00DA75F8">
        <w:rPr>
          <w:rFonts w:hint="cs"/>
          <w:rtl/>
        </w:rPr>
        <w:t>كان</w:t>
      </w:r>
      <w:r w:rsidRPr="00DA75F8">
        <w:rPr>
          <w:rtl/>
        </w:rPr>
        <w:t xml:space="preserve"> للإمام ابن عابدين– رحمه الله - تلاميذ كثيرون، ومنهم من قرأ عليه وسمع منه فقط، ومنهم من استجازه فأجيز منه، وسأذكر أهمهم فقط،كأخيه عبد الغني عابدين، وولد أخيه الشيخ أحمد أفندي، وابن ابن عمه الشيخ صالح ابن السيد حسن عابدين، ومحمد جابي زادة أفندي قاضي المدينة المنورة، وعبد الغني الميداني شارح القدوري وعقيدة الطحاوي، والشيخ عبد القادر الخلاصي شارح الدر المختار والألفية لابن مالك</w:t>
      </w:r>
      <w:r w:rsidRPr="00DA75F8">
        <w:rPr>
          <w:vertAlign w:val="superscript"/>
          <w:rtl/>
        </w:rPr>
        <w:t>(</w:t>
      </w:r>
      <w:r w:rsidRPr="00DA75F8">
        <w:rPr>
          <w:rStyle w:val="FootnoteReference"/>
          <w:rFonts w:cs="Arabic Transparent"/>
          <w:rtl/>
        </w:rPr>
        <w:footnoteReference w:id="21"/>
      </w:r>
      <w:r w:rsidRPr="00DA75F8">
        <w:rPr>
          <w:vertAlign w:val="superscript"/>
          <w:rtl/>
        </w:rPr>
        <w:t>)</w:t>
      </w:r>
      <w:r w:rsidRPr="00DA75F8">
        <w:rPr>
          <w:rtl/>
        </w:rPr>
        <w:t>.</w:t>
      </w:r>
    </w:p>
    <w:p w:rsidR="005F44B2" w:rsidRPr="00DA75F8" w:rsidRDefault="005F44B2" w:rsidP="00F619A5">
      <w:pPr>
        <w:pStyle w:val="NoSpacing"/>
        <w:keepNext/>
        <w:rPr>
          <w:rtl/>
        </w:rPr>
      </w:pPr>
      <w:r w:rsidRPr="00DA75F8">
        <w:rPr>
          <w:rFonts w:hint="cs"/>
          <w:rtl/>
        </w:rPr>
        <w:t>أولاً</w:t>
      </w:r>
      <w:r w:rsidRPr="00DA75F8">
        <w:rPr>
          <w:rtl/>
        </w:rPr>
        <w:t>: عبد الغني بن عابدين</w:t>
      </w:r>
    </w:p>
    <w:p w:rsidR="005F44B2" w:rsidRPr="00DA75F8" w:rsidRDefault="005F44B2" w:rsidP="007B6769">
      <w:pPr>
        <w:pStyle w:val="a0"/>
        <w:rPr>
          <w:rtl/>
        </w:rPr>
      </w:pPr>
      <w:r w:rsidRPr="00DA75F8">
        <w:rPr>
          <w:rFonts w:hint="cs"/>
          <w:rtl/>
        </w:rPr>
        <w:t>هو</w:t>
      </w:r>
      <w:r w:rsidRPr="00DA75F8">
        <w:rPr>
          <w:rtl/>
        </w:rPr>
        <w:t xml:space="preserve"> أخو ابن عابدين، تخرّج به وأخذ منه إجازة، الفقيه الصوفي</w:t>
      </w:r>
      <w:r w:rsidRPr="00DA75F8">
        <w:rPr>
          <w:vertAlign w:val="superscript"/>
          <w:rtl/>
        </w:rPr>
        <w:t>(</w:t>
      </w:r>
      <w:r w:rsidRPr="00DA75F8">
        <w:rPr>
          <w:rStyle w:val="FootnoteReference"/>
          <w:rFonts w:cs="Arabic Transparent"/>
          <w:rtl/>
        </w:rPr>
        <w:footnoteReference w:id="22"/>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ثانيًا</w:t>
      </w:r>
      <w:r w:rsidRPr="00DA75F8">
        <w:rPr>
          <w:rtl/>
        </w:rPr>
        <w:t>: أحمد بن عبد الغني عابدين</w:t>
      </w:r>
    </w:p>
    <w:p w:rsidR="005F44B2" w:rsidRPr="00DA75F8" w:rsidRDefault="005F44B2" w:rsidP="007B6769">
      <w:pPr>
        <w:pStyle w:val="a0"/>
        <w:rPr>
          <w:rtl/>
        </w:rPr>
      </w:pPr>
      <w:r w:rsidRPr="00DA75F8">
        <w:rPr>
          <w:rFonts w:hint="cs"/>
          <w:rtl/>
        </w:rPr>
        <w:t>هو</w:t>
      </w:r>
      <w:r w:rsidRPr="00DA75F8">
        <w:rPr>
          <w:rtl/>
        </w:rPr>
        <w:t xml:space="preserve"> ابن أخي ابن عابدين، المشهور كأس</w:t>
      </w:r>
      <w:r w:rsidRPr="00DA75F8">
        <w:rPr>
          <w:rFonts w:hint="cs"/>
          <w:rtl/>
        </w:rPr>
        <w:t>لافه</w:t>
      </w:r>
      <w:r w:rsidRPr="00DA75F8">
        <w:rPr>
          <w:rtl/>
        </w:rPr>
        <w:t xml:space="preserve"> بابن عابدين، ولد في سنة 1238هـ الموافق لـ 1823م بدمشق ومات فيها سنة 1307هـ الموافق لـ 1889م. تخرّج على يديه وحصل منه على إجازة. وهو فقيه حنفي، وقد كان أمين الفتوى بدمشق، له نحو 20 كتابًا ورسالة</w:t>
      </w:r>
      <w:r w:rsidRPr="00DA75F8">
        <w:rPr>
          <w:vertAlign w:val="superscript"/>
          <w:rtl/>
        </w:rPr>
        <w:t>(</w:t>
      </w:r>
      <w:r w:rsidRPr="00DA75F8">
        <w:rPr>
          <w:rStyle w:val="FootnoteReference"/>
          <w:rFonts w:cs="Arabic Transparent"/>
          <w:rtl/>
        </w:rPr>
        <w:footnoteReference w:id="23"/>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ثالثًا</w:t>
      </w:r>
      <w:r w:rsidRPr="00DA75F8">
        <w:rPr>
          <w:rtl/>
        </w:rPr>
        <w:t>: محمد جابي زادة</w:t>
      </w:r>
    </w:p>
    <w:p w:rsidR="005F44B2" w:rsidRPr="00DA75F8" w:rsidRDefault="005F44B2" w:rsidP="007B6769">
      <w:pPr>
        <w:pStyle w:val="a0"/>
        <w:rPr>
          <w:rtl/>
        </w:rPr>
      </w:pPr>
      <w:r w:rsidRPr="00DA75F8">
        <w:rPr>
          <w:rFonts w:hint="cs"/>
          <w:rtl/>
        </w:rPr>
        <w:t>هو</w:t>
      </w:r>
      <w:r w:rsidRPr="00DA75F8">
        <w:rPr>
          <w:rtl/>
        </w:rPr>
        <w:t xml:space="preserve"> قاضي المدينة المنورة ومن أصحاب الحائز للنشيان العالي المجيدي</w:t>
      </w:r>
      <w:r w:rsidRPr="00DA75F8">
        <w:rPr>
          <w:vertAlign w:val="superscript"/>
          <w:rtl/>
        </w:rPr>
        <w:t>(</w:t>
      </w:r>
      <w:r w:rsidRPr="00DA75F8">
        <w:rPr>
          <w:rStyle w:val="FootnoteReference"/>
          <w:rFonts w:cs="Arabic Transparent"/>
          <w:rtl/>
        </w:rPr>
        <w:footnoteReference w:id="24"/>
      </w:r>
      <w:r w:rsidRPr="00DA75F8">
        <w:rPr>
          <w:vertAlign w:val="superscript"/>
          <w:rtl/>
        </w:rPr>
        <w:t>)</w:t>
      </w:r>
      <w:r>
        <w:rPr>
          <w:rtl/>
        </w:rPr>
        <w:t xml:space="preserve"> من الرتبة الثانية</w:t>
      </w:r>
      <w:r w:rsidRPr="00DA75F8">
        <w:rPr>
          <w:rFonts w:hint="cs"/>
          <w:rtl/>
        </w:rPr>
        <w:t>،</w:t>
      </w:r>
      <w:r w:rsidRPr="00DA75F8">
        <w:rPr>
          <w:rtl/>
        </w:rPr>
        <w:t xml:space="preserve"> صاحب الوجاهة والمنصب الرفيع، أخذ عن ابن عابدين سائر العلوم وبه انتفع</w:t>
      </w:r>
      <w:r w:rsidRPr="00DA75F8">
        <w:rPr>
          <w:vertAlign w:val="superscript"/>
          <w:rtl/>
        </w:rPr>
        <w:t>(</w:t>
      </w:r>
      <w:r w:rsidRPr="00DA75F8">
        <w:rPr>
          <w:rStyle w:val="FootnoteReference"/>
          <w:rFonts w:cs="Arabic Transparent"/>
          <w:rtl/>
        </w:rPr>
        <w:footnoteReference w:id="25"/>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رابعًا</w:t>
      </w:r>
      <w:r w:rsidRPr="00DA75F8">
        <w:rPr>
          <w:rtl/>
        </w:rPr>
        <w:t>:عبد الغني الغنيمي الميداني</w:t>
      </w:r>
    </w:p>
    <w:p w:rsidR="005F44B2" w:rsidRPr="00DA75F8" w:rsidRDefault="005F44B2" w:rsidP="007B6769">
      <w:pPr>
        <w:pStyle w:val="a0"/>
        <w:rPr>
          <w:rtl/>
        </w:rPr>
      </w:pPr>
      <w:r w:rsidRPr="00DA75F8">
        <w:rPr>
          <w:rFonts w:hint="cs"/>
          <w:rtl/>
        </w:rPr>
        <w:t>عبد</w:t>
      </w:r>
      <w:r w:rsidRPr="00DA75F8">
        <w:rPr>
          <w:rtl/>
        </w:rPr>
        <w:t xml:space="preserve"> الغني بن طالب بن حمادة بن إبراهيم الغنيمي الدمشقيّ الميداني، ولد ف</w:t>
      </w:r>
      <w:r w:rsidRPr="00DA75F8">
        <w:rPr>
          <w:rFonts w:hint="cs"/>
          <w:rtl/>
        </w:rPr>
        <w:t>ي</w:t>
      </w:r>
      <w:r w:rsidRPr="00DA75F8">
        <w:rPr>
          <w:rtl/>
        </w:rPr>
        <w:t xml:space="preserve"> عام 1222 هـ الموافق لـ 1807م، ومات عام 1298 هـ الموافق لـ 1881 م. نسبته إلى محلة الميدان بدمشق. هو فاضل من فقهاء الحنفية، شارح القدوري وعقيدة الطحاوي، فإنه عنه أجيذ وبه انتفع وعليه تخرج</w:t>
      </w:r>
      <w:r w:rsidRPr="00DA75F8">
        <w:rPr>
          <w:vertAlign w:val="superscript"/>
          <w:rtl/>
        </w:rPr>
        <w:t>(</w:t>
      </w:r>
      <w:r w:rsidRPr="00DA75F8">
        <w:rPr>
          <w:rStyle w:val="FootnoteReference"/>
          <w:rFonts w:cs="Arabic Transparent"/>
          <w:rtl/>
        </w:rPr>
        <w:footnoteReference w:id="26"/>
      </w:r>
      <w:r w:rsidRPr="00DA75F8">
        <w:rPr>
          <w:vertAlign w:val="superscript"/>
          <w:rtl/>
        </w:rPr>
        <w:t>)</w:t>
      </w:r>
      <w:r w:rsidRPr="00DA75F8">
        <w:rPr>
          <w:rtl/>
        </w:rPr>
        <w:t>.</w:t>
      </w:r>
    </w:p>
    <w:p w:rsidR="005F44B2" w:rsidRPr="00DA75F8" w:rsidRDefault="005F44B2" w:rsidP="00A323B5">
      <w:pPr>
        <w:pStyle w:val="NoSpacing"/>
        <w:keepNext/>
        <w:rPr>
          <w:rtl/>
        </w:rPr>
      </w:pPr>
      <w:r w:rsidRPr="00DA75F8">
        <w:rPr>
          <w:rFonts w:hint="cs"/>
          <w:rtl/>
        </w:rPr>
        <w:t>خامسًا</w:t>
      </w:r>
      <w:r w:rsidRPr="00DA75F8">
        <w:rPr>
          <w:rtl/>
        </w:rPr>
        <w:t>: يحيى السردست</w:t>
      </w:r>
    </w:p>
    <w:p w:rsidR="005F44B2" w:rsidRPr="00DA75F8" w:rsidRDefault="005F44B2" w:rsidP="007B6769">
      <w:pPr>
        <w:pStyle w:val="a0"/>
        <w:rPr>
          <w:rtl/>
        </w:rPr>
      </w:pPr>
      <w:r w:rsidRPr="00DA75F8">
        <w:rPr>
          <w:rFonts w:hint="cs"/>
          <w:rtl/>
        </w:rPr>
        <w:t>كان</w:t>
      </w:r>
      <w:r w:rsidRPr="00DA75F8">
        <w:rPr>
          <w:rtl/>
        </w:rPr>
        <w:t xml:space="preserve"> من العلماء العاملين والصلحاء الواصلين، إمام المحققين وهمام المدققين، وكان منقطعاً في المدرسة الباذرائية</w:t>
      </w:r>
      <w:r>
        <w:rPr>
          <w:vertAlign w:val="superscript"/>
          <w:rtl/>
        </w:rPr>
        <w:t>(</w:t>
      </w:r>
      <w:r>
        <w:rPr>
          <w:rStyle w:val="FootnoteReference"/>
          <w:rFonts w:cs="Arabic Transparent"/>
          <w:rtl/>
        </w:rPr>
        <w:footnoteReference w:id="27"/>
      </w:r>
      <w:r>
        <w:rPr>
          <w:vertAlign w:val="superscript"/>
          <w:rtl/>
        </w:rPr>
        <w:t>)</w:t>
      </w:r>
      <w:r w:rsidRPr="00DA75F8">
        <w:rPr>
          <w:rtl/>
        </w:rPr>
        <w:t xml:space="preserve"> مقبلاً على الآخرة مدبراً عن الدنيا، توفي في دمشق سنة أربع وستين ومائتين وألف فيالسابع عشر منشهرشوال، ودفن في مقبرة الذهبية، في مرج الدحداح</w:t>
      </w:r>
      <w:r w:rsidRPr="00DA75F8">
        <w:rPr>
          <w:vertAlign w:val="superscript"/>
          <w:rtl/>
        </w:rPr>
        <w:t>(</w:t>
      </w:r>
      <w:r w:rsidRPr="00DA75F8">
        <w:rPr>
          <w:rStyle w:val="FootnoteReference"/>
          <w:rFonts w:cs="Arabic Transparent"/>
          <w:rtl/>
        </w:rPr>
        <w:footnoteReference w:id="28"/>
      </w:r>
      <w:r w:rsidRPr="00DA75F8">
        <w:rPr>
          <w:vertAlign w:val="superscript"/>
          <w:rtl/>
        </w:rPr>
        <w:t>)</w:t>
      </w:r>
      <w:r w:rsidRPr="00DA75F8">
        <w:rPr>
          <w:rFonts w:hint="cs"/>
          <w:rtl/>
        </w:rPr>
        <w:t>،فإنه</w:t>
      </w:r>
      <w:r w:rsidRPr="00DA75F8">
        <w:rPr>
          <w:rtl/>
        </w:rPr>
        <w:t xml:space="preserve"> عنه أخذ وبه انتفع وعليه تخرج</w:t>
      </w:r>
      <w:r w:rsidRPr="00DA75F8">
        <w:rPr>
          <w:vertAlign w:val="superscript"/>
          <w:rtl/>
        </w:rPr>
        <w:t>(</w:t>
      </w:r>
      <w:r w:rsidRPr="00DA75F8">
        <w:rPr>
          <w:rStyle w:val="FootnoteReference"/>
          <w:rFonts w:cs="Arabic Transparent"/>
          <w:rtl/>
        </w:rPr>
        <w:footnoteReference w:id="29"/>
      </w:r>
      <w:r w:rsidRPr="00DA75F8">
        <w:rPr>
          <w:vertAlign w:val="superscript"/>
          <w:rtl/>
        </w:rPr>
        <w:t>)</w:t>
      </w:r>
      <w:r w:rsidRPr="00DA75F8">
        <w:rPr>
          <w:rtl/>
        </w:rPr>
        <w:t>.</w:t>
      </w:r>
    </w:p>
    <w:p w:rsidR="005F44B2" w:rsidRPr="00DA75F8" w:rsidRDefault="005F44B2" w:rsidP="005E6A96">
      <w:pPr>
        <w:pStyle w:val="a3"/>
        <w:rPr>
          <w:rtl/>
        </w:rPr>
      </w:pPr>
      <w:bookmarkStart w:id="9" w:name="_Toc447092551"/>
      <w:r w:rsidRPr="00DA75F8">
        <w:rPr>
          <w:rFonts w:hint="cs"/>
          <w:rtl/>
        </w:rPr>
        <w:t>المطلب</w:t>
      </w:r>
      <w:r w:rsidRPr="00DA75F8">
        <w:rPr>
          <w:rtl/>
        </w:rPr>
        <w:t xml:space="preserve"> الثالث: مؤلفاته</w:t>
      </w:r>
      <w:bookmarkEnd w:id="9"/>
    </w:p>
    <w:p w:rsidR="005F44B2" w:rsidRPr="00DA75F8" w:rsidRDefault="005F44B2" w:rsidP="007B6769">
      <w:pPr>
        <w:pStyle w:val="a0"/>
        <w:rPr>
          <w:rtl/>
        </w:rPr>
      </w:pPr>
      <w:r w:rsidRPr="00DA75F8">
        <w:rPr>
          <w:rFonts w:hint="cs"/>
          <w:rtl/>
        </w:rPr>
        <w:t>لقد</w:t>
      </w:r>
      <w:r w:rsidRPr="00DA75F8">
        <w:rPr>
          <w:rtl/>
        </w:rPr>
        <w:t xml:space="preserve"> ألف ابن عابدين كتباً كثيرةً في مختلف العلوم ومعظمهافي الفقه، وقد كتب فيعلم أصول الفقه والتفسير والحديث والتصوف، واللغة الع</w:t>
      </w:r>
      <w:r w:rsidRPr="00DA75F8">
        <w:rPr>
          <w:rFonts w:hint="cs"/>
          <w:rtl/>
        </w:rPr>
        <w:t>ربية</w:t>
      </w:r>
      <w:r w:rsidRPr="00DA75F8">
        <w:rPr>
          <w:rtl/>
        </w:rPr>
        <w:t xml:space="preserve"> والتاريخ والحساب، وم</w:t>
      </w:r>
      <w:r w:rsidRPr="00DA75F8">
        <w:rPr>
          <w:rFonts w:hint="cs"/>
          <w:rtl/>
        </w:rPr>
        <w:t>نها</w:t>
      </w:r>
      <w:r w:rsidRPr="00DA75F8">
        <w:rPr>
          <w:rtl/>
        </w:rPr>
        <w:t xml:space="preserve"> ما وصل الينا وطبع ونشر ومنها ما لم يصل ومنها الذي مازال مخطوطا.وكانت كتبه كما يلي:</w:t>
      </w:r>
    </w:p>
    <w:p w:rsidR="005F44B2" w:rsidRPr="00DA75F8" w:rsidRDefault="005F44B2" w:rsidP="008171A1">
      <w:pPr>
        <w:pStyle w:val="NoSpacing"/>
        <w:rPr>
          <w:rtl/>
        </w:rPr>
      </w:pPr>
      <w:r w:rsidRPr="00DA75F8">
        <w:rPr>
          <w:rFonts w:hint="cs"/>
          <w:rtl/>
        </w:rPr>
        <w:t>الفقه</w:t>
      </w:r>
      <w:r w:rsidRPr="00DA75F8">
        <w:rPr>
          <w:rtl/>
        </w:rPr>
        <w:t xml:space="preserve"> الحنفي</w:t>
      </w:r>
    </w:p>
    <w:p w:rsidR="005F44B2" w:rsidRPr="00DA75F8" w:rsidRDefault="005F44B2" w:rsidP="007B6769">
      <w:pPr>
        <w:pStyle w:val="a"/>
        <w:numPr>
          <w:ilvl w:val="0"/>
          <w:numId w:val="31"/>
        </w:numPr>
      </w:pPr>
      <w:r w:rsidRPr="00DA75F8">
        <w:rPr>
          <w:rFonts w:hint="cs"/>
          <w:rtl/>
        </w:rPr>
        <w:t>كتاب</w:t>
      </w:r>
      <w:r w:rsidRPr="00DA75F8">
        <w:rPr>
          <w:rtl/>
        </w:rPr>
        <w:t>: حاشية رد المحتار على الدر المختار (مطبوع)</w:t>
      </w:r>
    </w:p>
    <w:p w:rsidR="005F44B2" w:rsidRPr="00DA75F8" w:rsidRDefault="005F44B2" w:rsidP="007B6769">
      <w:pPr>
        <w:pStyle w:val="a"/>
        <w:numPr>
          <w:ilvl w:val="0"/>
          <w:numId w:val="31"/>
        </w:numPr>
      </w:pPr>
      <w:r w:rsidRPr="00DA75F8">
        <w:rPr>
          <w:rFonts w:hint="cs"/>
          <w:rtl/>
        </w:rPr>
        <w:t>كتاب</w:t>
      </w:r>
      <w:r w:rsidRPr="00DA75F8">
        <w:rPr>
          <w:rtl/>
        </w:rPr>
        <w:t>: حاشية منحة الخالق على بحر الرائق (مطبوع)</w:t>
      </w:r>
    </w:p>
    <w:p w:rsidR="005F44B2" w:rsidRPr="00DA75F8" w:rsidRDefault="005F44B2" w:rsidP="007B6769">
      <w:pPr>
        <w:pStyle w:val="a"/>
        <w:numPr>
          <w:ilvl w:val="0"/>
          <w:numId w:val="31"/>
        </w:numPr>
      </w:pPr>
      <w:r w:rsidRPr="00DA75F8">
        <w:rPr>
          <w:rFonts w:hint="cs"/>
          <w:rtl/>
        </w:rPr>
        <w:t>كتاب</w:t>
      </w:r>
      <w:r w:rsidRPr="00DA75F8">
        <w:rPr>
          <w:rtl/>
        </w:rPr>
        <w:t>: حاش</w:t>
      </w:r>
      <w:r w:rsidRPr="00DA75F8">
        <w:rPr>
          <w:rFonts w:hint="cs"/>
          <w:rtl/>
        </w:rPr>
        <w:t>ية</w:t>
      </w:r>
      <w:r w:rsidRPr="00DA75F8">
        <w:rPr>
          <w:rtl/>
        </w:rPr>
        <w:t xml:space="preserve"> على شرح الملتقى للحصكفي (لم يعثر عليه)</w:t>
      </w:r>
      <w:r w:rsidRPr="00DA75F8">
        <w:rPr>
          <w:vertAlign w:val="superscript"/>
          <w:rtl/>
        </w:rPr>
        <w:t>(</w:t>
      </w:r>
      <w:r w:rsidRPr="00DA75F8">
        <w:rPr>
          <w:rStyle w:val="FootnoteReference"/>
          <w:rFonts w:cs="Arabic Transparent"/>
          <w:rtl/>
        </w:rPr>
        <w:footnoteReference w:id="30"/>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حاشية على النهر الفائق (لم يعثر عليه)</w:t>
      </w:r>
      <w:r w:rsidRPr="00DA75F8">
        <w:rPr>
          <w:vertAlign w:val="superscript"/>
          <w:rtl/>
        </w:rPr>
        <w:t>(</w:t>
      </w:r>
      <w:r w:rsidRPr="00DA75F8">
        <w:rPr>
          <w:rStyle w:val="FootnoteReference"/>
          <w:rFonts w:cs="Arabic Transparent"/>
          <w:rtl/>
        </w:rPr>
        <w:footnoteReference w:id="31"/>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حاشية رفع الأنظار عما أورده الحلبي على الدر المختار على حاشية الحلبي (مخطوط)</w:t>
      </w:r>
      <w:r w:rsidRPr="00DA75F8">
        <w:rPr>
          <w:vertAlign w:val="superscript"/>
          <w:rtl/>
        </w:rPr>
        <w:t>(</w:t>
      </w:r>
      <w:r w:rsidRPr="00DA75F8">
        <w:rPr>
          <w:rStyle w:val="FootnoteReference"/>
          <w:rFonts w:cs="Arabic Transparent"/>
          <w:rtl/>
        </w:rPr>
        <w:footnoteReference w:id="32"/>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العقود الدرية في تنقبح الفتاوى الحامدية (مطبوع)</w:t>
      </w:r>
    </w:p>
    <w:p w:rsidR="005F44B2" w:rsidRPr="00DA75F8" w:rsidRDefault="005F44B2" w:rsidP="007B6769">
      <w:pPr>
        <w:pStyle w:val="a"/>
        <w:numPr>
          <w:ilvl w:val="0"/>
          <w:numId w:val="31"/>
        </w:numPr>
      </w:pPr>
      <w:r w:rsidRPr="00DA75F8">
        <w:rPr>
          <w:rFonts w:hint="cs"/>
          <w:rtl/>
        </w:rPr>
        <w:t>كتاب</w:t>
      </w:r>
      <w:r w:rsidRPr="00DA75F8">
        <w:rPr>
          <w:rtl/>
        </w:rPr>
        <w:t>: نظم الكنز (لم يعثر عليه)</w:t>
      </w:r>
      <w:r w:rsidRPr="00DA75F8">
        <w:rPr>
          <w:vertAlign w:val="superscript"/>
          <w:rtl/>
        </w:rPr>
        <w:t>(</w:t>
      </w:r>
      <w:r w:rsidRPr="00DA75F8">
        <w:rPr>
          <w:rStyle w:val="FootnoteReference"/>
          <w:rFonts w:cs="Arabic Transparent"/>
          <w:rtl/>
        </w:rPr>
        <w:footnoteReference w:id="33"/>
      </w:r>
      <w:r w:rsidRPr="00DA75F8">
        <w:rPr>
          <w:vertAlign w:val="superscript"/>
          <w:rtl/>
        </w:rPr>
        <w:t>)</w:t>
      </w:r>
    </w:p>
    <w:p w:rsidR="005F44B2" w:rsidRPr="00DA75F8" w:rsidRDefault="005F44B2" w:rsidP="007B6769">
      <w:pPr>
        <w:pStyle w:val="a"/>
        <w:numPr>
          <w:ilvl w:val="0"/>
          <w:numId w:val="31"/>
        </w:numPr>
      </w:pPr>
      <w:r w:rsidRPr="00DA75F8">
        <w:rPr>
          <w:rFonts w:hint="cs"/>
          <w:rtl/>
        </w:rPr>
        <w:t>رسالة</w:t>
      </w:r>
      <w:r w:rsidRPr="00DA75F8">
        <w:rPr>
          <w:rtl/>
        </w:rPr>
        <w:t>: عقود رسم المفتي (شرح م</w:t>
      </w:r>
      <w:r w:rsidRPr="00DA75F8">
        <w:rPr>
          <w:rFonts w:hint="cs"/>
          <w:rtl/>
        </w:rPr>
        <w:t>نظومته</w:t>
      </w:r>
      <w:r w:rsidRPr="00DA75F8">
        <w:rPr>
          <w:rtl/>
        </w:rPr>
        <w:t>) (مطبوع)</w:t>
      </w:r>
    </w:p>
    <w:p w:rsidR="005F44B2" w:rsidRPr="00DA75F8" w:rsidRDefault="005F44B2" w:rsidP="007B6769">
      <w:pPr>
        <w:pStyle w:val="a"/>
        <w:numPr>
          <w:ilvl w:val="0"/>
          <w:numId w:val="31"/>
        </w:numPr>
      </w:pPr>
      <w:r w:rsidRPr="00DA75F8">
        <w:rPr>
          <w:rFonts w:hint="cs"/>
          <w:rtl/>
        </w:rPr>
        <w:t>رسالة</w:t>
      </w:r>
      <w:r w:rsidRPr="00DA75F8">
        <w:rPr>
          <w:rtl/>
        </w:rPr>
        <w:t>: الفوائد المخصصة في أحكام كي الحمصة  (مطبوع)</w:t>
      </w:r>
    </w:p>
    <w:p w:rsidR="005F44B2" w:rsidRPr="00DA75F8" w:rsidRDefault="005F44B2" w:rsidP="007B6769">
      <w:pPr>
        <w:pStyle w:val="a"/>
        <w:numPr>
          <w:ilvl w:val="0"/>
          <w:numId w:val="31"/>
        </w:numPr>
      </w:pPr>
      <w:r w:rsidRPr="00DA75F8">
        <w:rPr>
          <w:rFonts w:hint="cs"/>
          <w:rtl/>
        </w:rPr>
        <w:t>رسالة</w:t>
      </w:r>
      <w:r w:rsidRPr="00DA75F8">
        <w:rPr>
          <w:rtl/>
        </w:rPr>
        <w:t>: شرح منهل الواردين من بحار الفيض على (ذخر المتأهلين في مسائل الحيض) للبركوي (مطبوع)</w:t>
      </w:r>
    </w:p>
    <w:p w:rsidR="005F44B2" w:rsidRPr="00DA75F8" w:rsidRDefault="005F44B2" w:rsidP="007B6769">
      <w:pPr>
        <w:pStyle w:val="a"/>
        <w:numPr>
          <w:ilvl w:val="0"/>
          <w:numId w:val="31"/>
        </w:numPr>
      </w:pPr>
      <w:r w:rsidRPr="00DA75F8">
        <w:rPr>
          <w:rFonts w:hint="cs"/>
          <w:rtl/>
        </w:rPr>
        <w:t>رسالة</w:t>
      </w:r>
      <w:r w:rsidRPr="00DA75F8">
        <w:rPr>
          <w:rtl/>
        </w:rPr>
        <w:t>: رفع التردد في عقد الأصابع عند التشهد وذيلها (مطبوع)</w:t>
      </w:r>
    </w:p>
    <w:p w:rsidR="005F44B2" w:rsidRPr="00DA75F8" w:rsidRDefault="005F44B2" w:rsidP="007B6769">
      <w:pPr>
        <w:pStyle w:val="a"/>
        <w:numPr>
          <w:ilvl w:val="0"/>
          <w:numId w:val="31"/>
        </w:numPr>
      </w:pPr>
      <w:r w:rsidRPr="00DA75F8">
        <w:rPr>
          <w:rFonts w:hint="cs"/>
          <w:rtl/>
        </w:rPr>
        <w:t>رسالة</w:t>
      </w:r>
      <w:r w:rsidRPr="00DA75F8">
        <w:rPr>
          <w:rtl/>
        </w:rPr>
        <w:t>: تنبيه ذوي الأفهام على أحكام التبليغ خلف الإمام (مطبوع)</w:t>
      </w:r>
    </w:p>
    <w:p w:rsidR="005F44B2" w:rsidRPr="00DA75F8" w:rsidRDefault="005F44B2" w:rsidP="007B6769">
      <w:pPr>
        <w:pStyle w:val="a"/>
        <w:numPr>
          <w:ilvl w:val="0"/>
          <w:numId w:val="31"/>
        </w:numPr>
      </w:pPr>
      <w:r w:rsidRPr="00DA75F8">
        <w:rPr>
          <w:rFonts w:hint="cs"/>
          <w:rtl/>
        </w:rPr>
        <w:t>رسالة</w:t>
      </w:r>
      <w:r w:rsidRPr="00DA75F8">
        <w:rPr>
          <w:rtl/>
        </w:rPr>
        <w:t>: شفاء العليل وبل الغليل في حكم الوصية بالختمات والتهاليل (مطبوع)</w:t>
      </w:r>
    </w:p>
    <w:p w:rsidR="005F44B2" w:rsidRPr="00DA75F8" w:rsidRDefault="005F44B2" w:rsidP="007B6769">
      <w:pPr>
        <w:pStyle w:val="a"/>
        <w:numPr>
          <w:ilvl w:val="0"/>
          <w:numId w:val="31"/>
        </w:numPr>
      </w:pPr>
      <w:r w:rsidRPr="00DA75F8">
        <w:rPr>
          <w:rFonts w:hint="cs"/>
          <w:rtl/>
        </w:rPr>
        <w:t>رسالة</w:t>
      </w:r>
      <w:r w:rsidRPr="00DA75F8">
        <w:rPr>
          <w:rtl/>
        </w:rPr>
        <w:t>: تنبيه الغافل والوسنان في أحكام هلال رمضان (مطبوع)</w:t>
      </w:r>
    </w:p>
    <w:p w:rsidR="005F44B2" w:rsidRPr="00DA75F8" w:rsidRDefault="005F44B2" w:rsidP="007B6769">
      <w:pPr>
        <w:pStyle w:val="a"/>
        <w:numPr>
          <w:ilvl w:val="0"/>
          <w:numId w:val="31"/>
        </w:numPr>
      </w:pPr>
      <w:r w:rsidRPr="00DA75F8">
        <w:rPr>
          <w:rFonts w:hint="cs"/>
          <w:rtl/>
        </w:rPr>
        <w:t>رسالة</w:t>
      </w:r>
      <w:r w:rsidRPr="00DA75F8">
        <w:rPr>
          <w:rtl/>
        </w:rPr>
        <w:t>: إتحاف الذكي النبيه في جواب ما يقول الفقيه (مطبوع)</w:t>
      </w:r>
    </w:p>
    <w:p w:rsidR="005F44B2" w:rsidRPr="00DA75F8" w:rsidRDefault="005F44B2" w:rsidP="007B6769">
      <w:pPr>
        <w:pStyle w:val="a"/>
        <w:numPr>
          <w:ilvl w:val="0"/>
          <w:numId w:val="31"/>
        </w:numPr>
      </w:pPr>
      <w:r w:rsidRPr="00DA75F8">
        <w:rPr>
          <w:rFonts w:hint="cs"/>
          <w:rtl/>
        </w:rPr>
        <w:t>رسالة</w:t>
      </w:r>
      <w:r w:rsidRPr="00DA75F8">
        <w:rPr>
          <w:rtl/>
        </w:rPr>
        <w:t>: الإبانة عن أخذ الأجرة على الحضانة (مطبوع)</w:t>
      </w:r>
    </w:p>
    <w:p w:rsidR="005F44B2" w:rsidRPr="00DA75F8" w:rsidRDefault="005F44B2" w:rsidP="007B6769">
      <w:pPr>
        <w:pStyle w:val="a"/>
        <w:numPr>
          <w:ilvl w:val="0"/>
          <w:numId w:val="31"/>
        </w:numPr>
      </w:pPr>
      <w:r w:rsidRPr="00DA75F8">
        <w:rPr>
          <w:rFonts w:hint="cs"/>
          <w:rtl/>
        </w:rPr>
        <w:t>رسالة</w:t>
      </w:r>
      <w:r w:rsidRPr="00DA75F8">
        <w:rPr>
          <w:rtl/>
        </w:rPr>
        <w:t>: تحرير النقول في نفقة الفروع والأصول (مطبوع)</w:t>
      </w:r>
    </w:p>
    <w:p w:rsidR="005F44B2" w:rsidRPr="00DA75F8" w:rsidRDefault="005F44B2" w:rsidP="007B6769">
      <w:pPr>
        <w:pStyle w:val="a"/>
        <w:numPr>
          <w:ilvl w:val="0"/>
          <w:numId w:val="31"/>
        </w:numPr>
      </w:pPr>
      <w:r w:rsidRPr="00DA75F8">
        <w:rPr>
          <w:rFonts w:hint="cs"/>
          <w:rtl/>
        </w:rPr>
        <w:t>رسالة</w:t>
      </w:r>
      <w:r w:rsidRPr="00DA75F8">
        <w:rPr>
          <w:rtl/>
        </w:rPr>
        <w:t>: رفع الإنتقاض ودفع الأعتراض قي قولهم الأيمان مبنية على الألفاظ لا على الأغراض (مطبوع)</w:t>
      </w:r>
    </w:p>
    <w:p w:rsidR="005F44B2" w:rsidRPr="00DA75F8" w:rsidRDefault="005F44B2" w:rsidP="007B6769">
      <w:pPr>
        <w:pStyle w:val="a"/>
        <w:numPr>
          <w:ilvl w:val="0"/>
          <w:numId w:val="31"/>
        </w:numPr>
      </w:pPr>
      <w:r w:rsidRPr="00DA75F8">
        <w:rPr>
          <w:rFonts w:hint="cs"/>
          <w:rtl/>
        </w:rPr>
        <w:t>رسالة</w:t>
      </w:r>
      <w:r w:rsidRPr="00DA75F8">
        <w:rPr>
          <w:rtl/>
        </w:rPr>
        <w:t>: الأقوال الواضحة الجلية في نص القسمة ومسألة الدرجة الجعلية (مطبوع)</w:t>
      </w:r>
    </w:p>
    <w:p w:rsidR="005F44B2" w:rsidRPr="00DA75F8" w:rsidRDefault="005F44B2" w:rsidP="007B6769">
      <w:pPr>
        <w:pStyle w:val="a"/>
        <w:numPr>
          <w:ilvl w:val="0"/>
          <w:numId w:val="31"/>
        </w:numPr>
      </w:pPr>
      <w:r w:rsidRPr="00DA75F8">
        <w:rPr>
          <w:rFonts w:hint="cs"/>
          <w:rtl/>
        </w:rPr>
        <w:t>رسالة</w:t>
      </w:r>
      <w:r w:rsidRPr="00DA75F8">
        <w:rPr>
          <w:rtl/>
        </w:rPr>
        <w:t>: العقود الدرية في قول الواقف على (الفريضة الشرعية) (مطبوع)</w:t>
      </w:r>
    </w:p>
    <w:p w:rsidR="005F44B2" w:rsidRPr="00DA75F8" w:rsidRDefault="005F44B2" w:rsidP="007B6769">
      <w:pPr>
        <w:pStyle w:val="a"/>
        <w:numPr>
          <w:ilvl w:val="0"/>
          <w:numId w:val="31"/>
        </w:numPr>
      </w:pPr>
      <w:r w:rsidRPr="00DA75F8">
        <w:rPr>
          <w:rFonts w:hint="cs"/>
          <w:rtl/>
        </w:rPr>
        <w:t>رسالة</w:t>
      </w:r>
      <w:r w:rsidRPr="00DA75F8">
        <w:rPr>
          <w:rtl/>
        </w:rPr>
        <w:t>: غاية المطلب في عود النصيب للأقرب فالأقرب (مطبوع)</w:t>
      </w:r>
    </w:p>
    <w:p w:rsidR="005F44B2" w:rsidRPr="00DA75F8" w:rsidRDefault="005F44B2" w:rsidP="007B6769">
      <w:pPr>
        <w:pStyle w:val="a"/>
        <w:numPr>
          <w:ilvl w:val="0"/>
          <w:numId w:val="31"/>
        </w:numPr>
      </w:pPr>
      <w:r w:rsidRPr="00DA75F8">
        <w:rPr>
          <w:rFonts w:hint="cs"/>
          <w:rtl/>
        </w:rPr>
        <w:t>رسالة</w:t>
      </w:r>
      <w:r w:rsidRPr="00DA75F8">
        <w:rPr>
          <w:rtl/>
        </w:rPr>
        <w:t>: غاي</w:t>
      </w:r>
      <w:r w:rsidRPr="00DA75F8">
        <w:rPr>
          <w:rFonts w:hint="cs"/>
          <w:rtl/>
        </w:rPr>
        <w:t>ة</w:t>
      </w:r>
      <w:r w:rsidRPr="00DA75F8">
        <w:rPr>
          <w:rtl/>
        </w:rPr>
        <w:t xml:space="preserve"> البيان في أن وقف الاثن</w:t>
      </w:r>
      <w:r w:rsidRPr="00DA75F8">
        <w:rPr>
          <w:rFonts w:hint="cs"/>
          <w:rtl/>
        </w:rPr>
        <w:t>ين</w:t>
      </w:r>
      <w:r w:rsidRPr="00DA75F8">
        <w:rPr>
          <w:rtl/>
        </w:rPr>
        <w:t xml:space="preserve"> على أنفسهما وقف لا وقفان (مطبوع)</w:t>
      </w:r>
    </w:p>
    <w:p w:rsidR="005F44B2" w:rsidRPr="00DA75F8" w:rsidRDefault="005F44B2" w:rsidP="007B6769">
      <w:pPr>
        <w:pStyle w:val="a"/>
        <w:numPr>
          <w:ilvl w:val="0"/>
          <w:numId w:val="31"/>
        </w:numPr>
      </w:pPr>
      <w:r w:rsidRPr="00DA75F8">
        <w:rPr>
          <w:rFonts w:hint="cs"/>
          <w:rtl/>
        </w:rPr>
        <w:t>رسالة</w:t>
      </w:r>
      <w:r w:rsidRPr="00DA75F8">
        <w:rPr>
          <w:rtl/>
        </w:rPr>
        <w:t>: تنبيه الرقود في مسائل النقود  (مطبوع)</w:t>
      </w:r>
    </w:p>
    <w:p w:rsidR="005F44B2" w:rsidRPr="00DA75F8" w:rsidRDefault="005F44B2" w:rsidP="007B6769">
      <w:pPr>
        <w:pStyle w:val="a"/>
        <w:numPr>
          <w:ilvl w:val="0"/>
          <w:numId w:val="31"/>
        </w:numPr>
      </w:pPr>
      <w:r w:rsidRPr="00DA75F8">
        <w:rPr>
          <w:rFonts w:hint="cs"/>
          <w:rtl/>
        </w:rPr>
        <w:t>رسالة</w:t>
      </w:r>
      <w:r w:rsidRPr="00DA75F8">
        <w:rPr>
          <w:rtl/>
        </w:rPr>
        <w:t>: تحبير التحرير في بطلان القضاء بالفسخ بالغبن الفاحش بلاتغرير (مطبوع)</w:t>
      </w:r>
    </w:p>
    <w:p w:rsidR="005F44B2" w:rsidRPr="00DA75F8" w:rsidRDefault="005F44B2" w:rsidP="007B6769">
      <w:pPr>
        <w:pStyle w:val="a"/>
        <w:numPr>
          <w:ilvl w:val="0"/>
          <w:numId w:val="31"/>
        </w:numPr>
      </w:pPr>
      <w:r w:rsidRPr="00DA75F8">
        <w:rPr>
          <w:rFonts w:hint="cs"/>
          <w:rtl/>
        </w:rPr>
        <w:t>رسالة</w:t>
      </w:r>
      <w:r w:rsidRPr="00DA75F8">
        <w:rPr>
          <w:rtl/>
        </w:rPr>
        <w:t>: تنبيه ذوي الأفهام على بطلان الحكم بن</w:t>
      </w:r>
      <w:r w:rsidRPr="00DA75F8">
        <w:rPr>
          <w:rFonts w:hint="cs"/>
          <w:rtl/>
        </w:rPr>
        <w:t>قص</w:t>
      </w:r>
      <w:r w:rsidRPr="00DA75F8">
        <w:rPr>
          <w:rtl/>
        </w:rPr>
        <w:t xml:space="preserve"> الدعوى بعد الإبراء ال</w:t>
      </w:r>
      <w:r w:rsidRPr="00DA75F8">
        <w:rPr>
          <w:rFonts w:hint="cs"/>
          <w:rtl/>
        </w:rPr>
        <w:t>عام</w:t>
      </w:r>
      <w:r w:rsidRPr="00DA75F8">
        <w:rPr>
          <w:rtl/>
        </w:rPr>
        <w:t xml:space="preserve"> (مطبوع)</w:t>
      </w:r>
    </w:p>
    <w:p w:rsidR="005F44B2" w:rsidRPr="00DA75F8" w:rsidRDefault="005F44B2" w:rsidP="007B6769">
      <w:pPr>
        <w:pStyle w:val="a"/>
        <w:numPr>
          <w:ilvl w:val="0"/>
          <w:numId w:val="31"/>
        </w:numPr>
      </w:pPr>
      <w:r w:rsidRPr="00DA75F8">
        <w:rPr>
          <w:rFonts w:hint="cs"/>
          <w:rtl/>
        </w:rPr>
        <w:t>رسالة</w:t>
      </w:r>
      <w:r w:rsidRPr="00DA75F8">
        <w:rPr>
          <w:rtl/>
        </w:rPr>
        <w:t>: إعلام الأعلام بأحكام الإقرار العام (مطبوع)</w:t>
      </w:r>
    </w:p>
    <w:p w:rsidR="005F44B2" w:rsidRPr="00DA75F8" w:rsidRDefault="005F44B2" w:rsidP="007B6769">
      <w:pPr>
        <w:pStyle w:val="a"/>
        <w:numPr>
          <w:ilvl w:val="0"/>
          <w:numId w:val="31"/>
        </w:numPr>
      </w:pPr>
      <w:r w:rsidRPr="00DA75F8">
        <w:rPr>
          <w:rFonts w:hint="cs"/>
          <w:rtl/>
        </w:rPr>
        <w:t>رسالة</w:t>
      </w:r>
      <w:r w:rsidRPr="00DA75F8">
        <w:rPr>
          <w:rtl/>
        </w:rPr>
        <w:t>: تحرير العبارة فيمن هو الأولى بالإجارة (مطبوع)</w:t>
      </w:r>
    </w:p>
    <w:p w:rsidR="005F44B2" w:rsidRPr="00DA75F8" w:rsidRDefault="005F44B2" w:rsidP="007B6769">
      <w:pPr>
        <w:pStyle w:val="a"/>
        <w:numPr>
          <w:ilvl w:val="0"/>
          <w:numId w:val="31"/>
        </w:numPr>
      </w:pPr>
      <w:r w:rsidRPr="00DA75F8">
        <w:rPr>
          <w:rFonts w:hint="cs"/>
          <w:rtl/>
        </w:rPr>
        <w:t>رسالة</w:t>
      </w:r>
      <w:r w:rsidRPr="00DA75F8">
        <w:rPr>
          <w:rtl/>
        </w:rPr>
        <w:t>: أجوبة محققة عن أسئلة مفرقة (مطبوع)</w:t>
      </w:r>
    </w:p>
    <w:p w:rsidR="005F44B2" w:rsidRPr="00DA75F8" w:rsidRDefault="005F44B2" w:rsidP="007B6769">
      <w:pPr>
        <w:pStyle w:val="a"/>
        <w:numPr>
          <w:ilvl w:val="0"/>
          <w:numId w:val="31"/>
        </w:numPr>
      </w:pPr>
      <w:r w:rsidRPr="00DA75F8">
        <w:rPr>
          <w:rFonts w:hint="cs"/>
          <w:rtl/>
        </w:rPr>
        <w:t>رسالة</w:t>
      </w:r>
      <w:r w:rsidRPr="00DA75F8">
        <w:rPr>
          <w:rtl/>
        </w:rPr>
        <w:t>: الرحيق المختوم شرح قلائد المنظوم (مطبوع)</w:t>
      </w:r>
    </w:p>
    <w:p w:rsidR="005F44B2" w:rsidRPr="00DA75F8" w:rsidRDefault="005F44B2" w:rsidP="007B6769">
      <w:pPr>
        <w:pStyle w:val="a"/>
        <w:numPr>
          <w:ilvl w:val="0"/>
          <w:numId w:val="31"/>
        </w:numPr>
        <w:rPr>
          <w:rtl/>
        </w:rPr>
      </w:pPr>
      <w:r w:rsidRPr="00DA75F8">
        <w:rPr>
          <w:rFonts w:hint="cs"/>
          <w:rtl/>
        </w:rPr>
        <w:t>رسالة</w:t>
      </w:r>
      <w:r w:rsidRPr="00DA75F8">
        <w:rPr>
          <w:rtl/>
        </w:rPr>
        <w:t>: بغية الناسك في أدعية المناسك (مطبوع)</w:t>
      </w:r>
    </w:p>
    <w:p w:rsidR="005F44B2" w:rsidRPr="00DA75F8" w:rsidRDefault="005F44B2" w:rsidP="008171A1">
      <w:pPr>
        <w:pStyle w:val="NoSpacing"/>
        <w:rPr>
          <w:rtl/>
        </w:rPr>
      </w:pPr>
      <w:r w:rsidRPr="00DA75F8">
        <w:rPr>
          <w:rFonts w:hint="cs"/>
          <w:rtl/>
        </w:rPr>
        <w:t>أصول</w:t>
      </w:r>
      <w:r w:rsidRPr="00DA75F8">
        <w:rPr>
          <w:rtl/>
        </w:rPr>
        <w:t xml:space="preserve"> الفقه</w:t>
      </w:r>
    </w:p>
    <w:p w:rsidR="005F44B2" w:rsidRPr="00DA75F8" w:rsidRDefault="005F44B2" w:rsidP="007B6769">
      <w:pPr>
        <w:pStyle w:val="a"/>
        <w:numPr>
          <w:ilvl w:val="0"/>
          <w:numId w:val="31"/>
        </w:numPr>
      </w:pPr>
      <w:r w:rsidRPr="00DA75F8">
        <w:rPr>
          <w:rFonts w:hint="cs"/>
          <w:rtl/>
        </w:rPr>
        <w:t>رسالة</w:t>
      </w:r>
      <w:r w:rsidRPr="00DA75F8">
        <w:rPr>
          <w:rtl/>
        </w:rPr>
        <w:t>: نشر العرف في بناء بعض الأحكام على العرف (مطبوع)</w:t>
      </w:r>
    </w:p>
    <w:p w:rsidR="005F44B2" w:rsidRPr="00DA75F8" w:rsidRDefault="005F44B2" w:rsidP="007B6769">
      <w:pPr>
        <w:pStyle w:val="a"/>
        <w:numPr>
          <w:ilvl w:val="0"/>
          <w:numId w:val="31"/>
        </w:numPr>
      </w:pPr>
      <w:r w:rsidRPr="00DA75F8">
        <w:rPr>
          <w:rFonts w:hint="cs"/>
          <w:rtl/>
        </w:rPr>
        <w:t>كتاب</w:t>
      </w:r>
      <w:r w:rsidRPr="00DA75F8">
        <w:rPr>
          <w:rtl/>
        </w:rPr>
        <w:t>: حاشية نسمات الأسحار على شرح إفاضة الأنوار على المنار والشرح للحصكفي (مطبوع)</w:t>
      </w:r>
    </w:p>
    <w:p w:rsidR="005F44B2" w:rsidRPr="00DA75F8" w:rsidRDefault="005F44B2" w:rsidP="007B6769">
      <w:pPr>
        <w:pStyle w:val="a"/>
        <w:numPr>
          <w:ilvl w:val="0"/>
          <w:numId w:val="31"/>
        </w:numPr>
      </w:pPr>
      <w:r w:rsidRPr="00DA75F8">
        <w:rPr>
          <w:rFonts w:hint="cs"/>
          <w:rtl/>
        </w:rPr>
        <w:t>كتاب</w:t>
      </w:r>
      <w:r w:rsidRPr="00DA75F8">
        <w:rPr>
          <w:rtl/>
        </w:rPr>
        <w:t>: حاشية كبرى على شرح إفاضة الأنوار على المنار (لم يعثر عليه)</w:t>
      </w:r>
      <w:r w:rsidRPr="00DA75F8">
        <w:rPr>
          <w:vertAlign w:val="superscript"/>
          <w:rtl/>
        </w:rPr>
        <w:t>(</w:t>
      </w:r>
      <w:r w:rsidRPr="00DA75F8">
        <w:rPr>
          <w:rStyle w:val="FootnoteReference"/>
          <w:rFonts w:cs="Arabic Transparent"/>
          <w:rtl/>
        </w:rPr>
        <w:footnoteReference w:id="34"/>
      </w:r>
      <w:r w:rsidRPr="00DA75F8">
        <w:rPr>
          <w:vertAlign w:val="superscript"/>
          <w:rtl/>
        </w:rPr>
        <w:t>)</w:t>
      </w:r>
    </w:p>
    <w:p w:rsidR="005F44B2" w:rsidRPr="00DA75F8" w:rsidRDefault="005F44B2" w:rsidP="007B6769">
      <w:pPr>
        <w:pStyle w:val="a"/>
        <w:numPr>
          <w:ilvl w:val="0"/>
          <w:numId w:val="31"/>
        </w:numPr>
        <w:rPr>
          <w:rtl/>
        </w:rPr>
      </w:pPr>
      <w:r w:rsidRPr="00DA75F8">
        <w:rPr>
          <w:rFonts w:hint="cs"/>
          <w:rtl/>
        </w:rPr>
        <w:t>كتاب</w:t>
      </w:r>
      <w:r w:rsidRPr="00DA75F8">
        <w:rPr>
          <w:rtl/>
        </w:rPr>
        <w:t>: حاشية على شرح التقرير والتحبير لابن أمير الحاج على التحرير لابن اله</w:t>
      </w:r>
      <w:r w:rsidRPr="00DA75F8">
        <w:rPr>
          <w:rFonts w:hint="cs"/>
          <w:rtl/>
        </w:rPr>
        <w:t>مام</w:t>
      </w:r>
      <w:r w:rsidRPr="00DA75F8">
        <w:rPr>
          <w:rtl/>
        </w:rPr>
        <w:t xml:space="preserve"> (مخطوط)</w:t>
      </w:r>
      <w:r w:rsidRPr="00DA75F8">
        <w:rPr>
          <w:vertAlign w:val="superscript"/>
          <w:rtl/>
        </w:rPr>
        <w:t>(</w:t>
      </w:r>
      <w:r w:rsidRPr="00DA75F8">
        <w:rPr>
          <w:rStyle w:val="FootnoteReference"/>
          <w:rFonts w:cs="Arabic Transparent"/>
          <w:rtl/>
        </w:rPr>
        <w:footnoteReference w:id="35"/>
      </w:r>
      <w:r w:rsidRPr="00DA75F8">
        <w:rPr>
          <w:vertAlign w:val="superscript"/>
          <w:rtl/>
        </w:rPr>
        <w:t>)</w:t>
      </w:r>
    </w:p>
    <w:p w:rsidR="005F44B2" w:rsidRPr="00DA75F8" w:rsidRDefault="005F44B2" w:rsidP="008171A1">
      <w:pPr>
        <w:pStyle w:val="NoSpacing"/>
        <w:rPr>
          <w:rtl/>
        </w:rPr>
      </w:pPr>
      <w:r w:rsidRPr="00DA75F8">
        <w:rPr>
          <w:rFonts w:hint="cs"/>
          <w:rtl/>
        </w:rPr>
        <w:t>علم</w:t>
      </w:r>
      <w:r w:rsidRPr="00DA75F8">
        <w:rPr>
          <w:rtl/>
        </w:rPr>
        <w:t xml:space="preserve"> التفسير</w:t>
      </w:r>
    </w:p>
    <w:p w:rsidR="005F44B2" w:rsidRPr="00DA75F8" w:rsidRDefault="005F44B2" w:rsidP="007B6769">
      <w:pPr>
        <w:pStyle w:val="a"/>
        <w:numPr>
          <w:ilvl w:val="0"/>
          <w:numId w:val="31"/>
        </w:numPr>
      </w:pPr>
      <w:r w:rsidRPr="00DA75F8">
        <w:rPr>
          <w:rFonts w:hint="cs"/>
          <w:rtl/>
        </w:rPr>
        <w:t>كتاب</w:t>
      </w:r>
      <w:r w:rsidRPr="00DA75F8">
        <w:rPr>
          <w:rtl/>
        </w:rPr>
        <w:t>: حاشية على تفسير البيضاوي (لم يعثر عليه)</w:t>
      </w:r>
      <w:r w:rsidRPr="00DA75F8">
        <w:rPr>
          <w:vertAlign w:val="superscript"/>
          <w:rtl/>
        </w:rPr>
        <w:t>(</w:t>
      </w:r>
      <w:r w:rsidRPr="00DA75F8">
        <w:rPr>
          <w:rStyle w:val="FootnoteReference"/>
          <w:rFonts w:cs="Arabic Transparent"/>
          <w:rtl/>
        </w:rPr>
        <w:footnoteReference w:id="36"/>
      </w:r>
      <w:r w:rsidRPr="00DA75F8">
        <w:rPr>
          <w:vertAlign w:val="superscript"/>
          <w:rtl/>
        </w:rPr>
        <w:t>)</w:t>
      </w:r>
    </w:p>
    <w:p w:rsidR="005F44B2" w:rsidRPr="00DA75F8" w:rsidRDefault="005F44B2" w:rsidP="008171A1">
      <w:pPr>
        <w:pStyle w:val="NoSpacing"/>
        <w:rPr>
          <w:rtl/>
        </w:rPr>
      </w:pPr>
      <w:r w:rsidRPr="00DA75F8">
        <w:rPr>
          <w:rFonts w:hint="cs"/>
          <w:rtl/>
        </w:rPr>
        <w:t>علم</w:t>
      </w:r>
      <w:r w:rsidRPr="00DA75F8">
        <w:rPr>
          <w:rtl/>
        </w:rPr>
        <w:t xml:space="preserve"> الكلام والعقائد</w:t>
      </w:r>
    </w:p>
    <w:p w:rsidR="005F44B2" w:rsidRPr="00DA75F8" w:rsidRDefault="005F44B2" w:rsidP="007B6769">
      <w:pPr>
        <w:pStyle w:val="a"/>
        <w:numPr>
          <w:ilvl w:val="0"/>
          <w:numId w:val="31"/>
        </w:numPr>
      </w:pPr>
      <w:r w:rsidRPr="00DA75F8">
        <w:rPr>
          <w:rFonts w:hint="cs"/>
          <w:rtl/>
        </w:rPr>
        <w:t>رسالة</w:t>
      </w:r>
      <w:r w:rsidRPr="00DA75F8">
        <w:rPr>
          <w:rtl/>
        </w:rPr>
        <w:t>: رفع الاشتباه عن عبارة الأشباه  (مطبوع)</w:t>
      </w:r>
    </w:p>
    <w:p w:rsidR="005F44B2" w:rsidRPr="00DA75F8" w:rsidRDefault="005F44B2" w:rsidP="007B6769">
      <w:pPr>
        <w:pStyle w:val="a"/>
        <w:numPr>
          <w:ilvl w:val="0"/>
          <w:numId w:val="31"/>
        </w:numPr>
      </w:pPr>
      <w:r w:rsidRPr="00DA75F8">
        <w:rPr>
          <w:rFonts w:hint="cs"/>
          <w:rtl/>
        </w:rPr>
        <w:t>رسالة</w:t>
      </w:r>
      <w:r w:rsidRPr="00DA75F8">
        <w:rPr>
          <w:rtl/>
        </w:rPr>
        <w:t>: تنبيه الولاة والحكام على أحكام شاتم خير الأنام أو أحد أصحابه عليه وعليهم الصلاة والسلام (مطبوع)</w:t>
      </w:r>
    </w:p>
    <w:p w:rsidR="005F44B2" w:rsidRPr="00DA75F8" w:rsidRDefault="005F44B2" w:rsidP="007B6769">
      <w:pPr>
        <w:pStyle w:val="a"/>
        <w:numPr>
          <w:ilvl w:val="0"/>
          <w:numId w:val="31"/>
        </w:numPr>
      </w:pPr>
      <w:r w:rsidRPr="00DA75F8">
        <w:rPr>
          <w:rFonts w:hint="cs"/>
          <w:rtl/>
        </w:rPr>
        <w:t>رسالة</w:t>
      </w:r>
      <w:r w:rsidRPr="00DA75F8">
        <w:rPr>
          <w:rtl/>
        </w:rPr>
        <w:t>: العلم الظاهر في نفع النسب الطاهر (مطبوع)</w:t>
      </w:r>
    </w:p>
    <w:p w:rsidR="005F44B2" w:rsidRPr="00DA75F8" w:rsidRDefault="005F44B2" w:rsidP="008171A1">
      <w:pPr>
        <w:pStyle w:val="NoSpacing"/>
        <w:rPr>
          <w:rtl/>
        </w:rPr>
      </w:pPr>
      <w:r w:rsidRPr="00DA75F8">
        <w:rPr>
          <w:rFonts w:hint="cs"/>
          <w:rtl/>
        </w:rPr>
        <w:t>علم</w:t>
      </w:r>
      <w:r w:rsidRPr="00DA75F8">
        <w:rPr>
          <w:rtl/>
        </w:rPr>
        <w:t xml:space="preserve"> الحديث</w:t>
      </w:r>
    </w:p>
    <w:p w:rsidR="005F44B2" w:rsidRPr="00DA75F8" w:rsidRDefault="005F44B2" w:rsidP="007B6769">
      <w:pPr>
        <w:pStyle w:val="a"/>
        <w:numPr>
          <w:ilvl w:val="0"/>
          <w:numId w:val="31"/>
        </w:numPr>
      </w:pPr>
      <w:r w:rsidRPr="00DA75F8">
        <w:rPr>
          <w:rFonts w:hint="cs"/>
          <w:rtl/>
        </w:rPr>
        <w:t>كتاب</w:t>
      </w:r>
      <w:r w:rsidRPr="00DA75F8">
        <w:rPr>
          <w:rtl/>
        </w:rPr>
        <w:t>: عقود الآلي في الأسانيد العوالي (مطبوع)</w:t>
      </w:r>
    </w:p>
    <w:p w:rsidR="005F44B2" w:rsidRPr="00DA75F8" w:rsidRDefault="005F44B2" w:rsidP="008171A1">
      <w:pPr>
        <w:pStyle w:val="NoSpacing"/>
        <w:rPr>
          <w:rtl/>
        </w:rPr>
      </w:pPr>
      <w:r w:rsidRPr="00DA75F8">
        <w:rPr>
          <w:rFonts w:hint="cs"/>
          <w:rtl/>
        </w:rPr>
        <w:t>علم</w:t>
      </w:r>
      <w:r w:rsidRPr="00DA75F8">
        <w:rPr>
          <w:rtl/>
        </w:rPr>
        <w:t xml:space="preserve"> التصوف</w:t>
      </w:r>
    </w:p>
    <w:p w:rsidR="005F44B2" w:rsidRPr="00DA75F8" w:rsidRDefault="005F44B2" w:rsidP="007B6769">
      <w:pPr>
        <w:pStyle w:val="a"/>
        <w:numPr>
          <w:ilvl w:val="0"/>
          <w:numId w:val="31"/>
        </w:numPr>
      </w:pPr>
      <w:r w:rsidRPr="00DA75F8">
        <w:rPr>
          <w:rFonts w:hint="cs"/>
          <w:rtl/>
        </w:rPr>
        <w:t>رسالة</w:t>
      </w:r>
      <w:r w:rsidRPr="00DA75F8">
        <w:rPr>
          <w:rtl/>
        </w:rPr>
        <w:t>: إجابة الغوث في بيان حال النقباء والنجباء والأبدال والأوتاد والغوث (مطبوع)</w:t>
      </w:r>
    </w:p>
    <w:p w:rsidR="005F44B2" w:rsidRPr="00DA75F8" w:rsidRDefault="005F44B2" w:rsidP="007B6769">
      <w:pPr>
        <w:pStyle w:val="a"/>
        <w:numPr>
          <w:ilvl w:val="0"/>
          <w:numId w:val="31"/>
        </w:numPr>
      </w:pPr>
      <w:r w:rsidRPr="00DA75F8">
        <w:rPr>
          <w:rFonts w:hint="cs"/>
          <w:rtl/>
        </w:rPr>
        <w:t>رسالة</w:t>
      </w:r>
      <w:r w:rsidRPr="00DA75F8">
        <w:rPr>
          <w:rtl/>
        </w:rPr>
        <w:t>: سلّ الحسام الهندي لنصرة مولانا خالد النقسبندي (مطبوع)</w:t>
      </w:r>
    </w:p>
    <w:p w:rsidR="005F44B2" w:rsidRPr="00DA75F8" w:rsidRDefault="005F44B2" w:rsidP="008171A1">
      <w:pPr>
        <w:pStyle w:val="NoSpacing"/>
        <w:rPr>
          <w:rtl/>
        </w:rPr>
      </w:pPr>
      <w:r w:rsidRPr="00DA75F8">
        <w:rPr>
          <w:rFonts w:hint="cs"/>
          <w:rtl/>
        </w:rPr>
        <w:t>علم</w:t>
      </w:r>
      <w:r w:rsidRPr="00DA75F8">
        <w:rPr>
          <w:rtl/>
        </w:rPr>
        <w:t xml:space="preserve"> العربية</w:t>
      </w:r>
    </w:p>
    <w:p w:rsidR="005F44B2" w:rsidRPr="00DA75F8" w:rsidRDefault="005F44B2" w:rsidP="007B6769">
      <w:pPr>
        <w:pStyle w:val="a"/>
        <w:numPr>
          <w:ilvl w:val="0"/>
          <w:numId w:val="31"/>
        </w:numPr>
      </w:pPr>
      <w:r w:rsidRPr="00DA75F8">
        <w:rPr>
          <w:rFonts w:hint="cs"/>
          <w:rtl/>
        </w:rPr>
        <w:t>رسالة</w:t>
      </w:r>
      <w:r w:rsidRPr="00DA75F8">
        <w:rPr>
          <w:rtl/>
        </w:rPr>
        <w:t>: الفوائد العجيبة في إعراب الكلمات الغربية (مطبوع)</w:t>
      </w:r>
    </w:p>
    <w:p w:rsidR="005F44B2" w:rsidRPr="00DA75F8" w:rsidRDefault="005F44B2" w:rsidP="007B6769">
      <w:pPr>
        <w:pStyle w:val="a"/>
        <w:numPr>
          <w:ilvl w:val="0"/>
          <w:numId w:val="31"/>
        </w:numPr>
      </w:pPr>
      <w:r w:rsidRPr="00DA75F8">
        <w:rPr>
          <w:rFonts w:hint="cs"/>
          <w:rtl/>
        </w:rPr>
        <w:t>رسالة</w:t>
      </w:r>
      <w:r w:rsidRPr="00DA75F8">
        <w:rPr>
          <w:rtl/>
        </w:rPr>
        <w:t>: فتح رب الأرباب على لب الألباب شرح نبذة الإعراب (مخطوط)</w:t>
      </w:r>
      <w:r w:rsidRPr="00DA75F8">
        <w:rPr>
          <w:vertAlign w:val="superscript"/>
          <w:rtl/>
        </w:rPr>
        <w:t>(</w:t>
      </w:r>
      <w:r w:rsidRPr="00DA75F8">
        <w:rPr>
          <w:rStyle w:val="FootnoteReference"/>
          <w:rFonts w:cs="Arabic Transparent"/>
          <w:rtl/>
        </w:rPr>
        <w:footnoteReference w:id="37"/>
      </w:r>
      <w:r w:rsidRPr="00DA75F8">
        <w:rPr>
          <w:vertAlign w:val="superscript"/>
          <w:rtl/>
        </w:rPr>
        <w:t>)</w:t>
      </w:r>
    </w:p>
    <w:p w:rsidR="005F44B2" w:rsidRPr="00DA75F8" w:rsidRDefault="005F44B2" w:rsidP="007B6769">
      <w:pPr>
        <w:pStyle w:val="a"/>
        <w:numPr>
          <w:ilvl w:val="0"/>
          <w:numId w:val="31"/>
        </w:numPr>
      </w:pPr>
      <w:r w:rsidRPr="00DA75F8">
        <w:rPr>
          <w:rFonts w:hint="cs"/>
          <w:rtl/>
        </w:rPr>
        <w:t>رسالة</w:t>
      </w:r>
      <w:r w:rsidRPr="00DA75F8">
        <w:rPr>
          <w:rtl/>
        </w:rPr>
        <w:t>: الدرر المضيئة في شرح نظم الأبحر الشعرية (مخطوط)</w:t>
      </w:r>
      <w:r w:rsidRPr="00DA75F8">
        <w:rPr>
          <w:rStyle w:val="FootnoteReference"/>
          <w:rFonts w:cs="Arabic Transparent"/>
          <w:rtl/>
        </w:rPr>
        <w:t>(</w:t>
      </w:r>
      <w:r w:rsidRPr="00DA75F8">
        <w:rPr>
          <w:rStyle w:val="FootnoteReference"/>
          <w:rFonts w:cs="Arabic Transparent"/>
          <w:rtl/>
        </w:rPr>
        <w:footnoteReference w:id="38"/>
      </w:r>
      <w:r w:rsidRPr="00DA75F8">
        <w:rPr>
          <w:rStyle w:val="FootnoteReference"/>
          <w:rFonts w:cs="Arabic Transparent"/>
          <w:rtl/>
        </w:rPr>
        <w:t>)</w:t>
      </w:r>
    </w:p>
    <w:p w:rsidR="005F44B2" w:rsidRPr="00DA75F8" w:rsidRDefault="005F44B2" w:rsidP="007B6769">
      <w:pPr>
        <w:pStyle w:val="a"/>
        <w:numPr>
          <w:ilvl w:val="0"/>
          <w:numId w:val="31"/>
        </w:numPr>
      </w:pPr>
      <w:r w:rsidRPr="00DA75F8">
        <w:rPr>
          <w:rFonts w:hint="cs"/>
          <w:rtl/>
        </w:rPr>
        <w:t>كتاب</w:t>
      </w:r>
      <w:r w:rsidRPr="00DA75F8">
        <w:rPr>
          <w:rtl/>
        </w:rPr>
        <w:t>: شرح الكافي في العروض والقوافي  (لم يعثر عليه)</w:t>
      </w:r>
      <w:r w:rsidRPr="00DA75F8">
        <w:rPr>
          <w:vertAlign w:val="superscript"/>
          <w:rtl/>
        </w:rPr>
        <w:t>(</w:t>
      </w:r>
      <w:r w:rsidRPr="00DA75F8">
        <w:rPr>
          <w:rStyle w:val="FootnoteReference"/>
          <w:rFonts w:cs="Arabic Transparent"/>
          <w:rtl/>
        </w:rPr>
        <w:footnoteReference w:id="39"/>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مق</w:t>
      </w:r>
      <w:r w:rsidRPr="00DA75F8">
        <w:rPr>
          <w:rFonts w:hint="cs"/>
          <w:rtl/>
        </w:rPr>
        <w:t>امات</w:t>
      </w:r>
      <w:r w:rsidRPr="00DA75F8">
        <w:rPr>
          <w:rtl/>
        </w:rPr>
        <w:t xml:space="preserve"> في مدح الشيخ شاكر ا</w:t>
      </w:r>
      <w:r w:rsidRPr="00DA75F8">
        <w:rPr>
          <w:rFonts w:hint="cs"/>
          <w:rtl/>
        </w:rPr>
        <w:t>لعقاد</w:t>
      </w:r>
      <w:r w:rsidRPr="00DA75F8">
        <w:rPr>
          <w:rtl/>
        </w:rPr>
        <w:t xml:space="preserve"> (مطبوع)</w:t>
      </w:r>
    </w:p>
    <w:p w:rsidR="005F44B2" w:rsidRPr="00DA75F8" w:rsidRDefault="005F44B2" w:rsidP="007B6769">
      <w:pPr>
        <w:pStyle w:val="a"/>
        <w:numPr>
          <w:ilvl w:val="0"/>
          <w:numId w:val="31"/>
        </w:numPr>
      </w:pPr>
      <w:r w:rsidRPr="00DA75F8">
        <w:rPr>
          <w:rFonts w:hint="cs"/>
          <w:rtl/>
        </w:rPr>
        <w:t>كتاب</w:t>
      </w:r>
      <w:r w:rsidRPr="00DA75F8">
        <w:rPr>
          <w:rtl/>
        </w:rPr>
        <w:t>: مجموع النفائس والنوادر (لم يعثر عليه)</w:t>
      </w:r>
      <w:r w:rsidRPr="00DA75F8">
        <w:rPr>
          <w:vertAlign w:val="superscript"/>
          <w:rtl/>
        </w:rPr>
        <w:t>(</w:t>
      </w:r>
      <w:r w:rsidRPr="00DA75F8">
        <w:rPr>
          <w:rStyle w:val="FootnoteReference"/>
          <w:rFonts w:cs="Arabic Transparent"/>
          <w:rtl/>
        </w:rPr>
        <w:footnoteReference w:id="40"/>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حاشية على المطول (لم يعثر عليه)</w:t>
      </w:r>
      <w:r w:rsidRPr="00DA75F8">
        <w:rPr>
          <w:vertAlign w:val="superscript"/>
          <w:rtl/>
        </w:rPr>
        <w:t>(</w:t>
      </w:r>
      <w:r w:rsidRPr="00DA75F8">
        <w:rPr>
          <w:rStyle w:val="FootnoteReference"/>
          <w:rFonts w:cs="Arabic Transparent"/>
          <w:rtl/>
        </w:rPr>
        <w:footnoteReference w:id="41"/>
      </w:r>
      <w:r w:rsidRPr="00DA75F8">
        <w:rPr>
          <w:vertAlign w:val="superscript"/>
          <w:rtl/>
        </w:rPr>
        <w:t>)</w:t>
      </w:r>
    </w:p>
    <w:p w:rsidR="005F44B2" w:rsidRPr="00DA75F8" w:rsidRDefault="005F44B2" w:rsidP="008171A1">
      <w:pPr>
        <w:pStyle w:val="NoSpacing"/>
        <w:rPr>
          <w:rtl/>
        </w:rPr>
      </w:pPr>
      <w:r w:rsidRPr="00DA75F8">
        <w:rPr>
          <w:rFonts w:hint="cs"/>
          <w:rtl/>
        </w:rPr>
        <w:t>علم</w:t>
      </w:r>
      <w:r w:rsidRPr="00DA75F8">
        <w:rPr>
          <w:rtl/>
        </w:rPr>
        <w:t xml:space="preserve"> التاريخ</w:t>
      </w:r>
    </w:p>
    <w:p w:rsidR="005F44B2" w:rsidRPr="00DA75F8" w:rsidRDefault="005F44B2" w:rsidP="007B6769">
      <w:pPr>
        <w:pStyle w:val="a"/>
        <w:numPr>
          <w:ilvl w:val="0"/>
          <w:numId w:val="31"/>
        </w:numPr>
      </w:pPr>
      <w:r w:rsidRPr="00DA75F8">
        <w:rPr>
          <w:rFonts w:hint="cs"/>
          <w:rtl/>
        </w:rPr>
        <w:t>رسالة</w:t>
      </w:r>
      <w:r w:rsidRPr="00DA75F8">
        <w:rPr>
          <w:rtl/>
        </w:rPr>
        <w:t>: قصة مولد النبوي (لم يعثر عليه)</w:t>
      </w:r>
      <w:r w:rsidRPr="00DA75F8">
        <w:rPr>
          <w:vertAlign w:val="superscript"/>
          <w:rtl/>
        </w:rPr>
        <w:t>(</w:t>
      </w:r>
      <w:r w:rsidRPr="00DA75F8">
        <w:rPr>
          <w:rStyle w:val="FootnoteReference"/>
          <w:rFonts w:cs="Arabic Transparent"/>
          <w:rtl/>
        </w:rPr>
        <w:footnoteReference w:id="42"/>
      </w:r>
      <w:r w:rsidRPr="00DA75F8">
        <w:rPr>
          <w:vertAlign w:val="superscript"/>
          <w:rtl/>
        </w:rPr>
        <w:t>)</w:t>
      </w:r>
    </w:p>
    <w:p w:rsidR="005F44B2" w:rsidRPr="00DA75F8" w:rsidRDefault="005F44B2" w:rsidP="007B6769">
      <w:pPr>
        <w:pStyle w:val="a"/>
        <w:numPr>
          <w:ilvl w:val="0"/>
          <w:numId w:val="31"/>
        </w:numPr>
      </w:pPr>
      <w:r w:rsidRPr="00DA75F8">
        <w:rPr>
          <w:rFonts w:hint="cs"/>
          <w:rtl/>
        </w:rPr>
        <w:t>كتاب</w:t>
      </w:r>
      <w:r w:rsidRPr="00DA75F8">
        <w:rPr>
          <w:rtl/>
        </w:rPr>
        <w:t>: ذيل سلك الدرر (لم يعثر عليه)</w:t>
      </w:r>
      <w:r w:rsidRPr="00DA75F8">
        <w:rPr>
          <w:vertAlign w:val="superscript"/>
          <w:rtl/>
        </w:rPr>
        <w:t>(</w:t>
      </w:r>
      <w:r w:rsidRPr="00DA75F8">
        <w:rPr>
          <w:rStyle w:val="FootnoteReference"/>
          <w:rFonts w:cs="Arabic Transparent"/>
          <w:rtl/>
        </w:rPr>
        <w:footnoteReference w:id="43"/>
      </w:r>
      <w:r w:rsidRPr="00DA75F8">
        <w:rPr>
          <w:vertAlign w:val="superscript"/>
          <w:rtl/>
        </w:rPr>
        <w:t>)</w:t>
      </w:r>
    </w:p>
    <w:p w:rsidR="005F44B2" w:rsidRPr="00DA75F8" w:rsidRDefault="005F44B2" w:rsidP="008171A1">
      <w:pPr>
        <w:pStyle w:val="NoSpacing"/>
        <w:rPr>
          <w:rtl/>
        </w:rPr>
      </w:pPr>
      <w:r w:rsidRPr="00DA75F8">
        <w:rPr>
          <w:rFonts w:hint="cs"/>
          <w:rtl/>
        </w:rPr>
        <w:t>علم</w:t>
      </w:r>
      <w:r w:rsidRPr="00DA75F8">
        <w:rPr>
          <w:rtl/>
        </w:rPr>
        <w:t xml:space="preserve"> الحساب</w:t>
      </w:r>
    </w:p>
    <w:p w:rsidR="005F44B2" w:rsidRPr="00DA75F8" w:rsidRDefault="005F44B2" w:rsidP="007B6769">
      <w:pPr>
        <w:pStyle w:val="a"/>
        <w:numPr>
          <w:ilvl w:val="0"/>
          <w:numId w:val="31"/>
        </w:numPr>
        <w:rPr>
          <w:szCs w:val="32"/>
          <w:rtl/>
        </w:rPr>
      </w:pPr>
      <w:r w:rsidRPr="00DA75F8">
        <w:rPr>
          <w:rFonts w:hint="cs"/>
          <w:rtl/>
        </w:rPr>
        <w:t>رسالة</w:t>
      </w:r>
      <w:r w:rsidRPr="00DA75F8">
        <w:rPr>
          <w:rtl/>
        </w:rPr>
        <w:t>: مناهل السرور لمبتغي الحساب بالكسور (مطبوع)</w:t>
      </w:r>
    </w:p>
    <w:p w:rsidR="005F44B2" w:rsidRPr="00DA75F8" w:rsidRDefault="005F44B2" w:rsidP="007B6769">
      <w:pPr>
        <w:pStyle w:val="a0"/>
        <w:rPr>
          <w:rtl/>
        </w:rPr>
      </w:pPr>
    </w:p>
    <w:p w:rsidR="005F44B2" w:rsidRPr="00DA75F8" w:rsidRDefault="005F44B2" w:rsidP="005E6A96">
      <w:pPr>
        <w:pStyle w:val="a2"/>
        <w:rPr>
          <w:noProof/>
          <w:rtl/>
        </w:rPr>
      </w:pPr>
      <w:bookmarkStart w:id="10" w:name="_Toc447092552"/>
      <w:r w:rsidRPr="00DA75F8">
        <w:rPr>
          <w:rFonts w:hint="cs"/>
          <w:noProof/>
          <w:rtl/>
        </w:rPr>
        <w:t>المبحثالثالني</w:t>
      </w:r>
      <w:r w:rsidRPr="00DA75F8">
        <w:rPr>
          <w:noProof/>
          <w:rtl/>
        </w:rPr>
        <w:t>: الملامح العامة ل</w:t>
      </w:r>
      <w:r w:rsidRPr="00DA75F8">
        <w:rPr>
          <w:rFonts w:hint="cs"/>
          <w:noProof/>
          <w:rtl/>
        </w:rPr>
        <w:t>لعصر</w:t>
      </w:r>
      <w:r w:rsidRPr="00DA75F8">
        <w:rPr>
          <w:noProof/>
          <w:rtl/>
        </w:rPr>
        <w:t xml:space="preserve"> الذي عاش فيه ابن عابدين وأثرها عليه</w:t>
      </w:r>
      <w:bookmarkEnd w:id="10"/>
    </w:p>
    <w:p w:rsidR="005F44B2" w:rsidRPr="00DA75F8" w:rsidRDefault="005F44B2" w:rsidP="007B6769">
      <w:pPr>
        <w:pStyle w:val="a0"/>
      </w:pPr>
      <w:r w:rsidRPr="00DA75F8">
        <w:rPr>
          <w:rFonts w:hint="cs"/>
          <w:rtl/>
        </w:rPr>
        <w:t>يتكوّن</w:t>
      </w:r>
      <w:r w:rsidRPr="00DA75F8">
        <w:rPr>
          <w:rtl/>
        </w:rPr>
        <w:t xml:space="preserve"> هذا المبحث من مطلبين، وسيذكر الباحث في المطلب الأول الحالة السياسية العامة في الدولة العثمانية في عصر ابن عابدين وفي المطل</w:t>
      </w:r>
      <w:r w:rsidRPr="00DA75F8">
        <w:rPr>
          <w:rFonts w:hint="cs"/>
          <w:rtl/>
        </w:rPr>
        <w:t>ب</w:t>
      </w:r>
      <w:r w:rsidRPr="00DA75F8">
        <w:rPr>
          <w:rtl/>
        </w:rPr>
        <w:t xml:space="preserve"> الثاني </w:t>
      </w:r>
      <w:r w:rsidRPr="00DA75F8">
        <w:rPr>
          <w:rFonts w:hint="cs"/>
          <w:noProof/>
          <w:sz w:val="26"/>
          <w:szCs w:val="26"/>
          <w:rtl/>
        </w:rPr>
        <w:t>الحياة</w:t>
      </w:r>
      <w:r w:rsidRPr="00DA75F8">
        <w:rPr>
          <w:noProof/>
          <w:sz w:val="26"/>
          <w:szCs w:val="26"/>
          <w:rtl/>
        </w:rPr>
        <w:t xml:space="preserve"> السياسية والإجتماعية في زمن ابن عابدين وأثرها عليه.</w:t>
      </w:r>
    </w:p>
    <w:p w:rsidR="005F44B2" w:rsidRPr="00DA75F8" w:rsidRDefault="005F44B2" w:rsidP="005E6A96">
      <w:pPr>
        <w:pStyle w:val="a3"/>
        <w:rPr>
          <w:noProof/>
          <w:rtl/>
        </w:rPr>
      </w:pPr>
      <w:r w:rsidRPr="00DA75F8">
        <w:rPr>
          <w:noProof/>
          <w:rtl/>
        </w:rPr>
        <w:tab/>
      </w:r>
      <w:bookmarkStart w:id="11" w:name="_Toc447092553"/>
      <w:r w:rsidRPr="00DA75F8">
        <w:rPr>
          <w:rFonts w:hint="cs"/>
          <w:noProof/>
          <w:rtl/>
        </w:rPr>
        <w:t>المطلب</w:t>
      </w:r>
      <w:r w:rsidRPr="00DA75F8">
        <w:rPr>
          <w:noProof/>
          <w:rtl/>
        </w:rPr>
        <w:t xml:space="preserve"> الأول: الحالة السياسية العامة في الدولة العثمانية في عصر ابن عابدين</w:t>
      </w:r>
      <w:bookmarkEnd w:id="11"/>
    </w:p>
    <w:p w:rsidR="005F44B2" w:rsidRPr="00DA75F8" w:rsidRDefault="005F44B2" w:rsidP="007B6769">
      <w:pPr>
        <w:pStyle w:val="a0"/>
        <w:rPr>
          <w:rtl/>
        </w:rPr>
      </w:pPr>
      <w:r w:rsidRPr="00DA75F8">
        <w:rPr>
          <w:rFonts w:hint="cs"/>
          <w:rtl/>
        </w:rPr>
        <w:t>عصر</w:t>
      </w:r>
      <w:r w:rsidRPr="00DA75F8">
        <w:rPr>
          <w:rtl/>
        </w:rPr>
        <w:t xml:space="preserve"> ابن عابدين هو نهاية القرن الثامن عشر وبداية القرن التاسع عشر الميلادي (1784 - 1836) الموافق لنهاية القرن الثاني عشر حتى نصف الثالث عشر الهجري (1198 - 1252)، هذه السنوات كانت بداية إنهيار الدولة العثمانية سياسيًا، وقد حكم الدولة في هذه السنوات أربعة سلاطين: </w:t>
      </w:r>
    </w:p>
    <w:p w:rsidR="005F44B2" w:rsidRPr="00DA75F8" w:rsidRDefault="005F44B2" w:rsidP="007B6769">
      <w:pPr>
        <w:pStyle w:val="a0"/>
        <w:rPr>
          <w:rtl/>
        </w:rPr>
      </w:pPr>
      <w:r w:rsidRPr="00DA75F8">
        <w:rPr>
          <w:rFonts w:hint="cs"/>
          <w:rtl/>
        </w:rPr>
        <w:t>عبد</w:t>
      </w:r>
      <w:r w:rsidRPr="00DA75F8">
        <w:rPr>
          <w:rtl/>
        </w:rPr>
        <w:t xml:space="preserve"> الحميد الأول الذي حكم الدولة خمسة عشر سنة، وكانت بين 1774م و1789م، ثم جلس سليم الثالث على العرش بعد عبد الحميد الأول وحكم الدولة ثمانية عشر سنة، حتى 1807م، وبعده حكم الدولة مصطفى الرابع وقتل في عام 1808م، ثم جلس على العرش محمود ا</w:t>
      </w:r>
      <w:r w:rsidRPr="00DA75F8">
        <w:rPr>
          <w:rFonts w:hint="cs"/>
          <w:rtl/>
        </w:rPr>
        <w:t>لثاني</w:t>
      </w:r>
      <w:r w:rsidRPr="00DA75F8">
        <w:rPr>
          <w:rtl/>
        </w:rPr>
        <w:t xml:space="preserve"> الذي توفي ابن عابد</w:t>
      </w:r>
      <w:r w:rsidRPr="00DA75F8">
        <w:rPr>
          <w:rFonts w:hint="cs"/>
          <w:rtl/>
        </w:rPr>
        <w:t>ين</w:t>
      </w:r>
      <w:r w:rsidRPr="00DA75F8">
        <w:rPr>
          <w:rtl/>
        </w:rPr>
        <w:t xml:space="preserve"> في زمن سلطنته، وإليك التفصيل عن السلاطين:</w:t>
      </w:r>
    </w:p>
    <w:p w:rsidR="005F44B2" w:rsidRPr="00DA75F8" w:rsidRDefault="005F44B2" w:rsidP="008171A1">
      <w:pPr>
        <w:pStyle w:val="NoSpacing"/>
        <w:numPr>
          <w:ilvl w:val="0"/>
          <w:numId w:val="11"/>
        </w:numPr>
        <w:rPr>
          <w:rtl/>
        </w:rPr>
      </w:pPr>
      <w:r w:rsidRPr="00DA75F8">
        <w:rPr>
          <w:rFonts w:hint="cs"/>
          <w:rtl/>
        </w:rPr>
        <w:t>أولاً</w:t>
      </w:r>
      <w:r w:rsidRPr="00DA75F8">
        <w:rPr>
          <w:rtl/>
        </w:rPr>
        <w:t>: السلطان عبد الحميد الأول:</w:t>
      </w:r>
    </w:p>
    <w:p w:rsidR="005F44B2" w:rsidRPr="00DA75F8" w:rsidRDefault="005F44B2" w:rsidP="007B6769">
      <w:pPr>
        <w:pStyle w:val="a0"/>
        <w:rPr>
          <w:rtl/>
        </w:rPr>
      </w:pPr>
      <w:r w:rsidRPr="00DA75F8">
        <w:rPr>
          <w:rFonts w:hint="cs"/>
          <w:rtl/>
        </w:rPr>
        <w:t>أصبح</w:t>
      </w:r>
      <w:r w:rsidRPr="00DA75F8">
        <w:rPr>
          <w:rtl/>
        </w:rPr>
        <w:t xml:space="preserve"> سلطانًا في 21 يناير 1774م وكان عمره تسعة وأربعين عامًا، وفي هذا الزمان كانت الدولة العثمانية في وضع متأزّم، فكانت أولى قراراته أن ينهي الحرب م</w:t>
      </w:r>
      <w:r w:rsidRPr="00DA75F8">
        <w:rPr>
          <w:rFonts w:hint="cs"/>
          <w:rtl/>
        </w:rPr>
        <w:t>ع</w:t>
      </w:r>
      <w:r w:rsidRPr="00DA75F8">
        <w:rPr>
          <w:rtl/>
        </w:rPr>
        <w:t xml:space="preserve"> روسية والتي كانت قائمة منذ خمس سنوات ولكن الجيش العثماني انهزم أمام روسية فوقّع على المعاهدة معها المعروفة بمعاهدة (قينارجة) في عام 1777، وبعد المعاهدة اتجه إلى الشؤون الداخلية وقمع الخارجين على الدولة في مناطق مختلفة.</w:t>
      </w:r>
    </w:p>
    <w:p w:rsidR="005F44B2" w:rsidRPr="00DA75F8" w:rsidRDefault="005F44B2" w:rsidP="007B6769">
      <w:pPr>
        <w:pStyle w:val="a0"/>
        <w:rPr>
          <w:rtl/>
        </w:rPr>
      </w:pPr>
      <w:r w:rsidRPr="00DA75F8">
        <w:rPr>
          <w:rFonts w:hint="cs"/>
          <w:rtl/>
        </w:rPr>
        <w:t>أثناء</w:t>
      </w:r>
      <w:r w:rsidRPr="00DA75F8">
        <w:rPr>
          <w:rtl/>
        </w:rPr>
        <w:t xml:space="preserve"> هذه الحوادث تراجعت صحته، وفي يوم 11 رجب 1203هـ (7 أبريل 1789) أصابه شلل وتوفي</w:t>
      </w:r>
      <w:r w:rsidRPr="00DA75F8">
        <w:rPr>
          <w:vertAlign w:val="superscript"/>
          <w:rtl/>
        </w:rPr>
        <w:t>(</w:t>
      </w:r>
      <w:r w:rsidRPr="00DA75F8">
        <w:rPr>
          <w:rStyle w:val="FootnoteReference"/>
          <w:rFonts w:cs="Arabic Transparent"/>
          <w:rtl/>
        </w:rPr>
        <w:footnoteReference w:id="44"/>
      </w:r>
      <w:r w:rsidRPr="00DA75F8">
        <w:rPr>
          <w:vertAlign w:val="superscript"/>
          <w:rtl/>
        </w:rPr>
        <w:t>)</w:t>
      </w:r>
      <w:r w:rsidRPr="00DA75F8">
        <w:rPr>
          <w:rtl/>
        </w:rPr>
        <w:t>.</w:t>
      </w:r>
    </w:p>
    <w:p w:rsidR="005F44B2" w:rsidRPr="00DA75F8" w:rsidRDefault="005F44B2" w:rsidP="008171A1">
      <w:pPr>
        <w:pStyle w:val="NoSpacing"/>
        <w:numPr>
          <w:ilvl w:val="0"/>
          <w:numId w:val="11"/>
        </w:numPr>
        <w:rPr>
          <w:rtl/>
        </w:rPr>
      </w:pPr>
      <w:r w:rsidRPr="00DA75F8">
        <w:rPr>
          <w:rFonts w:hint="cs"/>
          <w:rtl/>
        </w:rPr>
        <w:t>ثانيًا</w:t>
      </w:r>
      <w:r w:rsidRPr="00DA75F8">
        <w:rPr>
          <w:rtl/>
        </w:rPr>
        <w:t>: السلطان سليم الثالث:</w:t>
      </w:r>
    </w:p>
    <w:p w:rsidR="005F44B2" w:rsidRPr="00DA75F8" w:rsidRDefault="005F44B2" w:rsidP="007B6769">
      <w:pPr>
        <w:pStyle w:val="a0"/>
        <w:rPr>
          <w:rtl/>
        </w:rPr>
      </w:pPr>
      <w:r w:rsidRPr="00DA75F8">
        <w:rPr>
          <w:rFonts w:hint="cs"/>
          <w:rtl/>
        </w:rPr>
        <w:t>ولد</w:t>
      </w:r>
      <w:r w:rsidRPr="00DA75F8">
        <w:rPr>
          <w:rtl/>
        </w:rPr>
        <w:t xml:space="preserve"> السلطان سليم الثالث في 27 جمادي الأول 1175 (24 ديسمير 1761)، أدخله أبوه مصطفى ال</w:t>
      </w:r>
      <w:r w:rsidRPr="00DA75F8">
        <w:rPr>
          <w:rFonts w:hint="cs"/>
          <w:rtl/>
        </w:rPr>
        <w:t>ثالث</w:t>
      </w:r>
      <w:r w:rsidRPr="00DA75F8">
        <w:rPr>
          <w:rtl/>
        </w:rPr>
        <w:t xml:space="preserve"> في أمور الدولة ومرّسه عليها منذ طفولته، وعند جلوسه على العرش في سنة 11 رجب 1203 (7 أبريل 1789) كان عمره ثمانية وعشرون، بعد جلوسه على العرش حاول أن ينهي الحرب مع روسية ولكنه لم يستطع وعقد معاهدة معها، وبعد ذلك بدأ يجدّد بعض الأمور في الجيش ولكن لم يُتحصَّل على النجاح المطلوب من التجديد.</w:t>
      </w:r>
    </w:p>
    <w:p w:rsidR="005F44B2" w:rsidRPr="00DA75F8" w:rsidRDefault="005F44B2" w:rsidP="007B6769">
      <w:pPr>
        <w:pStyle w:val="a0"/>
        <w:rPr>
          <w:rtl/>
        </w:rPr>
      </w:pPr>
      <w:r w:rsidRPr="00DA75F8">
        <w:rPr>
          <w:rFonts w:hint="cs"/>
          <w:rtl/>
        </w:rPr>
        <w:t>في</w:t>
      </w:r>
      <w:r w:rsidRPr="00DA75F8">
        <w:rPr>
          <w:rtl/>
        </w:rPr>
        <w:t xml:space="preserve"> تلك الأثناء هجم نابليون بونابرت على مصر وفتحها في يوليو 1798، وهذا سبّب اتّفاق العثمانيين مع الروس والإنجليز، فأخرجوا الفرنسيين من مصر في عام 1802. </w:t>
      </w:r>
    </w:p>
    <w:p w:rsidR="005F44B2" w:rsidRPr="00DA75F8" w:rsidRDefault="005F44B2" w:rsidP="007B6769">
      <w:pPr>
        <w:pStyle w:val="a0"/>
        <w:rPr>
          <w:rtl/>
        </w:rPr>
      </w:pPr>
      <w:r w:rsidRPr="00DA75F8">
        <w:rPr>
          <w:rFonts w:hint="cs"/>
          <w:rtl/>
        </w:rPr>
        <w:t>كان</w:t>
      </w:r>
      <w:r w:rsidRPr="00DA75F8">
        <w:rPr>
          <w:rtl/>
        </w:rPr>
        <w:t xml:space="preserve"> السلطان سليم إصلاحيًا ومجددًا، ولكنه عُز</w:t>
      </w:r>
      <w:r w:rsidRPr="00DA75F8">
        <w:rPr>
          <w:rFonts w:hint="cs"/>
          <w:rtl/>
        </w:rPr>
        <w:t>ل</w:t>
      </w:r>
      <w:r w:rsidRPr="00DA75F8">
        <w:rPr>
          <w:rtl/>
        </w:rPr>
        <w:t xml:space="preserve"> في 17-21 ربيع الأول 1222 (25-29 مايو 1807) من قبل بعض قادة الجيش والشعب الذين كانوا ضد الإصلاحات، وقُتل في 4 جمادي الأول 1223 (28 يوليو 1808) وجاء مكانه السلطان مصطفى الرابع</w:t>
      </w:r>
      <w:r w:rsidRPr="00DA75F8">
        <w:rPr>
          <w:vertAlign w:val="superscript"/>
          <w:rtl/>
        </w:rPr>
        <w:t>(</w:t>
      </w:r>
      <w:r w:rsidRPr="00DA75F8">
        <w:rPr>
          <w:rStyle w:val="FootnoteReference"/>
          <w:rFonts w:cs="Arabic Transparent"/>
          <w:rtl/>
        </w:rPr>
        <w:footnoteReference w:id="45"/>
      </w:r>
      <w:r w:rsidRPr="00DA75F8">
        <w:rPr>
          <w:vertAlign w:val="superscript"/>
          <w:rtl/>
        </w:rPr>
        <w:t>)</w:t>
      </w:r>
      <w:r w:rsidRPr="00DA75F8">
        <w:rPr>
          <w:rtl/>
        </w:rPr>
        <w:t>.</w:t>
      </w:r>
    </w:p>
    <w:p w:rsidR="005F44B2" w:rsidRPr="00DA75F8" w:rsidRDefault="005F44B2" w:rsidP="008171A1">
      <w:pPr>
        <w:pStyle w:val="NoSpacing"/>
        <w:numPr>
          <w:ilvl w:val="0"/>
          <w:numId w:val="11"/>
        </w:numPr>
        <w:rPr>
          <w:rtl/>
        </w:rPr>
      </w:pPr>
      <w:r w:rsidRPr="00DA75F8">
        <w:rPr>
          <w:rFonts w:hint="cs"/>
          <w:rtl/>
        </w:rPr>
        <w:t>مصطفى</w:t>
      </w:r>
      <w:r w:rsidRPr="00DA75F8">
        <w:rPr>
          <w:rtl/>
        </w:rPr>
        <w:t xml:space="preserve"> الرابع:</w:t>
      </w:r>
    </w:p>
    <w:p w:rsidR="005F44B2" w:rsidRPr="00DA75F8" w:rsidRDefault="005F44B2" w:rsidP="007B6769">
      <w:pPr>
        <w:pStyle w:val="a0"/>
        <w:rPr>
          <w:rtl/>
        </w:rPr>
      </w:pPr>
      <w:r w:rsidRPr="00DA75F8">
        <w:rPr>
          <w:rFonts w:hint="cs"/>
          <w:rtl/>
        </w:rPr>
        <w:t>ولد</w:t>
      </w:r>
      <w:r w:rsidRPr="00DA75F8">
        <w:rPr>
          <w:rtl/>
        </w:rPr>
        <w:t xml:space="preserve"> في 26 شعبان 1193 (8 سبتمبر 1779) وأبوه السلطان عبد الحميد الأول، بعد وفاة أبيه جلس على العرش عمه السلطان سليم الثالث، وبعد عزله أصبح سلطاناً في 21 ربيع الأول 1222 (29 مايو 1807)، كانت الفوضى التي بدأت في عهد السلطان سليم الثالث مستمرةً بسبب الإصلاحات، ولذلك عزل الثائرون مصطفى الرابع وقتلوه في 28 رمضان 1223 ( 17 تشرين الثاني 1808)، وكان لم يمض من عهده أربعة عشر شهرًا فقط</w:t>
      </w:r>
      <w:r w:rsidRPr="00DA75F8">
        <w:rPr>
          <w:vertAlign w:val="superscript"/>
          <w:rtl/>
        </w:rPr>
        <w:t>(</w:t>
      </w:r>
      <w:r w:rsidRPr="00DA75F8">
        <w:rPr>
          <w:rStyle w:val="FootnoteReference"/>
          <w:rFonts w:cs="Arabic Transparent"/>
          <w:rtl/>
        </w:rPr>
        <w:footnoteReference w:id="46"/>
      </w:r>
      <w:r w:rsidRPr="00DA75F8">
        <w:rPr>
          <w:vertAlign w:val="superscript"/>
          <w:rtl/>
        </w:rPr>
        <w:t>)</w:t>
      </w:r>
      <w:r w:rsidRPr="00DA75F8">
        <w:rPr>
          <w:rtl/>
        </w:rPr>
        <w:t>.</w:t>
      </w:r>
    </w:p>
    <w:p w:rsidR="005F44B2" w:rsidRPr="00DA75F8" w:rsidRDefault="005F44B2" w:rsidP="008171A1">
      <w:pPr>
        <w:pStyle w:val="NoSpacing"/>
        <w:numPr>
          <w:ilvl w:val="0"/>
          <w:numId w:val="11"/>
        </w:numPr>
        <w:rPr>
          <w:rtl/>
        </w:rPr>
      </w:pPr>
      <w:r w:rsidRPr="00DA75F8">
        <w:rPr>
          <w:rFonts w:hint="cs"/>
          <w:rtl/>
        </w:rPr>
        <w:t>محمود</w:t>
      </w:r>
      <w:r w:rsidRPr="00DA75F8">
        <w:rPr>
          <w:rtl/>
        </w:rPr>
        <w:t xml:space="preserve"> الثاني:</w:t>
      </w:r>
    </w:p>
    <w:p w:rsidR="005F44B2" w:rsidRPr="00104041" w:rsidRDefault="005F44B2" w:rsidP="00B763B0">
      <w:pPr>
        <w:pStyle w:val="a0"/>
        <w:rPr>
          <w:rtl/>
        </w:rPr>
      </w:pPr>
      <w:r w:rsidRPr="00DA75F8">
        <w:rPr>
          <w:rFonts w:hint="cs"/>
          <w:rtl/>
        </w:rPr>
        <w:t>محمود</w:t>
      </w:r>
      <w:r w:rsidRPr="00DA75F8">
        <w:rPr>
          <w:rtl/>
        </w:rPr>
        <w:t xml:space="preserve"> الثاني هو ابن السلطان عبد الحميد الأول وأخ مصطفى الرابع، ولد في 13 رمضان 1199 (20 يوليو 1785) وت</w:t>
      </w:r>
      <w:r w:rsidRPr="00DA75F8">
        <w:rPr>
          <w:rFonts w:hint="cs"/>
          <w:rtl/>
        </w:rPr>
        <w:t>ولّى</w:t>
      </w:r>
      <w:r w:rsidRPr="00DA75F8">
        <w:rPr>
          <w:rtl/>
        </w:rPr>
        <w:t xml:space="preserve"> السلطنة في 4 جمادي الأخيرة 1223 ( 18 يوليو 1808)، وكانت الفوضى مستمرةً في وقته، حيث توالت أحداث عظيمة في ت</w:t>
      </w:r>
      <w:r>
        <w:rPr>
          <w:rFonts w:hint="cs"/>
          <w:rtl/>
        </w:rPr>
        <w:t>ل</w:t>
      </w:r>
      <w:r w:rsidRPr="00DA75F8">
        <w:rPr>
          <w:rFonts w:hint="cs"/>
          <w:rtl/>
        </w:rPr>
        <w:t>ك</w:t>
      </w:r>
      <w:r w:rsidRPr="00DA75F8">
        <w:rPr>
          <w:rtl/>
        </w:rPr>
        <w:t xml:space="preserve"> الفترة، فقد عصى والي مصر محمد علي باشا وخرج على الدولة، ثم الحرب مع روسية والإنجلترا واليونان، ثم مسألة المضيق... ولكنّه نفس الوقت اشتغل في الأمور الداخلية والخارجية فأدام أمور الإصلاحات، ورغم كل الفوضى إلّا أنه نجح في تثبيت الإصلاحات، وقد لعبت حالة السلطان سليم الثا</w:t>
      </w:r>
      <w:r w:rsidRPr="00DA75F8">
        <w:rPr>
          <w:rFonts w:hint="cs"/>
          <w:rtl/>
        </w:rPr>
        <w:t>لث</w:t>
      </w:r>
      <w:r w:rsidRPr="00DA75F8">
        <w:rPr>
          <w:rtl/>
        </w:rPr>
        <w:t xml:space="preserve"> دورًا كبيرًا في نجاحه في الإصلاحات حيث اعتبر واتعظ منها، وتوفي في 28 حزيران 1839 بالمرض، أثناء ذلك أوصى لولده أن يستمر بالإصلاحات</w:t>
      </w:r>
      <w:r w:rsidRPr="00DA75F8">
        <w:rPr>
          <w:vertAlign w:val="superscript"/>
          <w:rtl/>
        </w:rPr>
        <w:t>(</w:t>
      </w:r>
      <w:r w:rsidRPr="00DA75F8">
        <w:rPr>
          <w:rStyle w:val="FootnoteReference"/>
          <w:rFonts w:cs="Arabic Transparent"/>
          <w:rtl/>
        </w:rPr>
        <w:footnoteReference w:id="47"/>
      </w:r>
      <w:r w:rsidRPr="00DA75F8">
        <w:rPr>
          <w:vertAlign w:val="superscript"/>
          <w:rtl/>
        </w:rPr>
        <w:t>)</w:t>
      </w:r>
      <w:r w:rsidRPr="00DA75F8">
        <w:rPr>
          <w:rtl/>
        </w:rPr>
        <w:t>.</w:t>
      </w:r>
    </w:p>
    <w:p w:rsidR="005F44B2" w:rsidRPr="00DA75F8" w:rsidRDefault="005F44B2" w:rsidP="005E6A96">
      <w:pPr>
        <w:pStyle w:val="a3"/>
        <w:rPr>
          <w:rtl/>
        </w:rPr>
      </w:pPr>
      <w:bookmarkStart w:id="12" w:name="_Toc447092554"/>
      <w:r w:rsidRPr="00DA75F8">
        <w:rPr>
          <w:rFonts w:hint="cs"/>
          <w:rtl/>
        </w:rPr>
        <w:t>المطلب</w:t>
      </w:r>
      <w:r w:rsidRPr="00DA75F8">
        <w:rPr>
          <w:rtl/>
        </w:rPr>
        <w:t xml:space="preserve"> الثاني: الحالة السياسية بدمشق في عصر ابن عابدين</w:t>
      </w:r>
      <w:bookmarkEnd w:id="12"/>
    </w:p>
    <w:p w:rsidR="005F44B2" w:rsidRPr="00DA75F8" w:rsidRDefault="005F44B2" w:rsidP="007B6769">
      <w:pPr>
        <w:pStyle w:val="a0"/>
        <w:rPr>
          <w:rtl/>
        </w:rPr>
      </w:pPr>
      <w:r w:rsidRPr="00DA75F8">
        <w:rPr>
          <w:rFonts w:hint="cs"/>
          <w:rtl/>
        </w:rPr>
        <w:t>الحالة</w:t>
      </w:r>
      <w:r w:rsidRPr="00DA75F8">
        <w:rPr>
          <w:rtl/>
        </w:rPr>
        <w:t xml:space="preserve"> السياسية بدمشق انقسمت إلى قسمين: القسم الأول هو العهد العثماني والآخر العهد المصري والباحث سيتحدث عن كل منهما بشكل عام حول ما له علاقة بابن عابدين.</w:t>
      </w:r>
    </w:p>
    <w:p w:rsidR="005F44B2" w:rsidRPr="00DA75F8" w:rsidRDefault="005F44B2" w:rsidP="008171A1">
      <w:pPr>
        <w:pStyle w:val="NoSpacing"/>
        <w:rPr>
          <w:rtl/>
        </w:rPr>
      </w:pPr>
      <w:r w:rsidRPr="00DA75F8">
        <w:rPr>
          <w:rFonts w:hint="cs"/>
          <w:rtl/>
        </w:rPr>
        <w:t>الفرع</w:t>
      </w:r>
      <w:r w:rsidRPr="00DA75F8">
        <w:rPr>
          <w:rtl/>
        </w:rPr>
        <w:t xml:space="preserve"> الأول: العهد العثماني</w:t>
      </w:r>
    </w:p>
    <w:p w:rsidR="005F44B2" w:rsidRPr="00DA75F8" w:rsidRDefault="005F44B2" w:rsidP="007B6769">
      <w:pPr>
        <w:pStyle w:val="a0"/>
        <w:rPr>
          <w:rtl/>
        </w:rPr>
      </w:pPr>
      <w:r w:rsidRPr="00DA75F8">
        <w:rPr>
          <w:rFonts w:hint="cs"/>
          <w:rtl/>
        </w:rPr>
        <w:t>تمتدّ</w:t>
      </w:r>
      <w:r w:rsidRPr="00DA75F8">
        <w:rPr>
          <w:rtl/>
        </w:rPr>
        <w:t xml:space="preserve"> هذه الفترة ما بين سنتي 1784م – 1832م (1198هـ - 1248هـ)، حيث كانت إدارة بلاد الشام إدارة عثمانية، ولكن الحكم الفعلي كان للمتغلبة والمتسلطين من الوزراء والباشاوات، وقد دام عهد العثمانية خمسين سنة وفي هذه السنوات كان أحمد باشا الجزار أهم باشا حكم منطقة دمشق وكانت مدة سلطنته الأطول والأكثر تأثيرًا في دمشق، لذلك سيقسم الباحث العهد العثماني إلى قسمين: فترة الجزار وفترة ما بعد الجزار.</w:t>
      </w:r>
    </w:p>
    <w:p w:rsidR="005F44B2" w:rsidRPr="00DA75F8" w:rsidRDefault="005F44B2" w:rsidP="008171A1">
      <w:pPr>
        <w:pStyle w:val="NoSpacing"/>
        <w:rPr>
          <w:rtl/>
        </w:rPr>
      </w:pPr>
      <w:r w:rsidRPr="00DA75F8">
        <w:rPr>
          <w:rFonts w:hint="cs"/>
          <w:rtl/>
        </w:rPr>
        <w:t>الفترة</w:t>
      </w:r>
      <w:r w:rsidRPr="00DA75F8">
        <w:rPr>
          <w:rtl/>
        </w:rPr>
        <w:t xml:space="preserve"> الأولى: فترة الجزار</w:t>
      </w:r>
    </w:p>
    <w:p w:rsidR="005F44B2" w:rsidRPr="00DA75F8" w:rsidRDefault="005F44B2" w:rsidP="003D5455">
      <w:pPr>
        <w:pStyle w:val="a0"/>
        <w:rPr>
          <w:rtl/>
        </w:rPr>
      </w:pPr>
      <w:r w:rsidRPr="00DA75F8">
        <w:rPr>
          <w:rFonts w:hint="cs"/>
          <w:rtl/>
        </w:rPr>
        <w:t>تمتد</w:t>
      </w:r>
      <w:r w:rsidRPr="00DA75F8">
        <w:rPr>
          <w:rtl/>
        </w:rPr>
        <w:t xml:space="preserve"> هذه الفترة ما بين سنتي 1784م (التي ولد ابن عابدين فيها) و1804م، والتي انتهت بوفاة الجزار (1198هـ - 1219هـ)، وكانت مدة ولايته عشرين عامًا تقريبًا، وكان مركز الجزار في عكا وكانت سياسته التسلط على الرعية بقوة، وقد قيل لُقِّب بالجزار بسبب سياسته. </w:t>
      </w:r>
    </w:p>
    <w:p w:rsidR="005F44B2" w:rsidRPr="00DA75F8" w:rsidRDefault="005F44B2" w:rsidP="007B6769">
      <w:pPr>
        <w:pStyle w:val="a0"/>
        <w:rPr>
          <w:rtl/>
        </w:rPr>
      </w:pPr>
      <w:r w:rsidRPr="00DA75F8">
        <w:rPr>
          <w:rFonts w:hint="cs"/>
          <w:rtl/>
        </w:rPr>
        <w:t>حصل</w:t>
      </w:r>
      <w:r w:rsidRPr="00DA75F8">
        <w:rPr>
          <w:rtl/>
        </w:rPr>
        <w:t xml:space="preserve"> الجزار على حكم ولاية دمشق بتعيين من الدولة العثمانية في 12- 3 – 1785م،  بعد وفاة محمد باشا العظم الذي كان واليًا على دمشق، واستمر حكمه عشر سنوات متتالية (1773م  -1784م)، وكانت الدولة العثمانية تخاف من استقلال الجزار باشا بولاية خاصة، لأن عنده قوة عسكرية ونفوذ كبير ومع ذلك عيّنته الدولة العثمانية بسبب عدم وجود باشاوات أو قادة ليحكموا دمشق في هذا الوقت، أما الجزار فعنده القوة العسكرية والسياسة القاسية وهو الأكثر مناسبةً لمنع الفوضى والفتن ولسلامة الشعب.</w:t>
      </w:r>
    </w:p>
    <w:p w:rsidR="005F44B2" w:rsidRPr="00DA75F8" w:rsidRDefault="005F44B2" w:rsidP="00B763B0">
      <w:pPr>
        <w:pStyle w:val="a0"/>
        <w:rPr>
          <w:rtl/>
        </w:rPr>
      </w:pPr>
      <w:r w:rsidRPr="00DA75F8">
        <w:rPr>
          <w:rFonts w:hint="cs"/>
          <w:rtl/>
        </w:rPr>
        <w:t>وأهم</w:t>
      </w:r>
      <w:r w:rsidRPr="00DA75F8">
        <w:rPr>
          <w:rtl/>
        </w:rPr>
        <w:t xml:space="preserve"> ما حدث في زمن الجزار بعد ولايته على دمشق، حروبه مع نابليون ( وقوفه في وجه نابليون)، فبعد فتح المصر اتجه نابليون إلى بلاد الشام في 1213هـ ، وعندما حاصر عكا كان معه بعض الأمراء المسيحيين والدروز، والشيعة الذين كانوا ضد الجزار، وقد دوفع عن عكا بقيادة الجزار، ومسا</w:t>
      </w:r>
      <w:r>
        <w:rPr>
          <w:rFonts w:hint="cs"/>
          <w:rtl/>
        </w:rPr>
        <w:t>ع</w:t>
      </w:r>
      <w:r w:rsidRPr="00DA75F8">
        <w:rPr>
          <w:rFonts w:hint="cs"/>
          <w:rtl/>
        </w:rPr>
        <w:t>دة</w:t>
      </w:r>
      <w:r w:rsidRPr="00DA75F8">
        <w:rPr>
          <w:rtl/>
        </w:rPr>
        <w:t xml:space="preserve"> الإنجليز، واتخذ الجيش الفرنسي موقعه أمام عكا، في 19 – آذار – 1799، ودافع الجزار وجيوشه عن عكا، ولم يستطع بونابرت أن يأخذها، لذلك بدأ الجنود ينسحبون عن عكا بأمر نابليون في 19 – آيار – 1799 (11 – ذي الحجة – 1213 هـ).</w:t>
      </w:r>
    </w:p>
    <w:p w:rsidR="005F44B2" w:rsidRPr="00DA75F8" w:rsidRDefault="005F44B2" w:rsidP="007B6769">
      <w:pPr>
        <w:pStyle w:val="a0"/>
        <w:rPr>
          <w:rtl/>
        </w:rPr>
      </w:pPr>
      <w:r w:rsidRPr="00DA75F8">
        <w:rPr>
          <w:rFonts w:hint="cs"/>
          <w:rtl/>
        </w:rPr>
        <w:t>بعد</w:t>
      </w:r>
      <w:r w:rsidRPr="00DA75F8">
        <w:rPr>
          <w:rtl/>
        </w:rPr>
        <w:t xml:space="preserve"> نجاحه أمام الفرنسيين ازداد عتوًّا وظلمًا للرعية ونهبًا للأموال وقتلًا للنفوس البريئة وقد استمر هذا حتى وفاته، حيث مات في 1804م (1219هـ)</w:t>
      </w:r>
      <w:r w:rsidRPr="00DA75F8">
        <w:rPr>
          <w:vertAlign w:val="superscript"/>
          <w:rtl/>
        </w:rPr>
        <w:t>(</w:t>
      </w:r>
      <w:r w:rsidRPr="00DA75F8">
        <w:rPr>
          <w:rStyle w:val="FootnoteReference"/>
          <w:rFonts w:cs="Arabic Transparent"/>
          <w:rtl/>
        </w:rPr>
        <w:footnoteReference w:id="48"/>
      </w:r>
      <w:r w:rsidRPr="00DA75F8">
        <w:rPr>
          <w:vertAlign w:val="superscript"/>
          <w:rtl/>
        </w:rPr>
        <w:t>)</w:t>
      </w:r>
      <w:r w:rsidRPr="00DA75F8">
        <w:rPr>
          <w:rtl/>
        </w:rPr>
        <w:t xml:space="preserve">. </w:t>
      </w:r>
    </w:p>
    <w:p w:rsidR="005F44B2" w:rsidRPr="00DA75F8" w:rsidRDefault="005F44B2" w:rsidP="008171A1">
      <w:pPr>
        <w:pStyle w:val="NoSpacing"/>
        <w:rPr>
          <w:rtl/>
        </w:rPr>
      </w:pPr>
      <w:r w:rsidRPr="00DA75F8">
        <w:rPr>
          <w:rFonts w:hint="cs"/>
          <w:rtl/>
        </w:rPr>
        <w:t>الفترة</w:t>
      </w:r>
      <w:r w:rsidRPr="00DA75F8">
        <w:rPr>
          <w:rtl/>
        </w:rPr>
        <w:t xml:space="preserve"> الثانية: فترة ما بعد الجزار</w:t>
      </w:r>
    </w:p>
    <w:p w:rsidR="005F44B2" w:rsidRPr="00DA75F8" w:rsidRDefault="005F44B2" w:rsidP="007B6769">
      <w:pPr>
        <w:pStyle w:val="a0"/>
        <w:rPr>
          <w:rtl/>
        </w:rPr>
      </w:pPr>
      <w:r w:rsidRPr="00DA75F8">
        <w:rPr>
          <w:rFonts w:hint="cs"/>
          <w:rtl/>
        </w:rPr>
        <w:t>انفجرت</w:t>
      </w:r>
      <w:r w:rsidRPr="00DA75F8">
        <w:rPr>
          <w:rtl/>
        </w:rPr>
        <w:t xml:space="preserve"> الفوضى بعد الجزار في دمشق، حيث وجد شعب دمشق بعد الحكم العرفي فراغًا بوفاة الجزار ولذا تمرّدوا على السلطة، وكانت الدولة تركّز على مشاكل خارجية وداخلية لذا لاتستطيع أن تهتمّ بدمشق خاصة، وامتلأت هذه السنوات بالفوضى حتى جاء العهد المصري.</w:t>
      </w:r>
    </w:p>
    <w:p w:rsidR="005F44B2" w:rsidRPr="00DA75F8" w:rsidRDefault="005F44B2" w:rsidP="007B6769">
      <w:pPr>
        <w:pStyle w:val="a0"/>
        <w:rPr>
          <w:rtl/>
        </w:rPr>
      </w:pPr>
      <w:r w:rsidRPr="00DA75F8">
        <w:rPr>
          <w:rFonts w:hint="cs"/>
          <w:rtl/>
        </w:rPr>
        <w:t>ومن</w:t>
      </w:r>
      <w:r w:rsidRPr="00DA75F8">
        <w:rPr>
          <w:rtl/>
        </w:rPr>
        <w:t xml:space="preserve"> أهم الأحداث بدمشق بعد الجزار قتل سليم باشا والي دمشق، فقرّر السلطان محمود الثاني أن يرفع قيمة الضريبة لأن الحروب والعصيان والإصلاحات خفّفت المصادر المالية في سنوا</w:t>
      </w:r>
      <w:r w:rsidRPr="00DA75F8">
        <w:rPr>
          <w:rFonts w:hint="cs"/>
          <w:rtl/>
        </w:rPr>
        <w:t>ت</w:t>
      </w:r>
      <w:r w:rsidRPr="00DA75F8">
        <w:rPr>
          <w:rtl/>
        </w:rPr>
        <w:t xml:space="preserve"> 1820، فتسبّب قرار ارتف</w:t>
      </w:r>
      <w:r w:rsidRPr="00DA75F8">
        <w:rPr>
          <w:rFonts w:hint="cs"/>
          <w:rtl/>
        </w:rPr>
        <w:t>اع</w:t>
      </w:r>
      <w:r w:rsidRPr="00DA75F8">
        <w:rPr>
          <w:rtl/>
        </w:rPr>
        <w:t xml:space="preserve"> الضريبة بعصيانٍ شديدٍ في دمشق، وعُزل الوالي رؤوف باشا، لأنه قال إن شعب دمشق لم يستطع استساغة ارتفاع الضريبة، وعُيّن سليم باشا واليًا لتنفيذ القرار الجديد، ولكن شعب دمشق خرج على الوالي في 16 سبتمبر 1831، وتضرّرت دمشق تضرّرًا كبيرًا في أثناء هذه العصيان، وعُزل سليم باشا وكان محصورًا في قلعة بسبب الفوضى وأخذ مكانه علي باشا، واُسكن سليم باشا في دمشق، وقُتل بمداهمة ثائرين في 29 أكتوبر</w:t>
      </w:r>
      <w:r w:rsidRPr="00DA75F8">
        <w:rPr>
          <w:vertAlign w:val="superscript"/>
          <w:rtl/>
        </w:rPr>
        <w:t>(</w:t>
      </w:r>
      <w:r w:rsidRPr="00DA75F8">
        <w:rPr>
          <w:rStyle w:val="FootnoteReference"/>
          <w:rFonts w:cs="Arabic Transparent"/>
          <w:rtl/>
        </w:rPr>
        <w:footnoteReference w:id="49"/>
      </w:r>
      <w:r w:rsidRPr="00DA75F8">
        <w:rPr>
          <w:vertAlign w:val="superscript"/>
          <w:rtl/>
        </w:rPr>
        <w:t>)</w:t>
      </w:r>
      <w:r w:rsidRPr="00DA75F8">
        <w:rPr>
          <w:rtl/>
        </w:rPr>
        <w:t xml:space="preserve">. </w:t>
      </w:r>
    </w:p>
    <w:p w:rsidR="005F44B2" w:rsidRPr="00DA75F8" w:rsidRDefault="005F44B2" w:rsidP="008171A1">
      <w:pPr>
        <w:pStyle w:val="NoSpacing"/>
        <w:rPr>
          <w:rtl/>
        </w:rPr>
      </w:pPr>
      <w:r w:rsidRPr="00DA75F8">
        <w:rPr>
          <w:rFonts w:hint="cs"/>
          <w:rtl/>
        </w:rPr>
        <w:t>الفرع</w:t>
      </w:r>
      <w:r w:rsidRPr="00DA75F8">
        <w:rPr>
          <w:rtl/>
        </w:rPr>
        <w:t xml:space="preserve"> الثاني: العهد المصري</w:t>
      </w:r>
    </w:p>
    <w:p w:rsidR="005F44B2" w:rsidRPr="00DA75F8" w:rsidRDefault="005F44B2" w:rsidP="007B6769">
      <w:pPr>
        <w:pStyle w:val="a0"/>
        <w:rPr>
          <w:rtl/>
        </w:rPr>
      </w:pPr>
      <w:r w:rsidRPr="00DA75F8">
        <w:rPr>
          <w:rFonts w:hint="cs"/>
          <w:rtl/>
        </w:rPr>
        <w:t>يمتد</w:t>
      </w:r>
      <w:r w:rsidRPr="00DA75F8">
        <w:rPr>
          <w:rtl/>
        </w:rPr>
        <w:t xml:space="preserve"> العهد المصري من سنة 1248هـ إلى 1256هـ الموافق لـ 1832م إلى 1841م، حيث توجّه الجيش المصري إلى دمشق بقيادة </w:t>
      </w:r>
      <w:r w:rsidRPr="00DA75F8">
        <w:rPr>
          <w:rFonts w:hint="cs"/>
          <w:rtl/>
        </w:rPr>
        <w:t>إبراهيم</w:t>
      </w:r>
      <w:r w:rsidRPr="00DA75F8">
        <w:rPr>
          <w:rtl/>
        </w:rPr>
        <w:t xml:space="preserve"> باشا ولد والي مصر محمد علي باشا، ووصلت بعض جيوشه إلى قرب قرية داريا، فخرج إلى لقائهم أهالي دمشق بقيادة الوالي علي باشا ولكن هرب الدمشقيون لخوفهم من جيش إبراهيم باشا، ثمّ دخل إبراهيم باشا دمشق بسهولة، فقد هرب منها علي باشا وعساكره والقاضي وجميع الموظفين.</w:t>
      </w:r>
    </w:p>
    <w:p w:rsidR="005F44B2" w:rsidRPr="00DA75F8" w:rsidRDefault="005F44B2" w:rsidP="007B6769">
      <w:pPr>
        <w:pStyle w:val="a0"/>
        <w:rPr>
          <w:rtl/>
        </w:rPr>
      </w:pPr>
      <w:r w:rsidRPr="00DA75F8">
        <w:rPr>
          <w:rFonts w:hint="cs"/>
          <w:rtl/>
        </w:rPr>
        <w:t>وبعد</w:t>
      </w:r>
      <w:r w:rsidRPr="00DA75F8">
        <w:rPr>
          <w:rtl/>
        </w:rPr>
        <w:t xml:space="preserve"> سيطرة المصريين على دمشق قَبِل السلطان محمود الثاني حكم محمد علي باشا في دمشق، تعرّض شعب دمشق لضغط أقوى، حيث فُرضت عليه الخدمة العسكرية الإجبارية، واحتكار الأموال التجارية، وافتتا</w:t>
      </w:r>
      <w:r w:rsidRPr="00DA75F8">
        <w:rPr>
          <w:rFonts w:hint="cs"/>
          <w:rtl/>
        </w:rPr>
        <w:t>ح</w:t>
      </w:r>
      <w:r w:rsidRPr="00DA75F8">
        <w:rPr>
          <w:rtl/>
        </w:rPr>
        <w:t xml:space="preserve"> سفارات الأجانب، ومساواة المسلمين والنصارى وأخيرًا الضريبة الباهظة التي زادت عما كانت عليه سابقًا. وقد ذكرنا آنفًا كيف عصى الدمشقيون الدولة العثمانية وخرجوا عليها ولم يقاتلوا إلى جانبهاضدّ المصريين بسبب الضريبة الباهظة، وبعد سنوات بدأ الاستياء من حكومة محمد علي باشا والفوضى في دمشق، وخضع حاكم دمشق للدولة العثمانية في 1841 مجدّدًا</w:t>
      </w:r>
      <w:r w:rsidRPr="00DA75F8">
        <w:rPr>
          <w:vertAlign w:val="superscript"/>
          <w:rtl/>
        </w:rPr>
        <w:t>(</w:t>
      </w:r>
      <w:r w:rsidRPr="00DA75F8">
        <w:rPr>
          <w:rStyle w:val="FootnoteReference"/>
          <w:rFonts w:cs="Arabic Transparent"/>
          <w:rtl/>
        </w:rPr>
        <w:footnoteReference w:id="50"/>
      </w:r>
      <w:r w:rsidRPr="00DA75F8">
        <w:rPr>
          <w:vertAlign w:val="superscript"/>
          <w:rtl/>
        </w:rPr>
        <w:t>)</w:t>
      </w:r>
    </w:p>
    <w:p w:rsidR="005F44B2" w:rsidRPr="00DA75F8" w:rsidRDefault="005F44B2" w:rsidP="005E6A96">
      <w:pPr>
        <w:pStyle w:val="a3"/>
        <w:rPr>
          <w:noProof/>
        </w:rPr>
      </w:pPr>
      <w:bookmarkStart w:id="13" w:name="_Toc447092555"/>
      <w:r w:rsidRPr="00DA75F8">
        <w:rPr>
          <w:rFonts w:hint="cs"/>
          <w:noProof/>
          <w:rtl/>
        </w:rPr>
        <w:t>المطلب</w:t>
      </w:r>
      <w:r w:rsidRPr="00DA75F8">
        <w:rPr>
          <w:noProof/>
          <w:rtl/>
        </w:rPr>
        <w:t xml:space="preserve"> الثالث: أثر الحالة السياسة على ابن عابدين</w:t>
      </w:r>
      <w:bookmarkEnd w:id="13"/>
    </w:p>
    <w:p w:rsidR="005F44B2" w:rsidRPr="00DA75F8" w:rsidRDefault="005F44B2" w:rsidP="007B6769">
      <w:pPr>
        <w:pStyle w:val="a0"/>
        <w:rPr>
          <w:rtl/>
        </w:rPr>
      </w:pPr>
      <w:r w:rsidRPr="00DA75F8">
        <w:rPr>
          <w:rFonts w:hint="cs"/>
          <w:rtl/>
        </w:rPr>
        <w:t>عندما</w:t>
      </w:r>
      <w:r w:rsidRPr="00DA75F8">
        <w:rPr>
          <w:rtl/>
        </w:rPr>
        <w:t xml:space="preserve"> ننظر إلى عصر ابن عابدين نرى ملامحللفوضى في الدولة العثمانية بوجه عام، لكنّنا نراها صراحةً في منطقة الشام ودمشق بوجه خاص، كما نلاحظ اشتغال الدولة العثمانية بمشاكلها الخارجية إضافةً إلى الداخليةكالفوضى، والعصيان، وتمرّد بعض قوّاد الجيش على السلطة وما إلى ذلك من الأمور في طوال سنوات عصر ابن عابدين.</w:t>
      </w:r>
    </w:p>
    <w:p w:rsidR="005F44B2" w:rsidRPr="00DA75F8" w:rsidRDefault="005F44B2" w:rsidP="007B6769">
      <w:pPr>
        <w:pStyle w:val="a0"/>
        <w:rPr>
          <w:noProof/>
          <w:rtl/>
        </w:rPr>
      </w:pPr>
      <w:r w:rsidRPr="00DA75F8">
        <w:rPr>
          <w:rFonts w:hint="cs"/>
          <w:rtl/>
        </w:rPr>
        <w:t>نخلص</w:t>
      </w:r>
      <w:r w:rsidRPr="00DA75F8">
        <w:rPr>
          <w:rtl/>
        </w:rPr>
        <w:t xml:space="preserve"> مما سبق إلى أن الحالة السياسة في عصر ابن عابدين، كانت دائمةًالتوتّر بوجه عام في الدولة </w:t>
      </w:r>
      <w:r>
        <w:rPr>
          <w:rFonts w:hint="cs"/>
          <w:rtl/>
        </w:rPr>
        <w:t>العثمانية</w:t>
      </w:r>
      <w:r>
        <w:rPr>
          <w:rtl/>
        </w:rPr>
        <w:t xml:space="preserve"> </w:t>
      </w:r>
      <w:r w:rsidRPr="00DA75F8">
        <w:rPr>
          <w:rFonts w:hint="cs"/>
          <w:rtl/>
        </w:rPr>
        <w:t>و</w:t>
      </w:r>
      <w:r w:rsidRPr="00DA75F8">
        <w:rPr>
          <w:rtl/>
        </w:rPr>
        <w:t xml:space="preserve"> في الشام ودمشق خاصةً، وحيث كان كل من معاييرها وقواعدها ورؤسائها دائمًا في حالة متقلِّبة، وكانت الفوضى تقريبًا تعُمّ كل المناطق. هذه الحالة السياسة أثرت على الناس بالطبع، ولكن تأثيرها كان مختلفًا باختلاف الناس وموضوعنا هو </w:t>
      </w:r>
      <w:r w:rsidRPr="00DA75F8">
        <w:rPr>
          <w:rFonts w:hint="cs"/>
          <w:noProof/>
          <w:rtl/>
        </w:rPr>
        <w:t>أثر</w:t>
      </w:r>
      <w:r w:rsidRPr="00DA75F8">
        <w:rPr>
          <w:noProof/>
          <w:rtl/>
        </w:rPr>
        <w:t xml:space="preserve"> الحالة السياسة على ابن عابدين، وقد ذكر محمد صالح الفرفور هذا الموضوع في تأليفه وخصص له مطلبًا واحدًا، وسيشير الباحث إلى أهم ما في هذا المطلب:</w:t>
      </w:r>
    </w:p>
    <w:p w:rsidR="005F44B2" w:rsidRPr="00DA75F8" w:rsidRDefault="005F44B2" w:rsidP="007B6769">
      <w:pPr>
        <w:pStyle w:val="a0"/>
        <w:rPr>
          <w:noProof/>
          <w:rtl/>
        </w:rPr>
      </w:pPr>
      <w:r w:rsidRPr="00DA75F8">
        <w:rPr>
          <w:noProof/>
          <w:rtl/>
        </w:rPr>
        <w:t>"جعلت العلماء والأدباء وهم الطبقة المثقفة في الأمة، تنصرف انصرافًا كليًا عن العمل السياسي وعن الاشتراك في هذه الفتن، غير أن عواطفهم كانت إلى جانب الدولة العثمانية والخلافة بلا شك، وهم يكرهون كل من يناطح الدولة أو يشق عصا الطاعة عنها... وعلى هذا التفسير نستطيع فهم كره المجتمع الدمشقي – وعلى رأسه علماء الدين – لإبراهيم باشا وحكمه... لكن ابن عابدين لم يكن آنئذ من رجالات الزعامة الدينية برغم كونه لامثيل له بين أشياخه في العلم كما سيأتي معنا، لكون ابن عابدين ظل منضويًا طوال حيات</w:t>
      </w:r>
      <w:r w:rsidRPr="00DA75F8">
        <w:rPr>
          <w:rFonts w:hint="cs"/>
          <w:noProof/>
          <w:rtl/>
        </w:rPr>
        <w:t>ه</w:t>
      </w:r>
      <w:r w:rsidRPr="00DA75F8">
        <w:rPr>
          <w:noProof/>
          <w:rtl/>
        </w:rPr>
        <w:t xml:space="preserve"> تحت لواء شيخه الشيخ سع</w:t>
      </w:r>
      <w:r w:rsidRPr="00DA75F8">
        <w:rPr>
          <w:rFonts w:hint="cs"/>
          <w:noProof/>
          <w:rtl/>
        </w:rPr>
        <w:t>يد</w:t>
      </w:r>
      <w:r w:rsidRPr="00DA75F8">
        <w:rPr>
          <w:noProof/>
          <w:rtl/>
        </w:rPr>
        <w:t xml:space="preserve"> الحلبي شيخ الشام آنئذ، وكان يعترف له برتبة الأستاذية والمشيخة ويتأدب معه الأدب الجمّ ولايقر رأيًا دونه، ولايقطع فتوى إلاّ باستشارته، وإذا عرفنا أنه توفي في حياة شيخه عرفنا سر عدم قيامه بأي عمل من شأنه أن يَعدُّه الناس جراءة شيخًا مستقلًا. </w:t>
      </w:r>
    </w:p>
    <w:p w:rsidR="005F44B2" w:rsidRPr="00DA75F8" w:rsidRDefault="005F44B2" w:rsidP="007B6769">
      <w:pPr>
        <w:pStyle w:val="a0"/>
        <w:rPr>
          <w:noProof/>
          <w:rtl/>
        </w:rPr>
      </w:pPr>
      <w:r w:rsidRPr="00DA75F8">
        <w:rPr>
          <w:rFonts w:hint="cs"/>
          <w:noProof/>
          <w:rtl/>
        </w:rPr>
        <w:t>أما</w:t>
      </w:r>
      <w:r w:rsidRPr="00DA75F8">
        <w:rPr>
          <w:noProof/>
          <w:rtl/>
        </w:rPr>
        <w:t xml:space="preserve"> الشيخ سعيد، فكانت </w:t>
      </w:r>
      <w:r>
        <w:rPr>
          <w:rFonts w:hint="cs"/>
          <w:noProof/>
          <w:rtl/>
        </w:rPr>
        <w:t>له</w:t>
      </w:r>
      <w:r>
        <w:rPr>
          <w:noProof/>
          <w:rtl/>
        </w:rPr>
        <w:t xml:space="preserve"> </w:t>
      </w:r>
      <w:r w:rsidRPr="00DA75F8">
        <w:rPr>
          <w:rFonts w:hint="cs"/>
          <w:noProof/>
          <w:rtl/>
        </w:rPr>
        <w:t>مع</w:t>
      </w:r>
      <w:r w:rsidRPr="00DA75F8">
        <w:rPr>
          <w:noProof/>
          <w:rtl/>
        </w:rPr>
        <w:t xml:space="preserve"> إبراهيم باشا مواقف جليلة... ويعتبر ابن عابدين آخذًا بها متلبسًا في</w:t>
      </w:r>
      <w:r w:rsidRPr="00DA75F8">
        <w:rPr>
          <w:rFonts w:hint="cs"/>
          <w:noProof/>
          <w:rtl/>
        </w:rPr>
        <w:t>ها</w:t>
      </w:r>
      <w:r w:rsidRPr="00DA75F8">
        <w:rPr>
          <w:noProof/>
          <w:rtl/>
        </w:rPr>
        <w:t xml:space="preserve"> لانضوائه تحت لواء شيخه الحلبي المذكور.</w:t>
      </w:r>
    </w:p>
    <w:p w:rsidR="005F44B2" w:rsidRPr="00DA75F8" w:rsidRDefault="005F44B2" w:rsidP="00945CC3">
      <w:pPr>
        <w:pStyle w:val="a0"/>
        <w:rPr>
          <w:noProof/>
        </w:rPr>
      </w:pPr>
      <w:r w:rsidRPr="00DA75F8">
        <w:rPr>
          <w:rFonts w:hint="cs"/>
          <w:noProof/>
          <w:rtl/>
        </w:rPr>
        <w:t>وابن</w:t>
      </w:r>
      <w:r w:rsidRPr="00DA75F8">
        <w:rPr>
          <w:noProof/>
          <w:rtl/>
        </w:rPr>
        <w:t xml:space="preserve"> عابدين  على كلٍّ كان منتقدًا الفتح المصري شأن مشايخه وأقرانه، وقد </w:t>
      </w:r>
      <w:r>
        <w:rPr>
          <w:rFonts w:hint="cs"/>
          <w:noProof/>
          <w:rtl/>
        </w:rPr>
        <w:t>ظهر</w:t>
      </w:r>
      <w:r w:rsidRPr="00DA75F8">
        <w:rPr>
          <w:noProof/>
          <w:rtl/>
        </w:rPr>
        <w:t xml:space="preserve"> منه في بعض مصنّفاته عبارات من </w:t>
      </w:r>
      <w:r w:rsidRPr="00DA75F8">
        <w:rPr>
          <w:rFonts w:hint="cs"/>
          <w:noProof/>
          <w:rtl/>
        </w:rPr>
        <w:t>النقد</w:t>
      </w:r>
      <w:r w:rsidRPr="00DA75F8">
        <w:rPr>
          <w:noProof/>
          <w:rtl/>
        </w:rPr>
        <w:t xml:space="preserve"> اللاذع أحيانًا، لكن موقفًا واحدًا لابن عابدين نستطيع أن نعده من مواقفه الباسلة تجاه حكام عصره، وهي تصريحه في حاشيته ردّ المحتار (( بأن ولي الأمر -الحكام الأعلى- لا شأن له في التحليل والتحريم، كيف وقد قال فقهاؤنا: ( ومن قال لسلطان زماننا عادل) فقد كفر حيث يكون اعتقد الظلم عدلًا)). وقد توسع في تحقيق ذلك ابن عابدين في ردّ المحتار في بحث الأشربة... ولقد انتقد ابن عابدين في حاشيته ردّ المحتار الغرامات والضرائب والمكوس</w:t>
      </w:r>
      <w:r>
        <w:rPr>
          <w:noProof/>
          <w:vertAlign w:val="superscript"/>
          <w:rtl/>
        </w:rPr>
        <w:t>(</w:t>
      </w:r>
      <w:r>
        <w:rPr>
          <w:rStyle w:val="FootnoteReference"/>
          <w:rFonts w:cs="Arabic Transparent"/>
          <w:noProof/>
          <w:rtl/>
        </w:rPr>
        <w:footnoteReference w:id="51"/>
      </w:r>
      <w:r>
        <w:rPr>
          <w:noProof/>
          <w:vertAlign w:val="superscript"/>
          <w:rtl/>
        </w:rPr>
        <w:t>)</w:t>
      </w:r>
      <w:r w:rsidRPr="00DA75F8">
        <w:rPr>
          <w:noProof/>
          <w:rtl/>
        </w:rPr>
        <w:t xml:space="preserve"> التي كانت في عصره يفرضها الأقوياء وظلمة الحكام على عامة الشعب الضعفاء، وعبّر عنها بـ (حجابة الشام وغراماتها) وقرر أنها ظلم"</w:t>
      </w:r>
      <w:r w:rsidRPr="00DA75F8">
        <w:rPr>
          <w:noProof/>
          <w:vertAlign w:val="superscript"/>
          <w:rtl/>
        </w:rPr>
        <w:t>(</w:t>
      </w:r>
      <w:r w:rsidRPr="00DA75F8">
        <w:rPr>
          <w:rStyle w:val="FootnoteReference"/>
          <w:rFonts w:cs="Arabic Transparent"/>
          <w:noProof/>
          <w:rtl/>
        </w:rPr>
        <w:footnoteReference w:id="52"/>
      </w:r>
      <w:r w:rsidRPr="00DA75F8">
        <w:rPr>
          <w:noProof/>
          <w:vertAlign w:val="superscript"/>
          <w:rtl/>
        </w:rPr>
        <w:t>)</w:t>
      </w:r>
      <w:r w:rsidRPr="00DA75F8">
        <w:rPr>
          <w:noProof/>
          <w:rtl/>
        </w:rPr>
        <w:t>.</w:t>
      </w:r>
    </w:p>
    <w:p w:rsidR="005F44B2" w:rsidRPr="00DA75F8" w:rsidRDefault="005F44B2" w:rsidP="00FB26E6">
      <w:pPr>
        <w:pStyle w:val="a0"/>
        <w:rPr>
          <w:noProof/>
          <w:rtl/>
        </w:rPr>
      </w:pPr>
      <w:r w:rsidRPr="00DA75F8">
        <w:rPr>
          <w:rFonts w:hint="cs"/>
          <w:noProof/>
          <w:rtl/>
        </w:rPr>
        <w:t>يُفهم</w:t>
      </w:r>
      <w:r w:rsidRPr="00DA75F8">
        <w:rPr>
          <w:noProof/>
          <w:rtl/>
        </w:rPr>
        <w:t xml:space="preserve"> مما سبق أن الحالة السياسة أثّرت في ابن عابدين حتى ولو لم يكن هذا التأثير واضحًا، لأن ابن عابدين كان يجتنب السياسة</w:t>
      </w:r>
      <w:r>
        <w:rPr>
          <w:noProof/>
          <w:rtl/>
        </w:rPr>
        <w:t xml:space="preserve"> التي يسوس بها الحاكم الدولة</w:t>
      </w:r>
      <w:r w:rsidRPr="00DA75F8">
        <w:rPr>
          <w:rFonts w:hint="cs"/>
          <w:noProof/>
          <w:rtl/>
        </w:rPr>
        <w:t>،</w:t>
      </w:r>
      <w:r w:rsidRPr="00DA75F8">
        <w:rPr>
          <w:noProof/>
          <w:rtl/>
        </w:rPr>
        <w:t xml:space="preserve"> وليس هو فقط بل العلماء والأدباء في دمشق كانوا ينصرفون عن العمل السياسي وعن الاشتراك فيه كما عرفنا هذا آنفًا، ترجع قلّة معرفة رأ</w:t>
      </w:r>
      <w:r w:rsidRPr="00DA75F8">
        <w:rPr>
          <w:rFonts w:hint="cs"/>
          <w:noProof/>
          <w:rtl/>
        </w:rPr>
        <w:t>ي</w:t>
      </w:r>
      <w:r w:rsidRPr="00DA75F8">
        <w:rPr>
          <w:noProof/>
          <w:rtl/>
        </w:rPr>
        <w:t xml:space="preserve"> ابن عابدين في السياسة إلى عدة أسباب، وهي: أنه عاش حياة من</w:t>
      </w:r>
      <w:r>
        <w:rPr>
          <w:rFonts w:hint="cs"/>
          <w:noProof/>
          <w:rtl/>
        </w:rPr>
        <w:t>ط</w:t>
      </w:r>
      <w:r w:rsidRPr="00DA75F8">
        <w:rPr>
          <w:rFonts w:hint="cs"/>
          <w:noProof/>
          <w:rtl/>
        </w:rPr>
        <w:t>وية،</w:t>
      </w:r>
      <w:r w:rsidRPr="00DA75F8">
        <w:rPr>
          <w:noProof/>
          <w:rtl/>
        </w:rPr>
        <w:t xml:space="preserve"> وطوال حياته كان تحت لواء شيخه سعيد الحلبي فهو لم يقرر ولم يفتِ دون شيخه ودون استشارته ( ويجدر التنبيه هنا إلى أن الشيخ سعيد الحلبي كان مع إبراهيم باشا، وأنّ ابن عابدين توفي في حياة شيخه </w:t>
      </w:r>
      <w:r>
        <w:rPr>
          <w:rFonts w:hint="cs"/>
          <w:noProof/>
          <w:rtl/>
        </w:rPr>
        <w:t>حيث</w:t>
      </w:r>
      <w:r w:rsidRPr="00DA75F8">
        <w:rPr>
          <w:noProof/>
          <w:rtl/>
        </w:rPr>
        <w:t xml:space="preserve"> كان يستشير شيخه في كلّ قراراته).</w:t>
      </w:r>
    </w:p>
    <w:p w:rsidR="005F44B2" w:rsidRPr="00DA75F8" w:rsidRDefault="005F44B2" w:rsidP="007B6769">
      <w:pPr>
        <w:pStyle w:val="a0"/>
        <w:rPr>
          <w:noProof/>
          <w:rtl/>
        </w:rPr>
      </w:pPr>
      <w:r w:rsidRPr="00DA75F8">
        <w:rPr>
          <w:rFonts w:hint="cs"/>
          <w:noProof/>
          <w:rtl/>
        </w:rPr>
        <w:t>لكن</w:t>
      </w:r>
      <w:r w:rsidRPr="00DA75F8">
        <w:rPr>
          <w:noProof/>
          <w:rtl/>
        </w:rPr>
        <w:t xml:space="preserve"> لعلّه يمكن القول أنّ ابن عابدين لايكون راضيًا عن إبراهيم باشا وحكمه في دمشق، ويُستنتج هذا من تأليفه ردّ المحتار في موضوع السلطان والحاكم والضرائب والغرامات والمكوس كما بُيِّنت من قبل.</w:t>
      </w:r>
    </w:p>
    <w:p w:rsidR="005F44B2" w:rsidRPr="00DA75F8" w:rsidRDefault="005F44B2" w:rsidP="005E6A96">
      <w:pPr>
        <w:pStyle w:val="a2"/>
        <w:rPr>
          <w:rtl/>
        </w:rPr>
      </w:pPr>
      <w:bookmarkStart w:id="14" w:name="_Toc447092556"/>
      <w:r w:rsidRPr="00DA75F8">
        <w:rPr>
          <w:rFonts w:hint="cs"/>
          <w:rtl/>
        </w:rPr>
        <w:t>المبحث</w:t>
      </w:r>
      <w:r w:rsidRPr="00DA75F8">
        <w:rPr>
          <w:rtl/>
        </w:rPr>
        <w:t xml:space="preserve"> الثالث:تعريف السياسة الشرعية</w:t>
      </w:r>
      <w:bookmarkEnd w:id="14"/>
    </w:p>
    <w:p w:rsidR="005F44B2" w:rsidRPr="00DA75F8" w:rsidRDefault="005F44B2" w:rsidP="005E6A96">
      <w:pPr>
        <w:pStyle w:val="a3"/>
        <w:rPr>
          <w:rtl/>
        </w:rPr>
      </w:pPr>
      <w:bookmarkStart w:id="15" w:name="_Toc447092557"/>
      <w:r w:rsidRPr="00DA75F8">
        <w:rPr>
          <w:rFonts w:hint="cs"/>
          <w:rtl/>
        </w:rPr>
        <w:t>المطلب</w:t>
      </w:r>
      <w:r w:rsidRPr="00DA75F8">
        <w:rPr>
          <w:rtl/>
        </w:rPr>
        <w:t xml:space="preserve"> الأول:السياسة الشرعية والألفاظ ذات الصلة بالسياسة الشرعية</w:t>
      </w:r>
      <w:bookmarkEnd w:id="15"/>
    </w:p>
    <w:p w:rsidR="005F44B2" w:rsidRPr="00DA75F8" w:rsidRDefault="005F44B2" w:rsidP="008171A1">
      <w:pPr>
        <w:pStyle w:val="NoSpacing"/>
        <w:rPr>
          <w:rtl/>
        </w:rPr>
      </w:pPr>
      <w:r w:rsidRPr="00DA75F8">
        <w:rPr>
          <w:rFonts w:hint="cs"/>
          <w:rtl/>
        </w:rPr>
        <w:t>الفرع</w:t>
      </w:r>
      <w:r w:rsidRPr="00DA75F8">
        <w:rPr>
          <w:rtl/>
        </w:rPr>
        <w:t xml:space="preserve"> الأول:تعريفالسياسة لغةً</w:t>
      </w:r>
    </w:p>
    <w:p w:rsidR="005F44B2" w:rsidRPr="00DA75F8" w:rsidRDefault="005F44B2" w:rsidP="007B6769">
      <w:pPr>
        <w:pStyle w:val="a0"/>
        <w:rPr>
          <w:rtl/>
        </w:rPr>
      </w:pPr>
      <w:r w:rsidRPr="00DA75F8">
        <w:rPr>
          <w:rFonts w:hint="cs"/>
          <w:rtl/>
        </w:rPr>
        <w:t>السياسة</w:t>
      </w:r>
      <w:r w:rsidRPr="00DA75F8">
        <w:rPr>
          <w:rtl/>
        </w:rPr>
        <w:t xml:space="preserve"> مشتقة من (ساس يسوس). وفي الاستعمال لها معان كثيرة، وتدور معانيها حول الرعاية، وتدبير أمور الناس وإصلاحه، والقيام على الشيء، والرياسة. قال صاحب اللسان: " ساس الأمر سياسة قام به،ويقال سوس فلان أمر بني فلان أي كلف سياستهم، ساس وسيس عليه أي أمر وأمر عليه،والسياسة فعل السائس يقال هو يسوس الدواب إذا قام عليها وراضها والوالي يسوس رعيته"</w:t>
      </w:r>
      <w:r w:rsidRPr="00DA75F8">
        <w:rPr>
          <w:vertAlign w:val="superscript"/>
          <w:rtl/>
        </w:rPr>
        <w:t>(</w:t>
      </w:r>
      <w:r w:rsidRPr="00DA75F8">
        <w:rPr>
          <w:rStyle w:val="FootnoteReference"/>
          <w:rFonts w:cs="Arabic Transparent"/>
          <w:rtl/>
        </w:rPr>
        <w:footnoteReference w:id="5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وفي</w:t>
      </w:r>
      <w:r w:rsidRPr="00DA75F8">
        <w:rPr>
          <w:rtl/>
        </w:rPr>
        <w:t xml:space="preserve"> الحديث: " كانت بنو إسرائيل تسوسهم الأنبياء..."</w:t>
      </w:r>
      <w:r w:rsidRPr="00DA75F8">
        <w:rPr>
          <w:vertAlign w:val="superscript"/>
          <w:rtl/>
        </w:rPr>
        <w:t>(</w:t>
      </w:r>
      <w:r w:rsidRPr="00DA75F8">
        <w:rPr>
          <w:rStyle w:val="FootnoteReference"/>
          <w:rFonts w:cs="Arabic Transparent"/>
          <w:rtl/>
        </w:rPr>
        <w:footnoteReference w:id="54"/>
      </w:r>
      <w:r w:rsidRPr="00DA75F8">
        <w:rPr>
          <w:vertAlign w:val="superscript"/>
          <w:rtl/>
        </w:rPr>
        <w:t>)</w:t>
      </w:r>
      <w:r w:rsidRPr="00DA75F8">
        <w:rPr>
          <w:rtl/>
        </w:rPr>
        <w:t xml:space="preserve"> أي تتولى أمورهم كما يفعل الأمراء والولاة بالرعية.</w:t>
      </w:r>
    </w:p>
    <w:p w:rsidR="005F44B2" w:rsidRPr="00DA75F8" w:rsidRDefault="005F44B2" w:rsidP="007B6769">
      <w:pPr>
        <w:pStyle w:val="a0"/>
        <w:rPr>
          <w:rtl/>
        </w:rPr>
      </w:pPr>
      <w:r w:rsidRPr="00DA75F8">
        <w:rPr>
          <w:rFonts w:hint="cs"/>
          <w:rtl/>
        </w:rPr>
        <w:t>و</w:t>
      </w:r>
      <w:r w:rsidRPr="00DA75F8">
        <w:rPr>
          <w:rtl/>
        </w:rPr>
        <w:t xml:space="preserve"> في " تاج العروس من جواهر القاموس" قال: "وساس الأمر سياسة: قام به. ويقال: فلان مجرب قد ساس وسيس عليه ، أي أَدَّب وأُدِّب. وفي الصحاح: أي أَمَرَ وأُمِرَ عليه. والسياسة: القيام على الشيء بما يُصلحه"</w:t>
      </w:r>
      <w:r w:rsidRPr="00DA75F8">
        <w:rPr>
          <w:vertAlign w:val="superscript"/>
          <w:rtl/>
        </w:rPr>
        <w:t>(</w:t>
      </w:r>
      <w:r w:rsidRPr="00DA75F8">
        <w:rPr>
          <w:rStyle w:val="FootnoteReference"/>
          <w:rFonts w:cs="Arabic Transparent"/>
          <w:rtl/>
        </w:rPr>
        <w:footnoteReference w:id="55"/>
      </w:r>
      <w:r w:rsidRPr="00DA75F8">
        <w:rPr>
          <w:vertAlign w:val="superscript"/>
          <w:rtl/>
        </w:rPr>
        <w:t>)</w:t>
      </w:r>
      <w:r w:rsidRPr="00DA75F8">
        <w:rPr>
          <w:rtl/>
        </w:rPr>
        <w:t>.</w:t>
      </w:r>
      <w:r>
        <w:rPr>
          <w:rFonts w:hint="cs"/>
          <w:noProof/>
          <w:rtl/>
        </w:rPr>
        <w:t>السياسة</w:t>
      </w:r>
      <w:r>
        <w:rPr>
          <w:noProof/>
          <w:rtl/>
        </w:rPr>
        <w:t xml:space="preserve">  اصطلاحًا سأذكره فيما بعد.</w:t>
      </w:r>
    </w:p>
    <w:p w:rsidR="005F44B2" w:rsidRPr="00DA75F8" w:rsidRDefault="005F44B2" w:rsidP="008171A1">
      <w:pPr>
        <w:pStyle w:val="NoSpacing"/>
        <w:rPr>
          <w:rtl/>
        </w:rPr>
      </w:pPr>
      <w:r w:rsidRPr="00DA75F8">
        <w:rPr>
          <w:rFonts w:hint="cs"/>
          <w:rtl/>
        </w:rPr>
        <w:t>الفرع</w:t>
      </w:r>
      <w:r w:rsidRPr="00DA75F8">
        <w:rPr>
          <w:rtl/>
        </w:rPr>
        <w:t xml:space="preserve"> الثاني: تعريفالشرع لغةً</w:t>
      </w:r>
    </w:p>
    <w:p w:rsidR="005F44B2" w:rsidRPr="008969F8" w:rsidRDefault="005F44B2" w:rsidP="00C14E46">
      <w:pPr>
        <w:pStyle w:val="a0"/>
        <w:rPr>
          <w:noProof/>
          <w:rtl/>
        </w:rPr>
      </w:pPr>
      <w:r w:rsidRPr="00DA75F8">
        <w:rPr>
          <w:rFonts w:hint="cs"/>
          <w:noProof/>
          <w:rtl/>
        </w:rPr>
        <w:t>قال</w:t>
      </w:r>
      <w:r w:rsidRPr="00DA75F8">
        <w:rPr>
          <w:noProof/>
          <w:rtl/>
        </w:rPr>
        <w:t xml:space="preserve"> صاحب اللسان: "شَرَعَ الوارد يَشْرَعُ شَرْعًا وشروعًا: تناول الماء بفيه. وشرعت الدوّاب في الما</w:t>
      </w:r>
      <w:r w:rsidRPr="00DA75F8">
        <w:rPr>
          <w:rFonts w:hint="cs"/>
          <w:noProof/>
          <w:rtl/>
        </w:rPr>
        <w:t>ء</w:t>
      </w:r>
      <w:r w:rsidRPr="00DA75F8">
        <w:rPr>
          <w:noProof/>
          <w:rtl/>
        </w:rPr>
        <w:t xml:space="preserve"> تشرع شرعا وشروعا أي دخ</w:t>
      </w:r>
      <w:r w:rsidRPr="00DA75F8">
        <w:rPr>
          <w:rFonts w:hint="cs"/>
          <w:noProof/>
          <w:rtl/>
        </w:rPr>
        <w:t>لت</w:t>
      </w:r>
      <w:r>
        <w:rPr>
          <w:rFonts w:hint="cs"/>
          <w:noProof/>
          <w:rtl/>
        </w:rPr>
        <w:t>ْ</w:t>
      </w:r>
      <w:r w:rsidRPr="00DA75F8">
        <w:rPr>
          <w:noProof/>
          <w:vertAlign w:val="superscript"/>
          <w:rtl/>
        </w:rPr>
        <w:t>(</w:t>
      </w:r>
      <w:r w:rsidRPr="00DA75F8">
        <w:rPr>
          <w:rStyle w:val="FootnoteReference"/>
          <w:rFonts w:cs="Arabic Transparent"/>
          <w:noProof/>
          <w:rtl/>
        </w:rPr>
        <w:footnoteReference w:id="56"/>
      </w:r>
      <w:r w:rsidRPr="00DA75F8">
        <w:rPr>
          <w:noProof/>
          <w:vertAlign w:val="superscript"/>
          <w:rtl/>
        </w:rPr>
        <w:t>)</w:t>
      </w:r>
      <w:r>
        <w:rPr>
          <w:rFonts w:hint="cs"/>
          <w:noProof/>
          <w:rtl/>
        </w:rPr>
        <w:t>،</w:t>
      </w:r>
      <w:r>
        <w:rPr>
          <w:noProof/>
          <w:rtl/>
        </w:rPr>
        <w:t xml:space="preserve"> و</w:t>
      </w:r>
      <w:r w:rsidRPr="00DA75F8">
        <w:rPr>
          <w:noProof/>
          <w:rtl/>
        </w:rPr>
        <w:t>"وبها سمي ما شرع الله للعباد شريعةً، من الصوم والصلاة والحج والنكاح وغيره"</w:t>
      </w:r>
      <w:r>
        <w:rPr>
          <w:noProof/>
          <w:vertAlign w:val="superscript"/>
          <w:rtl/>
        </w:rPr>
        <w:t>(</w:t>
      </w:r>
      <w:r w:rsidRPr="00DA75F8">
        <w:rPr>
          <w:rStyle w:val="FootnoteReference"/>
          <w:rFonts w:cs="Arabic Transparent"/>
          <w:noProof/>
          <w:rtl/>
        </w:rPr>
        <w:footnoteReference w:id="57"/>
      </w:r>
      <w:r>
        <w:rPr>
          <w:noProof/>
          <w:vertAlign w:val="superscript"/>
          <w:rtl/>
        </w:rPr>
        <w:t>)</w:t>
      </w:r>
      <w:r>
        <w:rPr>
          <w:noProof/>
          <w:rtl/>
        </w:rPr>
        <w:t>.</w:t>
      </w:r>
    </w:p>
    <w:p w:rsidR="005F44B2" w:rsidRPr="00DA75F8" w:rsidRDefault="005F44B2" w:rsidP="006F1590">
      <w:pPr>
        <w:pStyle w:val="a0"/>
        <w:rPr>
          <w:noProof/>
          <w:rtl/>
        </w:rPr>
      </w:pPr>
      <w:r w:rsidRPr="00DA75F8">
        <w:rPr>
          <w:noProof/>
          <w:rtl/>
        </w:rPr>
        <w:t xml:space="preserve"> والشِّرْعَةُ والش</w:t>
      </w:r>
      <w:r>
        <w:rPr>
          <w:rFonts w:hint="cs"/>
          <w:noProof/>
          <w:rtl/>
        </w:rPr>
        <w:t>َّ</w:t>
      </w:r>
      <w:r w:rsidRPr="00DA75F8">
        <w:rPr>
          <w:rFonts w:hint="cs"/>
          <w:noProof/>
          <w:rtl/>
        </w:rPr>
        <w:t>رِيعَةُ</w:t>
      </w:r>
      <w:r w:rsidRPr="00DA75F8">
        <w:rPr>
          <w:noProof/>
          <w:rtl/>
        </w:rPr>
        <w:t xml:space="preserve"> في كلام </w:t>
      </w:r>
      <w:r w:rsidRPr="00DA75F8">
        <w:rPr>
          <w:rFonts w:hint="cs"/>
          <w:noProof/>
          <w:rtl/>
        </w:rPr>
        <w:t>العرب</w:t>
      </w:r>
      <w:r w:rsidRPr="00DA75F8">
        <w:rPr>
          <w:noProof/>
          <w:rtl/>
        </w:rPr>
        <w:t>: مشْرَعَةُ الماءِ، وهي مورد الشاربة التي يشرعها الناس، فيشربون منها ويستقون، وربما شرَّعوها دوابَّهم حتى تشْرَعَهَا وتشرب منها،وإذا كان من السماء والأمطار فهو الكَرَع</w:t>
      </w:r>
      <w:r>
        <w:rPr>
          <w:rFonts w:hint="cs"/>
          <w:noProof/>
          <w:rtl/>
        </w:rPr>
        <w:t>ُ</w:t>
      </w:r>
      <w:r w:rsidRPr="00DA75F8">
        <w:rPr>
          <w:rFonts w:hint="cs"/>
          <w:noProof/>
          <w:rtl/>
        </w:rPr>
        <w:t>،</w:t>
      </w:r>
      <w:r w:rsidRPr="00DA75F8">
        <w:rPr>
          <w:noProof/>
          <w:rtl/>
        </w:rPr>
        <w:t xml:space="preserve"> وشرع إبله وشرَّعها: أوردها شريعة الماء فشربت ولم يستق لها"</w:t>
      </w:r>
      <w:r w:rsidRPr="00DA75F8">
        <w:rPr>
          <w:noProof/>
          <w:vertAlign w:val="superscript"/>
          <w:rtl/>
        </w:rPr>
        <w:t>(</w:t>
      </w:r>
      <w:r w:rsidRPr="00DA75F8">
        <w:rPr>
          <w:rStyle w:val="FootnoteReference"/>
          <w:rFonts w:cs="Arabic Transparent"/>
          <w:noProof/>
          <w:rtl/>
        </w:rPr>
        <w:footnoteReference w:id="58"/>
      </w:r>
      <w:r w:rsidRPr="00DA75F8">
        <w:rPr>
          <w:noProof/>
          <w:vertAlign w:val="superscript"/>
          <w:rtl/>
        </w:rPr>
        <w:t>)</w:t>
      </w:r>
      <w:r w:rsidRPr="00DA75F8">
        <w:rPr>
          <w:noProof/>
          <w:rtl/>
        </w:rPr>
        <w:t>.</w:t>
      </w:r>
    </w:p>
    <w:p w:rsidR="005F44B2" w:rsidRDefault="005F44B2" w:rsidP="008171A1">
      <w:pPr>
        <w:pStyle w:val="NoSpacing"/>
        <w:rPr>
          <w:rtl/>
        </w:rPr>
      </w:pPr>
      <w:r w:rsidRPr="00DA75F8">
        <w:rPr>
          <w:rFonts w:hint="cs"/>
          <w:rtl/>
        </w:rPr>
        <w:t>الفرع</w:t>
      </w:r>
      <w:r w:rsidRPr="00DA75F8">
        <w:rPr>
          <w:rtl/>
        </w:rPr>
        <w:t xml:space="preserve"> الثالث:</w:t>
      </w:r>
      <w:r>
        <w:rPr>
          <w:rtl/>
        </w:rPr>
        <w:t xml:space="preserve"> تعريف السياسة الشرعية</w:t>
      </w:r>
    </w:p>
    <w:p w:rsidR="005F44B2" w:rsidRDefault="005F44B2" w:rsidP="003D5455">
      <w:pPr>
        <w:pStyle w:val="a0"/>
        <w:rPr>
          <w:rtl/>
        </w:rPr>
      </w:pPr>
      <w:r>
        <w:rPr>
          <w:rFonts w:hint="cs"/>
          <w:rtl/>
        </w:rPr>
        <w:t>قد</w:t>
      </w:r>
      <w:r>
        <w:rPr>
          <w:rtl/>
        </w:rPr>
        <w:t xml:space="preserve"> وردت فيه تعري</w:t>
      </w:r>
      <w:r>
        <w:rPr>
          <w:rFonts w:hint="cs"/>
          <w:rtl/>
        </w:rPr>
        <w:t>فات</w:t>
      </w:r>
      <w:r>
        <w:rPr>
          <w:rtl/>
        </w:rPr>
        <w:t xml:space="preserve"> متعددة، ومنهم:</w:t>
      </w:r>
    </w:p>
    <w:p w:rsidR="005F44B2" w:rsidRDefault="005F44B2" w:rsidP="003D5455">
      <w:pPr>
        <w:pStyle w:val="a0"/>
        <w:rPr>
          <w:rtl/>
        </w:rPr>
      </w:pPr>
      <w:r>
        <w:rPr>
          <w:rFonts w:hint="cs"/>
          <w:rtl/>
        </w:rPr>
        <w:t>عرّفها</w:t>
      </w:r>
      <w:r>
        <w:rPr>
          <w:rtl/>
        </w:rPr>
        <w:t xml:space="preserve"> ابن عابدين بأنه: "</w:t>
      </w:r>
      <w:r w:rsidRPr="00DA75F8">
        <w:rPr>
          <w:rFonts w:hint="cs"/>
          <w:rtl/>
        </w:rPr>
        <w:t>استصلاح</w:t>
      </w:r>
      <w:r w:rsidRPr="00DA75F8">
        <w:rPr>
          <w:rtl/>
        </w:rPr>
        <w:t xml:space="preserve"> الخلق بإرشادهم إلى الطريق المنجي في الدنيا والآخرة"</w:t>
      </w:r>
      <w:r w:rsidRPr="00DA75F8">
        <w:rPr>
          <w:vertAlign w:val="superscript"/>
          <w:rtl/>
        </w:rPr>
        <w:t>(</w:t>
      </w:r>
      <w:r w:rsidRPr="00DA75F8">
        <w:rPr>
          <w:rStyle w:val="FootnoteReference"/>
          <w:rFonts w:cs="Arabic Transparent"/>
          <w:rtl/>
        </w:rPr>
        <w:footnoteReference w:id="59"/>
      </w:r>
      <w:r w:rsidRPr="00DA75F8">
        <w:rPr>
          <w:vertAlign w:val="superscript"/>
          <w:rtl/>
        </w:rPr>
        <w:t>)</w:t>
      </w:r>
      <w:r w:rsidRPr="00DA75F8">
        <w:rPr>
          <w:rtl/>
        </w:rPr>
        <w:t>.</w:t>
      </w:r>
    </w:p>
    <w:p w:rsidR="005F44B2" w:rsidRDefault="005F44B2" w:rsidP="000A2882">
      <w:pPr>
        <w:pStyle w:val="a0"/>
        <w:ind w:left="530" w:firstLine="0"/>
        <w:rPr>
          <w:rtl/>
        </w:rPr>
      </w:pPr>
      <w:r w:rsidRPr="00DA75F8">
        <w:rPr>
          <w:rFonts w:hint="cs"/>
          <w:rtl/>
        </w:rPr>
        <w:t>عرّف</w:t>
      </w:r>
      <w:r w:rsidRPr="00DA75F8">
        <w:rPr>
          <w:rtl/>
        </w:rPr>
        <w:t xml:space="preserve"> البجيرمي</w:t>
      </w:r>
      <w:r w:rsidRPr="00DA75F8">
        <w:rPr>
          <w:vertAlign w:val="superscript"/>
          <w:rtl/>
        </w:rPr>
        <w:t>(</w:t>
      </w:r>
      <w:r w:rsidRPr="00DA75F8">
        <w:rPr>
          <w:rStyle w:val="FootnoteReference"/>
          <w:rFonts w:cs="Arabic Transparent"/>
          <w:rtl/>
        </w:rPr>
        <w:footnoteReference w:id="60"/>
      </w:r>
      <w:r w:rsidRPr="00DA75F8">
        <w:rPr>
          <w:vertAlign w:val="superscript"/>
          <w:rtl/>
        </w:rPr>
        <w:t>)</w:t>
      </w:r>
      <w:r w:rsidRPr="00DA75F8">
        <w:rPr>
          <w:rtl/>
        </w:rPr>
        <w:t xml:space="preserve"> السياسة بأنّها: " إصلاح أمور الرعية، وتدبير أمورهم"</w:t>
      </w:r>
      <w:r w:rsidRPr="00DA75F8">
        <w:rPr>
          <w:vertAlign w:val="superscript"/>
          <w:rtl/>
        </w:rPr>
        <w:t>(</w:t>
      </w:r>
      <w:r w:rsidRPr="00DA75F8">
        <w:rPr>
          <w:rStyle w:val="FootnoteReference"/>
          <w:rFonts w:cs="Arabic Transparent"/>
          <w:rtl/>
        </w:rPr>
        <w:footnoteReference w:id="61"/>
      </w:r>
      <w:r w:rsidRPr="00DA75F8">
        <w:rPr>
          <w:vertAlign w:val="superscript"/>
          <w:rtl/>
        </w:rPr>
        <w:t>)</w:t>
      </w:r>
      <w:r w:rsidRPr="00DA75F8">
        <w:rPr>
          <w:rtl/>
        </w:rPr>
        <w:t>.</w:t>
      </w:r>
    </w:p>
    <w:p w:rsidR="005F44B2" w:rsidRPr="0055045C" w:rsidRDefault="005F44B2" w:rsidP="0055045C">
      <w:pPr>
        <w:pStyle w:val="a0"/>
        <w:ind w:left="530" w:firstLine="0"/>
        <w:rPr>
          <w:rtl/>
        </w:rPr>
      </w:pPr>
      <w:r w:rsidRPr="0055045C">
        <w:rPr>
          <w:rFonts w:hint="cs"/>
          <w:rtl/>
        </w:rPr>
        <w:t>عرفها</w:t>
      </w:r>
      <w:r w:rsidRPr="0055045C">
        <w:rPr>
          <w:rtl/>
        </w:rPr>
        <w:t xml:space="preserve"> عبد العال أحمد عطوة: " تدبير شؤون الدولة الإسلامية التي لم يرد بحكمها نص صريح، أو التي من شأنها أن تتغير وتتبدل، بما فيه مصلحة الأمة، ويتفق مع أحكام الشريعة وأصولها العامة"</w:t>
      </w:r>
      <w:r w:rsidRPr="0055045C">
        <w:rPr>
          <w:vertAlign w:val="superscript"/>
          <w:rtl/>
        </w:rPr>
        <w:t>(</w:t>
      </w:r>
      <w:r w:rsidRPr="0055045C">
        <w:rPr>
          <w:rStyle w:val="FootnoteReference"/>
          <w:rFonts w:cs="Arabic Transparent"/>
          <w:rtl/>
        </w:rPr>
        <w:footnoteReference w:id="62"/>
      </w:r>
      <w:r w:rsidRPr="0055045C">
        <w:rPr>
          <w:vertAlign w:val="superscript"/>
          <w:rtl/>
        </w:rPr>
        <w:t>)</w:t>
      </w:r>
      <w:r w:rsidRPr="0055045C">
        <w:rPr>
          <w:rtl/>
        </w:rPr>
        <w:t>.</w:t>
      </w:r>
    </w:p>
    <w:p w:rsidR="005F44B2" w:rsidRPr="00DA75F8" w:rsidRDefault="005F44B2" w:rsidP="008171A1">
      <w:pPr>
        <w:pStyle w:val="NoSpacing"/>
        <w:rPr>
          <w:rtl/>
        </w:rPr>
      </w:pPr>
      <w:r w:rsidRPr="00DA75F8">
        <w:rPr>
          <w:rFonts w:hint="cs"/>
          <w:rtl/>
        </w:rPr>
        <w:t>الفرع</w:t>
      </w:r>
      <w:r w:rsidRPr="00DA75F8">
        <w:rPr>
          <w:rtl/>
        </w:rPr>
        <w:t xml:space="preserve"> الرابع: تعريف الإيالة</w:t>
      </w:r>
      <w:r w:rsidRPr="00DA75F8">
        <w:rPr>
          <w:vertAlign w:val="superscript"/>
          <w:rtl/>
        </w:rPr>
        <w:t>(</w:t>
      </w:r>
      <w:r w:rsidRPr="00DA75F8">
        <w:rPr>
          <w:rStyle w:val="FootnoteReference"/>
          <w:rFonts w:cs="Arabic Transparent"/>
          <w:rtl/>
        </w:rPr>
        <w:footnoteReference w:id="63"/>
      </w:r>
      <w:r w:rsidRPr="00DA75F8">
        <w:rPr>
          <w:vertAlign w:val="superscript"/>
          <w:rtl/>
        </w:rPr>
        <w:t>)</w:t>
      </w:r>
      <w:r w:rsidRPr="00DA75F8">
        <w:rPr>
          <w:rtl/>
        </w:rPr>
        <w:t xml:space="preserve"> لغةً</w:t>
      </w:r>
    </w:p>
    <w:p w:rsidR="005F44B2" w:rsidRPr="00DA75F8" w:rsidRDefault="005F44B2" w:rsidP="007B6769">
      <w:pPr>
        <w:pStyle w:val="a0"/>
        <w:rPr>
          <w:rtl/>
        </w:rPr>
      </w:pPr>
      <w:r w:rsidRPr="00DA75F8">
        <w:rPr>
          <w:rFonts w:hint="cs"/>
          <w:rtl/>
        </w:rPr>
        <w:t>كانت</w:t>
      </w:r>
      <w:r w:rsidRPr="00DA75F8">
        <w:rPr>
          <w:rtl/>
        </w:rPr>
        <w:t xml:space="preserve"> الإيالة تُستخدم بمعنى السياسة في الماضي، وفي يومنا هذا قَلّ استخدامها، و قال الجوهري في معجمه: " والايالة: السياسةُ، يقال: آلَ الأميرُ رعيّتَه يؤوله</w:t>
      </w:r>
      <w:r w:rsidRPr="00DA75F8">
        <w:rPr>
          <w:rFonts w:hint="cs"/>
          <w:rtl/>
        </w:rPr>
        <w:t>ا</w:t>
      </w:r>
      <w:r w:rsidRPr="00DA75F8">
        <w:rPr>
          <w:rtl/>
        </w:rPr>
        <w:t xml:space="preserve"> أولا وإيالا، أي ساسها </w:t>
      </w:r>
      <w:r w:rsidRPr="00DA75F8">
        <w:rPr>
          <w:rFonts w:hint="cs"/>
          <w:rtl/>
        </w:rPr>
        <w:t>وأحسنَ</w:t>
      </w:r>
      <w:r w:rsidRPr="00DA75F8">
        <w:rPr>
          <w:rtl/>
        </w:rPr>
        <w:t xml:space="preserve"> رعايتها"</w:t>
      </w:r>
      <w:r w:rsidRPr="00DA75F8">
        <w:rPr>
          <w:vertAlign w:val="superscript"/>
          <w:rtl/>
        </w:rPr>
        <w:t>(</w:t>
      </w:r>
      <w:r w:rsidRPr="00DA75F8">
        <w:rPr>
          <w:rStyle w:val="FootnoteReference"/>
          <w:rFonts w:cs="Arabic Transparent"/>
          <w:rtl/>
        </w:rPr>
        <w:footnoteReference w:id="64"/>
      </w:r>
      <w:r w:rsidRPr="00DA75F8">
        <w:rPr>
          <w:vertAlign w:val="superscript"/>
          <w:rtl/>
        </w:rPr>
        <w:t>)</w:t>
      </w:r>
      <w:r w:rsidRPr="00DA75F8">
        <w:rPr>
          <w:rFonts w:hint="cs"/>
          <w:rtl/>
        </w:rPr>
        <w:t>،</w:t>
      </w:r>
      <w:r w:rsidRPr="00DA75F8">
        <w:rPr>
          <w:rtl/>
        </w:rPr>
        <w:t xml:space="preserve"> وفي المعجم الوسيط: " (الإيالة) الوادي وقطعة من أرض الدولة يحكمها والٍ من قبل السلطان"</w:t>
      </w:r>
      <w:r w:rsidRPr="00DA75F8">
        <w:rPr>
          <w:vertAlign w:val="superscript"/>
          <w:rtl/>
        </w:rPr>
        <w:t>(</w:t>
      </w:r>
      <w:r w:rsidRPr="00DA75F8">
        <w:rPr>
          <w:rStyle w:val="FootnoteReference"/>
          <w:rFonts w:cs="Arabic Transparent"/>
          <w:rtl/>
        </w:rPr>
        <w:footnoteReference w:id="65"/>
      </w:r>
      <w:r w:rsidRPr="00DA75F8">
        <w:rPr>
          <w:vertAlign w:val="superscript"/>
          <w:rtl/>
        </w:rPr>
        <w:t>)</w:t>
      </w:r>
      <w:r w:rsidRPr="00DA75F8">
        <w:rPr>
          <w:rtl/>
        </w:rPr>
        <w:t>.</w:t>
      </w:r>
    </w:p>
    <w:p w:rsidR="005F44B2" w:rsidRPr="00DA75F8" w:rsidRDefault="005F44B2" w:rsidP="0055045C">
      <w:pPr>
        <w:pStyle w:val="NoSpacing"/>
        <w:keepNext/>
        <w:rPr>
          <w:rtl/>
        </w:rPr>
      </w:pPr>
      <w:r w:rsidRPr="00DA75F8">
        <w:rPr>
          <w:rFonts w:hint="cs"/>
          <w:rtl/>
        </w:rPr>
        <w:t>الفرع</w:t>
      </w:r>
      <w:r w:rsidRPr="00DA75F8">
        <w:rPr>
          <w:rtl/>
        </w:rPr>
        <w:t xml:space="preserve"> ال</w:t>
      </w:r>
      <w:r>
        <w:rPr>
          <w:rFonts w:hint="cs"/>
          <w:rtl/>
        </w:rPr>
        <w:t>خامس</w:t>
      </w:r>
      <w:r w:rsidRPr="00DA75F8">
        <w:rPr>
          <w:rtl/>
        </w:rPr>
        <w:t>: تعريفالفتوىلغةً</w:t>
      </w:r>
    </w:p>
    <w:p w:rsidR="005F44B2" w:rsidRPr="00DA75F8" w:rsidRDefault="005F44B2" w:rsidP="007B6769">
      <w:pPr>
        <w:pStyle w:val="a0"/>
        <w:rPr>
          <w:rtl/>
        </w:rPr>
      </w:pPr>
      <w:r w:rsidRPr="00DA75F8">
        <w:rPr>
          <w:rFonts w:hint="cs"/>
          <w:rtl/>
        </w:rPr>
        <w:t>الفتوى</w:t>
      </w:r>
      <w:r w:rsidRPr="00DA75F8">
        <w:rPr>
          <w:rtl/>
        </w:rPr>
        <w:t xml:space="preserve"> بالواو بفتح الفاء وبا</w:t>
      </w:r>
      <w:r w:rsidRPr="00DA75F8">
        <w:rPr>
          <w:rFonts w:hint="cs"/>
          <w:rtl/>
        </w:rPr>
        <w:t>لياء</w:t>
      </w:r>
      <w:r w:rsidRPr="00DA75F8">
        <w:rPr>
          <w:rtl/>
        </w:rPr>
        <w:t xml:space="preserve"> فتضم وهي اسم منأَفْتَىإذا بين الحكم واستفتيته سألته أنيُفْتِيَ، ويقال أصله منالْفَتِيِّوهو الشاب القوي والجمع الفتاوي بكسر الواو على الأصل، وقيل يجوز الفتح للتخفيف</w:t>
      </w:r>
      <w:r w:rsidRPr="00DA75F8">
        <w:rPr>
          <w:vertAlign w:val="superscript"/>
          <w:rtl/>
        </w:rPr>
        <w:t>(</w:t>
      </w:r>
      <w:r w:rsidRPr="00DA75F8">
        <w:rPr>
          <w:rStyle w:val="FootnoteReference"/>
          <w:rFonts w:cs="Arabic Transparent"/>
          <w:rtl/>
        </w:rPr>
        <w:footnoteReference w:id="66"/>
      </w:r>
      <w:r w:rsidRPr="00DA75F8">
        <w:rPr>
          <w:vertAlign w:val="superscript"/>
          <w:rtl/>
        </w:rPr>
        <w:t>)</w:t>
      </w:r>
      <w:r w:rsidRPr="00DA75F8">
        <w:rPr>
          <w:rtl/>
        </w:rPr>
        <w:t>.</w:t>
      </w:r>
    </w:p>
    <w:p w:rsidR="005F44B2" w:rsidRDefault="005F44B2" w:rsidP="00B3034A">
      <w:pPr>
        <w:pStyle w:val="a0"/>
        <w:rPr>
          <w:rtl/>
        </w:rPr>
      </w:pPr>
      <w:r w:rsidRPr="00DA75F8">
        <w:rPr>
          <w:rFonts w:hint="cs"/>
          <w:rtl/>
        </w:rPr>
        <w:t>قال</w:t>
      </w:r>
      <w:r w:rsidRPr="00DA75F8">
        <w:rPr>
          <w:rtl/>
        </w:rPr>
        <w:t xml:space="preserve"> ابن منظور: " وفُتًى</w:t>
      </w:r>
      <w:r w:rsidRPr="00DA75F8">
        <w:rPr>
          <w:rFonts w:hint="cs"/>
          <w:rtl/>
        </w:rPr>
        <w:t>وفَتْوى</w:t>
      </w:r>
      <w:r w:rsidRPr="00DA75F8">
        <w:rPr>
          <w:rtl/>
        </w:rPr>
        <w:t xml:space="preserve"> اسمان يوضعان موض</w:t>
      </w:r>
      <w:r w:rsidRPr="00DA75F8">
        <w:rPr>
          <w:rFonts w:hint="cs"/>
          <w:rtl/>
        </w:rPr>
        <w:t>ع</w:t>
      </w:r>
      <w:r w:rsidRPr="00DA75F8">
        <w:rPr>
          <w:rtl/>
        </w:rPr>
        <w:t xml:space="preserve"> الإِفْتاء ويقال أَفْتَيْت فلاناً رؤيا رآها إِذا عبرتها له وأَفْتَيته في مسأَلته إِذا أَجبته عنها،يقال أَفْتاه في المسأَلة يُفْتِيه إِذا أَجابه والاسم الفَتْوى،والفُتيا تبيين المشكل من الأَحكام أَصله من الفَتَى"</w:t>
      </w:r>
      <w:r w:rsidRPr="00DA75F8">
        <w:rPr>
          <w:vertAlign w:val="superscript"/>
          <w:rtl/>
        </w:rPr>
        <w:t>(</w:t>
      </w:r>
      <w:r w:rsidRPr="00DA75F8">
        <w:rPr>
          <w:rStyle w:val="FootnoteReference"/>
          <w:rFonts w:cs="Arabic Transparent"/>
          <w:rtl/>
        </w:rPr>
        <w:footnoteReference w:id="67"/>
      </w:r>
      <w:r w:rsidRPr="00DA75F8">
        <w:rPr>
          <w:vertAlign w:val="superscript"/>
          <w:rtl/>
        </w:rPr>
        <w:t>)</w:t>
      </w:r>
      <w:r w:rsidRPr="00DA75F8">
        <w:rPr>
          <w:rtl/>
        </w:rPr>
        <w:t>.</w:t>
      </w:r>
    </w:p>
    <w:p w:rsidR="005F44B2" w:rsidRPr="0046163F" w:rsidRDefault="005F44B2" w:rsidP="006F59B2">
      <w:pPr>
        <w:pStyle w:val="a0"/>
        <w:rPr>
          <w:rtl/>
        </w:rPr>
      </w:pPr>
      <w:r>
        <w:rPr>
          <w:rFonts w:hint="cs"/>
          <w:rtl/>
        </w:rPr>
        <w:t>واصطلاحًا</w:t>
      </w:r>
      <w:r>
        <w:rPr>
          <w:rtl/>
        </w:rPr>
        <w:t xml:space="preserve"> عُرِّف بأنه: </w:t>
      </w:r>
      <w:r w:rsidRPr="006F59B2">
        <w:rPr>
          <w:rFonts w:hint="cs"/>
          <w:rtl/>
        </w:rPr>
        <w:t>تبي</w:t>
      </w:r>
      <w:r>
        <w:rPr>
          <w:rFonts w:hint="cs"/>
          <w:rtl/>
        </w:rPr>
        <w:t>ي</w:t>
      </w:r>
      <w:r w:rsidRPr="006F59B2">
        <w:rPr>
          <w:rFonts w:hint="cs"/>
          <w:rtl/>
        </w:rPr>
        <w:t>ن</w:t>
      </w:r>
      <w:r w:rsidRPr="006F59B2">
        <w:rPr>
          <w:rtl/>
        </w:rPr>
        <w:t xml:space="preserve"> الحكم الشر</w:t>
      </w:r>
      <w:r>
        <w:rPr>
          <w:rFonts w:hint="cs"/>
          <w:rtl/>
        </w:rPr>
        <w:t>عي</w:t>
      </w:r>
      <w:r w:rsidRPr="006F59B2">
        <w:rPr>
          <w:rtl/>
        </w:rPr>
        <w:t xml:space="preserve"> لمن سأل عنه</w:t>
      </w:r>
      <w:r>
        <w:rPr>
          <w:vertAlign w:val="superscript"/>
          <w:rtl/>
        </w:rPr>
        <w:t>(</w:t>
      </w:r>
      <w:r>
        <w:rPr>
          <w:rStyle w:val="FootnoteReference"/>
          <w:rFonts w:cs="Arabic Transparent"/>
          <w:rtl/>
        </w:rPr>
        <w:footnoteReference w:id="68"/>
      </w:r>
      <w:r>
        <w:rPr>
          <w:vertAlign w:val="superscript"/>
          <w:rtl/>
        </w:rPr>
        <w:t>)</w:t>
      </w:r>
      <w:r>
        <w:rPr>
          <w:rFonts w:hint="cs"/>
          <w:rtl/>
        </w:rPr>
        <w:t>،وعرّفها</w:t>
      </w:r>
      <w:r>
        <w:rPr>
          <w:rtl/>
        </w:rPr>
        <w:t xml:space="preserve"> القرافي: " </w:t>
      </w:r>
      <w:r w:rsidRPr="00204910">
        <w:rPr>
          <w:rFonts w:hint="cs"/>
          <w:rtl/>
        </w:rPr>
        <w:t>إخبار</w:t>
      </w:r>
      <w:r w:rsidRPr="00204910">
        <w:rPr>
          <w:rtl/>
        </w:rPr>
        <w:t xml:space="preserve"> عن الله تعالى في إلزام أو إباحة</w:t>
      </w:r>
      <w:r>
        <w:rPr>
          <w:rtl/>
        </w:rPr>
        <w:t>"</w:t>
      </w:r>
      <w:r>
        <w:rPr>
          <w:vertAlign w:val="superscript"/>
          <w:rtl/>
        </w:rPr>
        <w:t>(</w:t>
      </w:r>
      <w:r>
        <w:rPr>
          <w:rStyle w:val="FootnoteReference"/>
          <w:rFonts w:cs="Arabic Transparent"/>
          <w:rtl/>
        </w:rPr>
        <w:footnoteReference w:id="69"/>
      </w:r>
      <w:r>
        <w:rPr>
          <w:vertAlign w:val="superscript"/>
          <w:rtl/>
        </w:rPr>
        <w:t>)</w:t>
      </w:r>
      <w:r>
        <w:rPr>
          <w:rtl/>
        </w:rPr>
        <w:t>.</w:t>
      </w:r>
    </w:p>
    <w:p w:rsidR="005F44B2" w:rsidRPr="00DA75F8" w:rsidRDefault="005F44B2" w:rsidP="0055045C">
      <w:pPr>
        <w:pStyle w:val="NoSpacing"/>
        <w:rPr>
          <w:rtl/>
        </w:rPr>
      </w:pPr>
      <w:r>
        <w:rPr>
          <w:rFonts w:hint="cs"/>
          <w:rtl/>
        </w:rPr>
        <w:t>الفرع</w:t>
      </w:r>
      <w:r>
        <w:rPr>
          <w:rtl/>
        </w:rPr>
        <w:t xml:space="preserve"> السادس</w:t>
      </w:r>
      <w:r w:rsidRPr="00DA75F8">
        <w:rPr>
          <w:rtl/>
        </w:rPr>
        <w:t>: تعريف الأحكام لغةً</w:t>
      </w:r>
    </w:p>
    <w:p w:rsidR="005F44B2" w:rsidRPr="00DA75F8" w:rsidRDefault="005F44B2" w:rsidP="007B6769">
      <w:pPr>
        <w:pStyle w:val="a0"/>
        <w:rPr>
          <w:rtl/>
        </w:rPr>
      </w:pPr>
      <w:r w:rsidRPr="00DA75F8">
        <w:rPr>
          <w:rFonts w:hint="cs"/>
          <w:rtl/>
        </w:rPr>
        <w:t>هو</w:t>
      </w:r>
      <w:r w:rsidRPr="00DA75F8">
        <w:rPr>
          <w:rtl/>
        </w:rPr>
        <w:t xml:space="preserve"> جمع الحكم والحكم مصدر حَكَمَ يَحْكُمُ</w:t>
      </w:r>
      <w:r w:rsidRPr="00DA75F8">
        <w:rPr>
          <w:vertAlign w:val="superscript"/>
          <w:rtl/>
        </w:rPr>
        <w:t>(</w:t>
      </w:r>
      <w:r w:rsidRPr="00DA75F8">
        <w:rPr>
          <w:rStyle w:val="FootnoteReference"/>
          <w:rFonts w:cs="Arabic Transparent"/>
          <w:rtl/>
        </w:rPr>
        <w:footnoteReference w:id="70"/>
      </w:r>
      <w:r w:rsidRPr="00DA75F8">
        <w:rPr>
          <w:vertAlign w:val="superscript"/>
          <w:rtl/>
        </w:rPr>
        <w:t>)</w:t>
      </w:r>
      <w:r w:rsidRPr="00DA75F8">
        <w:rPr>
          <w:rtl/>
        </w:rPr>
        <w:t>. قال ابن منظور: " الحُكْمُ: العِلْمُ والفقه؛ قال الله تعالى "وآتيناه الحُكْمَ صَبِيّاً"</w:t>
      </w:r>
      <w:r w:rsidRPr="00DA75F8">
        <w:rPr>
          <w:vertAlign w:val="superscript"/>
          <w:rtl/>
        </w:rPr>
        <w:t>(</w:t>
      </w:r>
      <w:r w:rsidRPr="00DA75F8">
        <w:rPr>
          <w:rStyle w:val="FootnoteReference"/>
          <w:rFonts w:cs="Arabic Transparent"/>
          <w:rtl/>
        </w:rPr>
        <w:footnoteReference w:id="71"/>
      </w:r>
      <w:r w:rsidRPr="00DA75F8">
        <w:rPr>
          <w:vertAlign w:val="superscript"/>
          <w:rtl/>
        </w:rPr>
        <w:t>)</w:t>
      </w:r>
      <w:r w:rsidRPr="00DA75F8">
        <w:rPr>
          <w:rtl/>
        </w:rPr>
        <w:t xml:space="preserve"> أي علما وفقهاً... والحُكْمُ: العِلْمُ والفقه والقضاء بالعدل... قال ابن سيده: الحُكْمُ القَضاء وجمعه أَحْكامٌ لا يكَسَّر على غير ذلك وقد حَكَمَ عليه بالأمر يَحْكُمُ حُكْماً وحُكومةً، وحكم بينهم كذلك... الأزهريُّ: الحُكْمُ القضاء بالعدل"</w:t>
      </w:r>
      <w:r w:rsidRPr="00DA75F8">
        <w:rPr>
          <w:vertAlign w:val="superscript"/>
          <w:rtl/>
        </w:rPr>
        <w:t>(</w:t>
      </w:r>
      <w:r w:rsidRPr="00DA75F8">
        <w:rPr>
          <w:rStyle w:val="FootnoteReference"/>
          <w:rFonts w:cs="Arabic Transparent"/>
          <w:rtl/>
        </w:rPr>
        <w:footnoteReference w:id="72"/>
      </w:r>
      <w:r w:rsidRPr="00DA75F8">
        <w:rPr>
          <w:vertAlign w:val="superscript"/>
          <w:rtl/>
        </w:rPr>
        <w:t>)</w:t>
      </w:r>
      <w:r w:rsidRPr="00DA75F8">
        <w:rPr>
          <w:rtl/>
        </w:rPr>
        <w:t>.</w:t>
      </w:r>
    </w:p>
    <w:p w:rsidR="005F44B2" w:rsidRDefault="005F44B2" w:rsidP="00B64114">
      <w:pPr>
        <w:pStyle w:val="a0"/>
        <w:rPr>
          <w:rtl/>
        </w:rPr>
      </w:pPr>
      <w:r w:rsidRPr="00DA75F8">
        <w:rPr>
          <w:rFonts w:hint="cs"/>
          <w:rtl/>
        </w:rPr>
        <w:t>قال</w:t>
      </w:r>
      <w:r w:rsidRPr="00DA75F8">
        <w:rPr>
          <w:rtl/>
        </w:rPr>
        <w:t xml:space="preserve"> الزبيدي: " الحُكْمُ ، بالضَّمِّ : القَضاءُ فيالشَّيْء بأنّه كَذا أو لَيْس بِكَذا سواءٌ لزم ذلك غيره أم لا ، </w:t>
      </w:r>
      <w:r w:rsidRPr="00DA75F8">
        <w:rPr>
          <w:rFonts w:hint="cs"/>
          <w:rtl/>
        </w:rPr>
        <w:t>هذا</w:t>
      </w:r>
      <w:r w:rsidRPr="00DA75F8">
        <w:rPr>
          <w:rtl/>
        </w:rPr>
        <w:t xml:space="preserve"> قول أهل اللغة ، وخصص بعضهم فقال : القضاء بالعدل... ج : أَحْكامٌلا يُكَسَّر على غير ذلك</w:t>
      </w:r>
      <w:r>
        <w:rPr>
          <w:vertAlign w:val="superscript"/>
          <w:rtl/>
        </w:rPr>
        <w:t>(</w:t>
      </w:r>
      <w:r>
        <w:rPr>
          <w:rStyle w:val="FootnoteReference"/>
          <w:rFonts w:cs="Arabic Transparent"/>
          <w:rtl/>
        </w:rPr>
        <w:footnoteReference w:id="73"/>
      </w:r>
      <w:r>
        <w:rPr>
          <w:vertAlign w:val="superscript"/>
          <w:rtl/>
        </w:rPr>
        <w:t>)</w:t>
      </w:r>
      <w:r w:rsidRPr="00DA75F8">
        <w:rPr>
          <w:rFonts w:hint="cs"/>
          <w:rtl/>
        </w:rPr>
        <w:t>،وقد</w:t>
      </w:r>
      <w:r w:rsidRPr="00DA75F8">
        <w:rPr>
          <w:rtl/>
        </w:rPr>
        <w:t xml:space="preserve"> حَكَمَ له</w:t>
      </w:r>
      <w:r>
        <w:rPr>
          <w:rFonts w:hint="cs"/>
          <w:rtl/>
        </w:rPr>
        <w:t>و</w:t>
      </w:r>
      <w:r w:rsidRPr="00DA75F8">
        <w:rPr>
          <w:rFonts w:hint="cs"/>
          <w:rtl/>
        </w:rPr>
        <w:t>عَلَيْه</w:t>
      </w:r>
      <w:r w:rsidRPr="00DA75F8">
        <w:rPr>
          <w:rtl/>
        </w:rPr>
        <w:t xml:space="preserve"> كما في الصّحاح ، وحَكَمَ عليه بال</w:t>
      </w:r>
      <w:r w:rsidRPr="00DA75F8">
        <w:rPr>
          <w:rFonts w:hint="cs"/>
          <w:rtl/>
        </w:rPr>
        <w:t>أَمْرِ</w:t>
      </w:r>
      <w:r w:rsidRPr="00DA75F8">
        <w:rPr>
          <w:rtl/>
        </w:rPr>
        <w:t xml:space="preserve"> يَحْكُم حُكْمًا وحُكُومَةً: إِذا قَضَى . و حَكَمَ بَيْنَهُم كذلِكَ. وجَمْعُ الحُكَومَةِ"</w:t>
      </w:r>
      <w:r w:rsidRPr="00DA75F8">
        <w:rPr>
          <w:vertAlign w:val="superscript"/>
          <w:rtl/>
        </w:rPr>
        <w:t>(</w:t>
      </w:r>
      <w:r w:rsidRPr="00DA75F8">
        <w:rPr>
          <w:rStyle w:val="FootnoteReference"/>
          <w:rFonts w:cs="Arabic Transparent"/>
          <w:rtl/>
        </w:rPr>
        <w:footnoteReference w:id="74"/>
      </w:r>
      <w:r w:rsidRPr="00DA75F8">
        <w:rPr>
          <w:vertAlign w:val="superscript"/>
          <w:rtl/>
        </w:rPr>
        <w:t>)</w:t>
      </w:r>
      <w:r w:rsidRPr="00DA75F8">
        <w:rPr>
          <w:rtl/>
        </w:rPr>
        <w:t>.</w:t>
      </w:r>
    </w:p>
    <w:p w:rsidR="005F44B2" w:rsidRDefault="005F44B2" w:rsidP="00DC7D8C">
      <w:pPr>
        <w:pStyle w:val="a0"/>
        <w:rPr>
          <w:rtl/>
        </w:rPr>
      </w:pPr>
      <w:r>
        <w:rPr>
          <w:rFonts w:hint="cs"/>
          <w:rtl/>
        </w:rPr>
        <w:t>أمّا</w:t>
      </w:r>
      <w:r>
        <w:rPr>
          <w:rtl/>
        </w:rPr>
        <w:t xml:space="preserve"> الحكم اصطلاحًا: عرّفها </w:t>
      </w:r>
      <w:r w:rsidRPr="0050109F">
        <w:rPr>
          <w:rFonts w:hint="cs"/>
          <w:rtl/>
        </w:rPr>
        <w:t>الشوكاني</w:t>
      </w:r>
      <w:r>
        <w:rPr>
          <w:rtl/>
        </w:rPr>
        <w:t>: "</w:t>
      </w:r>
      <w:r w:rsidRPr="0050109F">
        <w:rPr>
          <w:rtl/>
        </w:rPr>
        <w:t xml:space="preserve"> الخطاب المتعلق بأفعال المكلفين بالاقتضاء أو التخيير أو الوضع، فيتناول اقتضاء الوجود، واقتضاء العد</w:t>
      </w:r>
      <w:r w:rsidRPr="0050109F">
        <w:rPr>
          <w:rFonts w:hint="cs"/>
          <w:rtl/>
        </w:rPr>
        <w:t>م،</w:t>
      </w:r>
      <w:r w:rsidRPr="0050109F">
        <w:rPr>
          <w:rtl/>
        </w:rPr>
        <w:t xml:space="preserve"> إما مع الجزم، أو مع ج</w:t>
      </w:r>
      <w:r w:rsidRPr="0050109F">
        <w:rPr>
          <w:rFonts w:hint="cs"/>
          <w:rtl/>
        </w:rPr>
        <w:t>واز</w:t>
      </w:r>
      <w:r w:rsidRPr="0050109F">
        <w:rPr>
          <w:rtl/>
        </w:rPr>
        <w:t xml:space="preserve"> الترك، فيدخل في هذا الواجب والمحظور، والمندوب، وال</w:t>
      </w:r>
      <w:r>
        <w:rPr>
          <w:rFonts w:hint="cs"/>
          <w:rtl/>
        </w:rPr>
        <w:t>مكروه،</w:t>
      </w:r>
      <w:r>
        <w:rPr>
          <w:rtl/>
        </w:rPr>
        <w:t xml:space="preserve"> وأما التخيير فهو الإباحة"</w:t>
      </w:r>
      <w:r>
        <w:rPr>
          <w:vertAlign w:val="superscript"/>
          <w:rtl/>
        </w:rPr>
        <w:t>(</w:t>
      </w:r>
      <w:r>
        <w:rPr>
          <w:rStyle w:val="FootnoteReference"/>
          <w:rFonts w:cs="Arabic Transparent"/>
          <w:rtl/>
        </w:rPr>
        <w:footnoteReference w:id="75"/>
      </w:r>
      <w:r>
        <w:rPr>
          <w:vertAlign w:val="superscript"/>
          <w:rtl/>
        </w:rPr>
        <w:t>)</w:t>
      </w:r>
      <w:r>
        <w:rPr>
          <w:rtl/>
        </w:rPr>
        <w:t>.</w:t>
      </w:r>
    </w:p>
    <w:p w:rsidR="005F44B2" w:rsidRPr="00A42C44" w:rsidRDefault="005F44B2" w:rsidP="00A42C44">
      <w:pPr>
        <w:pStyle w:val="a0"/>
        <w:rPr>
          <w:rtl/>
        </w:rPr>
      </w:pPr>
      <w:r w:rsidRPr="00F86F8D">
        <w:rPr>
          <w:rFonts w:hint="cs"/>
          <w:rtl/>
        </w:rPr>
        <w:t>وعرّفها</w:t>
      </w:r>
      <w:r w:rsidRPr="00F86F8D">
        <w:rPr>
          <w:rtl/>
        </w:rPr>
        <w:t xml:space="preserve"> السبكي في ((رفع الحاجب عن مختصر ابن الحاجب))</w:t>
      </w:r>
      <w:r>
        <w:rPr>
          <w:rtl/>
        </w:rPr>
        <w:t xml:space="preserve"> : " </w:t>
      </w:r>
      <w:r w:rsidRPr="00F86F8D">
        <w:rPr>
          <w:rFonts w:hint="cs"/>
          <w:rtl/>
        </w:rPr>
        <w:t>خطاب</w:t>
      </w:r>
      <w:r w:rsidRPr="00F86F8D">
        <w:rPr>
          <w:rtl/>
        </w:rPr>
        <w:t xml:space="preserve"> الله تعالى المتعلق بأفعال المكلفين</w:t>
      </w:r>
      <w:r>
        <w:rPr>
          <w:rtl/>
        </w:rPr>
        <w:t>"</w:t>
      </w:r>
      <w:r>
        <w:rPr>
          <w:vertAlign w:val="superscript"/>
          <w:rtl/>
        </w:rPr>
        <w:t>(</w:t>
      </w:r>
      <w:r>
        <w:rPr>
          <w:rStyle w:val="FootnoteReference"/>
          <w:rFonts w:cs="Arabic Transparent"/>
          <w:rtl/>
        </w:rPr>
        <w:footnoteReference w:id="76"/>
      </w:r>
      <w:r>
        <w:rPr>
          <w:vertAlign w:val="superscript"/>
          <w:rtl/>
        </w:rPr>
        <w:t>)</w:t>
      </w:r>
      <w:r>
        <w:rPr>
          <w:rtl/>
        </w:rPr>
        <w:t>.</w:t>
      </w:r>
    </w:p>
    <w:p w:rsidR="005F44B2" w:rsidRPr="00DA75F8" w:rsidRDefault="005F44B2" w:rsidP="005E6A96">
      <w:pPr>
        <w:pStyle w:val="a3"/>
        <w:rPr>
          <w:rtl/>
        </w:rPr>
      </w:pPr>
      <w:bookmarkStart w:id="16" w:name="_Toc447092558"/>
      <w:r w:rsidRPr="00DA75F8">
        <w:rPr>
          <w:rFonts w:hint="cs"/>
          <w:rtl/>
        </w:rPr>
        <w:t>المطلب</w:t>
      </w:r>
      <w:r w:rsidRPr="00DA75F8">
        <w:rPr>
          <w:rtl/>
        </w:rPr>
        <w:t xml:space="preserve"> الثاني:تعريف مفهوم السياسة الشرعية عند ابن عابدينومقارنته مع غيرهمنالفقهاء والمعاصرين</w:t>
      </w:r>
      <w:bookmarkEnd w:id="16"/>
    </w:p>
    <w:p w:rsidR="005F44B2" w:rsidRPr="00DA75F8" w:rsidRDefault="005F44B2" w:rsidP="007B6769">
      <w:pPr>
        <w:pStyle w:val="a0"/>
        <w:rPr>
          <w:rtl/>
        </w:rPr>
      </w:pPr>
      <w:r w:rsidRPr="00DA75F8">
        <w:rPr>
          <w:rFonts w:hint="cs"/>
          <w:rtl/>
        </w:rPr>
        <w:t>إذا</w:t>
      </w:r>
      <w:r w:rsidRPr="00DA75F8">
        <w:rPr>
          <w:rtl/>
        </w:rPr>
        <w:t xml:space="preserve"> أردنا أن نبحث عن آراء ابن عابدين في موضوع السياسة الشرعية في كتابه "رد المحتار"، فإننا نجد هذا الموضوع فيقسم "كتاب الحدود" تحت مطلب "في الكلام على السياسة"، غير أنه ذكر أكثر من تعريفٍ مختلفٍ للسياسة في هذا المطلب، وعليه فسيقدم الباحث هذه ا</w:t>
      </w:r>
      <w:r w:rsidRPr="00DA75F8">
        <w:rPr>
          <w:rFonts w:hint="cs"/>
          <w:rtl/>
        </w:rPr>
        <w:t>لتعريفات</w:t>
      </w:r>
      <w:r w:rsidRPr="00DA75F8">
        <w:rPr>
          <w:rtl/>
        </w:rPr>
        <w:t xml:space="preserve"> بالترتيب مبديًا آراءه حولها.</w:t>
      </w:r>
    </w:p>
    <w:p w:rsidR="005F44B2" w:rsidRPr="00DA75F8" w:rsidRDefault="005F44B2" w:rsidP="008171A1">
      <w:pPr>
        <w:pStyle w:val="NoSpacing"/>
        <w:rPr>
          <w:rtl/>
        </w:rPr>
      </w:pPr>
      <w:r w:rsidRPr="00DA75F8">
        <w:rPr>
          <w:rFonts w:hint="cs"/>
          <w:rtl/>
        </w:rPr>
        <w:t>تعريف</w:t>
      </w:r>
      <w:r w:rsidRPr="00DA75F8">
        <w:rPr>
          <w:rtl/>
        </w:rPr>
        <w:t xml:space="preserve"> السياسة الشرعية عند ابن عابدين</w:t>
      </w:r>
    </w:p>
    <w:p w:rsidR="005F44B2" w:rsidRPr="00DA75F8" w:rsidRDefault="005F44B2" w:rsidP="007B6769">
      <w:pPr>
        <w:pStyle w:val="a0"/>
        <w:rPr>
          <w:rtl/>
        </w:rPr>
      </w:pPr>
      <w:r w:rsidRPr="00DA75F8">
        <w:rPr>
          <w:rFonts w:hint="cs"/>
          <w:rtl/>
        </w:rPr>
        <w:t>اما</w:t>
      </w:r>
      <w:r w:rsidRPr="00DA75F8">
        <w:rPr>
          <w:rtl/>
        </w:rPr>
        <w:t xml:space="preserve"> تعريف السياسة الشرعية عند ابن عابدين فهي كما في الفروع التالية:</w:t>
      </w:r>
    </w:p>
    <w:p w:rsidR="005F44B2" w:rsidRPr="00DA75F8" w:rsidRDefault="005F44B2" w:rsidP="008171A1">
      <w:pPr>
        <w:pStyle w:val="NoSpacing"/>
        <w:rPr>
          <w:rtl/>
        </w:rPr>
      </w:pPr>
      <w:r w:rsidRPr="00DA75F8">
        <w:rPr>
          <w:rFonts w:hint="cs"/>
          <w:rtl/>
        </w:rPr>
        <w:t>الفرع</w:t>
      </w:r>
      <w:r w:rsidRPr="00DA75F8">
        <w:rPr>
          <w:rtl/>
        </w:rPr>
        <w:t xml:space="preserve"> الأول: التعريف الأول</w:t>
      </w:r>
      <w:r>
        <w:rPr>
          <w:rtl/>
        </w:rPr>
        <w:t xml:space="preserve"> للسياسة الشرعية عند ابن عابدين</w:t>
      </w:r>
    </w:p>
    <w:p w:rsidR="005F44B2" w:rsidRPr="00DA75F8" w:rsidRDefault="005F44B2" w:rsidP="007B6769">
      <w:pPr>
        <w:pStyle w:val="a0"/>
        <w:rPr>
          <w:rtl/>
        </w:rPr>
      </w:pPr>
      <w:r w:rsidRPr="00DA75F8">
        <w:rPr>
          <w:rFonts w:hint="cs"/>
          <w:rtl/>
        </w:rPr>
        <w:t>عرّف</w:t>
      </w:r>
      <w:r w:rsidRPr="00DA75F8">
        <w:rPr>
          <w:rtl/>
        </w:rPr>
        <w:t xml:space="preserve"> ابن عابدين السياسة الشرعية بكونها: " استصلاح الخلق بإرشادهم إلى الطريق المنجي في الدنيا والآخرة"</w:t>
      </w:r>
      <w:r w:rsidRPr="00DA75F8">
        <w:rPr>
          <w:vertAlign w:val="superscript"/>
          <w:rtl/>
        </w:rPr>
        <w:t>(</w:t>
      </w:r>
      <w:r w:rsidRPr="00DA75F8">
        <w:rPr>
          <w:rStyle w:val="FootnoteReference"/>
          <w:rFonts w:cs="Arabic Transparent"/>
          <w:rtl/>
        </w:rPr>
        <w:footnoteReference w:id="7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ثمّ</w:t>
      </w:r>
      <w:r w:rsidRPr="00DA75F8">
        <w:rPr>
          <w:rtl/>
        </w:rPr>
        <w:t xml:space="preserve"> إنّه علق إلى التعريف بقوله: " وهي مصدر ساس الوالي الرعية: أمرهم ونهاهم كما في القاموس وغيره، فالسياسة استصلاح الخلق بإرشادهم إلى الطريق المنجي في الدنيا والآخرة، فهي من الأنبياء على الخاصة والعامة في ظاهرهم وباطنهم، ومن السلاطين والملوك على كل منهم في ظاهره لا غير، ومن العلماء ورثة الأنبيا</w:t>
      </w:r>
      <w:r w:rsidRPr="00DA75F8">
        <w:rPr>
          <w:rFonts w:hint="cs"/>
          <w:rtl/>
        </w:rPr>
        <w:t>ء</w:t>
      </w:r>
      <w:r w:rsidRPr="00DA75F8">
        <w:rPr>
          <w:rtl/>
        </w:rPr>
        <w:t xml:space="preserve"> على الخاصة في باطنهم لا غير كما في المفردات وغيرها"</w:t>
      </w:r>
      <w:r w:rsidRPr="00DA75F8">
        <w:rPr>
          <w:vertAlign w:val="superscript"/>
          <w:rtl/>
        </w:rPr>
        <w:t>(</w:t>
      </w:r>
      <w:r w:rsidRPr="00DA75F8">
        <w:rPr>
          <w:rStyle w:val="FootnoteReference"/>
          <w:rFonts w:cs="Arabic Transparent"/>
          <w:sz w:val="32"/>
          <w:szCs w:val="32"/>
          <w:rtl/>
        </w:rPr>
        <w:footnoteReference w:id="7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يلاحظ</w:t>
      </w:r>
      <w:r w:rsidRPr="00DA75F8">
        <w:rPr>
          <w:rtl/>
        </w:rPr>
        <w:t xml:space="preserve"> على هذا التعريف أنه تعريف عام للسياسة الشرعية </w:t>
      </w:r>
      <w:r w:rsidRPr="00DA75F8">
        <w:rPr>
          <w:rFonts w:hint="cs"/>
          <w:rtl/>
        </w:rPr>
        <w:t>كما</w:t>
      </w:r>
      <w:r w:rsidRPr="00DA75F8">
        <w:rPr>
          <w:rtl/>
        </w:rPr>
        <w:t xml:space="preserve"> ذكر ابن عابدين حيث أر</w:t>
      </w:r>
      <w:r w:rsidRPr="00DA75F8">
        <w:rPr>
          <w:rFonts w:hint="cs"/>
          <w:rtl/>
        </w:rPr>
        <w:t>دف</w:t>
      </w:r>
      <w:r w:rsidRPr="00DA75F8">
        <w:rPr>
          <w:rtl/>
        </w:rPr>
        <w:t xml:space="preserve"> هذا المعنى بقوله: "هذا تعريف للسياسة العامة الصادقة"</w:t>
      </w:r>
      <w:r w:rsidRPr="00DA75F8">
        <w:rPr>
          <w:vertAlign w:val="superscript"/>
          <w:rtl/>
        </w:rPr>
        <w:t>(</w:t>
      </w:r>
      <w:r w:rsidRPr="00DA75F8">
        <w:rPr>
          <w:rStyle w:val="FootnoteReference"/>
          <w:rFonts w:cs="Arabic Transparent"/>
          <w:sz w:val="32"/>
          <w:szCs w:val="32"/>
          <w:rtl/>
        </w:rPr>
        <w:footnoteReference w:id="79"/>
      </w:r>
      <w:r w:rsidRPr="00DA75F8">
        <w:rPr>
          <w:vertAlign w:val="superscript"/>
          <w:rtl/>
        </w:rPr>
        <w:t>)</w:t>
      </w:r>
      <w:r w:rsidRPr="00DA75F8">
        <w:rPr>
          <w:rFonts w:hint="cs"/>
          <w:rtl/>
        </w:rPr>
        <w:t>،</w:t>
      </w:r>
      <w:r w:rsidRPr="00DA75F8">
        <w:rPr>
          <w:rtl/>
        </w:rPr>
        <w:t xml:space="preserve"> إذ يشمل جميع نواحي الحياةالسياسية والاجتماعية والاقتصادية، إذ ال</w:t>
      </w:r>
      <w:r w:rsidRPr="00DA75F8">
        <w:rPr>
          <w:rFonts w:hint="cs"/>
          <w:rtl/>
        </w:rPr>
        <w:t>إصطلاح</w:t>
      </w:r>
      <w:r w:rsidRPr="00DA75F8">
        <w:rPr>
          <w:rtl/>
        </w:rPr>
        <w:t xml:space="preserve"> عام وهو لم يحدد م</w:t>
      </w:r>
      <w:r w:rsidRPr="00DA75F8">
        <w:rPr>
          <w:rFonts w:hint="cs"/>
          <w:rtl/>
        </w:rPr>
        <w:t>جالًا</w:t>
      </w:r>
      <w:r w:rsidRPr="00DA75F8">
        <w:rPr>
          <w:rtl/>
        </w:rPr>
        <w:t xml:space="preserve"> بعينهولم يقصر السياسة الشرعية على ما فيه نص بل شمل ما فيه نص وما لا نص فيه، ثم وصل بهذا التعريف إلى النتيجة المستهدفة طبعا وهي الفوز في الدنيا والآخرة.</w:t>
      </w:r>
    </w:p>
    <w:p w:rsidR="005F44B2" w:rsidRPr="00DA75F8" w:rsidRDefault="005F44B2" w:rsidP="008171A1">
      <w:pPr>
        <w:pStyle w:val="NoSpacing"/>
        <w:rPr>
          <w:rtl/>
        </w:rPr>
      </w:pPr>
      <w:r w:rsidRPr="00DA75F8">
        <w:rPr>
          <w:rFonts w:hint="cs"/>
          <w:rtl/>
        </w:rPr>
        <w:t>الفرع</w:t>
      </w:r>
      <w:r w:rsidRPr="00DA75F8">
        <w:rPr>
          <w:rtl/>
        </w:rPr>
        <w:t xml:space="preserve"> الثاني: التعريف الثاني</w:t>
      </w:r>
      <w:r>
        <w:rPr>
          <w:rtl/>
        </w:rPr>
        <w:t xml:space="preserve"> للسياسة الشرعية عند ابن عابدين</w:t>
      </w:r>
    </w:p>
    <w:p w:rsidR="005F44B2" w:rsidRPr="00DA75F8" w:rsidRDefault="005F44B2" w:rsidP="007B6769">
      <w:pPr>
        <w:pStyle w:val="a0"/>
        <w:rPr>
          <w:rtl/>
        </w:rPr>
      </w:pPr>
      <w:r w:rsidRPr="00DA75F8">
        <w:rPr>
          <w:rtl/>
        </w:rPr>
        <w:t xml:space="preserve">" تغليظ جناية لها حكم </w:t>
      </w:r>
      <w:r w:rsidRPr="00DA75F8">
        <w:rPr>
          <w:rFonts w:hint="cs"/>
          <w:rtl/>
        </w:rPr>
        <w:t>شرعي</w:t>
      </w:r>
      <w:r w:rsidRPr="00DA75F8">
        <w:rPr>
          <w:rtl/>
        </w:rPr>
        <w:t xml:space="preserve"> حسمًا لمادة الفساد"</w:t>
      </w:r>
      <w:r w:rsidRPr="00DA75F8">
        <w:rPr>
          <w:vertAlign w:val="superscript"/>
          <w:rtl/>
        </w:rPr>
        <w:t>(</w:t>
      </w:r>
      <w:r w:rsidRPr="00DA75F8">
        <w:rPr>
          <w:rStyle w:val="FootnoteReference"/>
          <w:rFonts w:cs="Arabic Transparent"/>
          <w:rtl/>
        </w:rPr>
        <w:footnoteReference w:id="80"/>
      </w:r>
      <w:r w:rsidRPr="00DA75F8">
        <w:rPr>
          <w:vertAlign w:val="superscript"/>
          <w:rtl/>
        </w:rPr>
        <w:t>)</w:t>
      </w:r>
      <w:r w:rsidRPr="00DA75F8">
        <w:rPr>
          <w:rtl/>
        </w:rPr>
        <w:t>.</w:t>
      </w:r>
    </w:p>
    <w:p w:rsidR="005F44B2" w:rsidRPr="00DA75F8" w:rsidRDefault="005F44B2" w:rsidP="007B6769">
      <w:pPr>
        <w:pStyle w:val="a0"/>
        <w:rPr>
          <w:vertAlign w:val="superscript"/>
        </w:rPr>
      </w:pPr>
      <w:r w:rsidRPr="00DA75F8">
        <w:rPr>
          <w:rFonts w:hint="cs"/>
          <w:rtl/>
        </w:rPr>
        <w:t>حيث</w:t>
      </w:r>
      <w:r w:rsidRPr="00DA75F8">
        <w:rPr>
          <w:rtl/>
        </w:rPr>
        <w:t xml:space="preserve"> نقل ابن عابدين هذاالتعريف للسياسة الشرعية دون نسبته لأي شخص، فقال: "عرّفها بعضهم بأنها تغليظ جناية لها حكم شرعي حسمًا لمادة الفساد"</w:t>
      </w:r>
      <w:r w:rsidRPr="00DA75F8">
        <w:rPr>
          <w:vertAlign w:val="superscript"/>
          <w:rtl/>
        </w:rPr>
        <w:t>(</w:t>
      </w:r>
      <w:r w:rsidRPr="00DA75F8">
        <w:rPr>
          <w:rStyle w:val="FootnoteReference"/>
          <w:rFonts w:cs="Arabic Transparent"/>
          <w:sz w:val="32"/>
          <w:szCs w:val="32"/>
          <w:rtl/>
        </w:rPr>
        <w:footnoteReference w:id="81"/>
      </w:r>
      <w:r w:rsidRPr="00DA75F8">
        <w:rPr>
          <w:vertAlign w:val="superscript"/>
          <w:rtl/>
        </w:rPr>
        <w:t>)</w:t>
      </w:r>
      <w:r w:rsidRPr="00DA75F8">
        <w:rPr>
          <w:rFonts w:hint="cs"/>
          <w:rtl/>
        </w:rPr>
        <w:t>،</w:t>
      </w:r>
      <w:r w:rsidRPr="00DA75F8">
        <w:rPr>
          <w:rtl/>
        </w:rPr>
        <w:t xml:space="preserve"> وبعد البحث عن نسبة هذا التعريف وُجدت أنه يعودإلى "دده أفندي</w:t>
      </w:r>
      <w:r w:rsidRPr="00DA75F8">
        <w:rPr>
          <w:vertAlign w:val="superscript"/>
          <w:rtl/>
        </w:rPr>
        <w:t>(</w:t>
      </w:r>
      <w:r w:rsidRPr="00DA75F8">
        <w:rPr>
          <w:rStyle w:val="FootnoteReference"/>
          <w:rFonts w:cs="Arabic Transparent"/>
          <w:rtl/>
        </w:rPr>
        <w:footnoteReference w:id="82"/>
      </w:r>
      <w:r w:rsidRPr="00DA75F8">
        <w:rPr>
          <w:vertAlign w:val="superscript"/>
          <w:rtl/>
        </w:rPr>
        <w:t>)</w:t>
      </w:r>
      <w:r w:rsidRPr="00DA75F8">
        <w:rPr>
          <w:rtl/>
        </w:rPr>
        <w:t>" في كتابه "السياسة الش</w:t>
      </w:r>
      <w:r w:rsidRPr="00DA75F8">
        <w:rPr>
          <w:rFonts w:hint="cs"/>
          <w:rtl/>
        </w:rPr>
        <w:t>رعية</w:t>
      </w:r>
      <w:r w:rsidRPr="00DA75F8">
        <w:rPr>
          <w:rtl/>
        </w:rPr>
        <w:t xml:space="preserve">"، غير أنه عرّفه بزيادة كلمة واحدة مختلفة عن ابن عابدين وهي كلمة "جزاء"، حيث قال: "السياسة تغليظ جزاء جناية له حكم شرعي حسمًا لمادة الفساد" </w:t>
      </w:r>
      <w:r w:rsidRPr="00DA75F8">
        <w:rPr>
          <w:vertAlign w:val="superscript"/>
          <w:rtl/>
        </w:rPr>
        <w:t>(</w:t>
      </w:r>
      <w:r w:rsidRPr="00DA75F8">
        <w:rPr>
          <w:rStyle w:val="FootnoteReference"/>
          <w:rFonts w:cs="Arabic Transparent"/>
          <w:sz w:val="32"/>
          <w:szCs w:val="32"/>
          <w:rtl/>
        </w:rPr>
        <w:footnoteReference w:id="83"/>
      </w:r>
      <w:r w:rsidRPr="00DA75F8">
        <w:rPr>
          <w:vertAlign w:val="superscript"/>
          <w:rtl/>
        </w:rPr>
        <w:t xml:space="preserve">) </w:t>
      </w:r>
    </w:p>
    <w:p w:rsidR="005F44B2" w:rsidRPr="00DA75F8" w:rsidRDefault="005F44B2" w:rsidP="007B6769">
      <w:pPr>
        <w:pStyle w:val="a0"/>
        <w:rPr>
          <w:rtl/>
        </w:rPr>
      </w:pPr>
      <w:r w:rsidRPr="00DA75F8">
        <w:rPr>
          <w:rFonts w:hint="cs"/>
          <w:rtl/>
        </w:rPr>
        <w:t>وقصده</w:t>
      </w:r>
      <w:r w:rsidRPr="00DA75F8">
        <w:rPr>
          <w:rtl/>
        </w:rPr>
        <w:t xml:space="preserve"> بـ "تغليظ جناية" أنه تغليظ عقوبة على جناية، لأنّ الجناية لاتغليظ فيها بل هي فعل الجاني وهذا مضى، فكيف يكون التغليظ عليه، ويرى الباح</w:t>
      </w:r>
      <w:r w:rsidRPr="00DA75F8">
        <w:rPr>
          <w:rFonts w:hint="cs"/>
          <w:rtl/>
        </w:rPr>
        <w:t>ث</w:t>
      </w:r>
      <w:r w:rsidRPr="00DA75F8">
        <w:rPr>
          <w:rtl/>
        </w:rPr>
        <w:t xml:space="preserve"> أن هذا واضح لكل متدبر </w:t>
      </w:r>
      <w:r w:rsidRPr="00DA75F8">
        <w:rPr>
          <w:rFonts w:hint="cs"/>
          <w:rtl/>
        </w:rPr>
        <w:t>ورغم</w:t>
      </w:r>
      <w:r w:rsidRPr="00DA75F8">
        <w:rPr>
          <w:rtl/>
        </w:rPr>
        <w:t xml:space="preserve"> وضوح هذا المعنى إلا أن تعريف دده أفندي أوضح وأدق.</w:t>
      </w:r>
    </w:p>
    <w:p w:rsidR="005F44B2" w:rsidRPr="00DA75F8" w:rsidRDefault="005F44B2" w:rsidP="007B6769">
      <w:pPr>
        <w:pStyle w:val="a0"/>
        <w:rPr>
          <w:rtl/>
        </w:rPr>
      </w:pPr>
      <w:r w:rsidRPr="00DA75F8">
        <w:rPr>
          <w:rFonts w:hint="cs"/>
          <w:rtl/>
        </w:rPr>
        <w:t>ثم</w:t>
      </w:r>
      <w:r w:rsidRPr="00DA75F8">
        <w:rPr>
          <w:rtl/>
        </w:rPr>
        <w:t xml:space="preserve"> وضّح ابن عابدين لنا معنى "لها حكم شرعي"، حيث قال: "وقوله لها حكم شرعي معناه: أنها داخلة تحت قواعد الشرع وإن لم ينص عليها بخصوصها" </w:t>
      </w:r>
      <w:r w:rsidRPr="00DA75F8">
        <w:rPr>
          <w:vertAlign w:val="superscript"/>
          <w:rtl/>
        </w:rPr>
        <w:t>(</w:t>
      </w:r>
      <w:r w:rsidRPr="00DA75F8">
        <w:rPr>
          <w:rStyle w:val="FootnoteReference"/>
          <w:rFonts w:cs="Arabic Transparent"/>
          <w:rtl/>
        </w:rPr>
        <w:footnoteReference w:id="84"/>
      </w:r>
      <w:r w:rsidRPr="00DA75F8">
        <w:rPr>
          <w:vertAlign w:val="superscript"/>
          <w:rtl/>
        </w:rPr>
        <w:t>)</w:t>
      </w:r>
      <w:r w:rsidRPr="00DA75F8">
        <w:rPr>
          <w:rtl/>
        </w:rPr>
        <w:t>.</w:t>
      </w:r>
    </w:p>
    <w:p w:rsidR="005F44B2" w:rsidRPr="00DA75F8" w:rsidRDefault="005F44B2" w:rsidP="00563AF0">
      <w:pPr>
        <w:pStyle w:val="a0"/>
        <w:rPr>
          <w:rtl/>
        </w:rPr>
      </w:pPr>
      <w:r w:rsidRPr="00DA75F8">
        <w:rPr>
          <w:rFonts w:hint="cs"/>
          <w:rtl/>
        </w:rPr>
        <w:t>عندما</w:t>
      </w:r>
      <w:r w:rsidRPr="00DA75F8">
        <w:rPr>
          <w:rtl/>
        </w:rPr>
        <w:t xml:space="preserve"> ننظر إلى هذا التعريف نفهم منه أن ابن عابدين حصر نطاق السياسة الشرعية في مجال الجنايات والعقوبات، وهذا القصر يُفهم من الألفاظ التي استعملها ابن عابدين في حاشيته. وقد ذكر عبدالله الكيلاني هذا الاستعمال في كتابه، إذ قال: "حيث جاء استعمال لفظ السياسة في ال</w:t>
      </w:r>
      <w:r w:rsidRPr="00DA75F8">
        <w:rPr>
          <w:rFonts w:hint="cs"/>
          <w:rtl/>
        </w:rPr>
        <w:t>مجالات</w:t>
      </w:r>
      <w:r w:rsidRPr="00DA75F8">
        <w:rPr>
          <w:rtl/>
        </w:rPr>
        <w:t xml:space="preserve"> الآتية من الفقه الجنائي: إيقاع العقوبة بغلبة الظن سياسة، والتعزير في التهمة سياسة، والتغريب سياسة، والقتل سياسة، وقتل اللوطي، والسارق، والخنّاق سياسة عند تكرار ذلك منه"</w:t>
      </w:r>
      <w:r w:rsidRPr="00DA75F8">
        <w:rPr>
          <w:vertAlign w:val="superscript"/>
          <w:rtl/>
        </w:rPr>
        <w:t>(</w:t>
      </w:r>
      <w:r w:rsidRPr="00DA75F8">
        <w:rPr>
          <w:rStyle w:val="FootnoteReference"/>
          <w:rFonts w:cs="Arabic Transparent"/>
          <w:rtl/>
        </w:rPr>
        <w:footnoteReference w:id="85"/>
      </w:r>
      <w:r w:rsidRPr="00DA75F8">
        <w:rPr>
          <w:vertAlign w:val="superscript"/>
          <w:rtl/>
        </w:rPr>
        <w:t>)</w:t>
      </w:r>
      <w:r w:rsidRPr="00DA75F8">
        <w:rPr>
          <w:rtl/>
        </w:rPr>
        <w:t>.</w:t>
      </w:r>
    </w:p>
    <w:p w:rsidR="005F44B2" w:rsidRPr="00DA75F8" w:rsidRDefault="005F44B2" w:rsidP="008171A1">
      <w:pPr>
        <w:pStyle w:val="NoSpacing"/>
      </w:pPr>
      <w:r w:rsidRPr="00DA75F8">
        <w:rPr>
          <w:rFonts w:hint="cs"/>
          <w:rtl/>
        </w:rPr>
        <w:t>الفرع</w:t>
      </w:r>
      <w:r w:rsidRPr="00DA75F8">
        <w:rPr>
          <w:rtl/>
        </w:rPr>
        <w:t xml:space="preserve"> الثالث: التعريف الثالث</w:t>
      </w:r>
      <w:r>
        <w:rPr>
          <w:rtl/>
        </w:rPr>
        <w:t xml:space="preserve"> للسياسة الشرعية عند ابن عابدين</w:t>
      </w:r>
    </w:p>
    <w:p w:rsidR="005F44B2" w:rsidRPr="00DA75F8" w:rsidRDefault="005F44B2" w:rsidP="007B6769">
      <w:pPr>
        <w:pStyle w:val="a0"/>
        <w:rPr>
          <w:rtl/>
        </w:rPr>
      </w:pPr>
      <w:r w:rsidRPr="00DA75F8">
        <w:rPr>
          <w:rtl/>
        </w:rPr>
        <w:t>"السياسة شرع مغلظ"</w:t>
      </w:r>
      <w:r w:rsidRPr="00DA75F8">
        <w:rPr>
          <w:vertAlign w:val="superscript"/>
          <w:rtl/>
        </w:rPr>
        <w:t>(</w:t>
      </w:r>
      <w:r w:rsidRPr="00DA75F8">
        <w:rPr>
          <w:rStyle w:val="FootnoteReference"/>
          <w:rFonts w:cs="Arabic Transparent"/>
          <w:sz w:val="32"/>
          <w:szCs w:val="32"/>
          <w:rtl/>
        </w:rPr>
        <w:footnoteReference w:id="8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حيث</w:t>
      </w:r>
      <w:r w:rsidRPr="00DA75F8">
        <w:rPr>
          <w:rtl/>
        </w:rPr>
        <w:t xml:space="preserve"> قدّم لنا ابن عابدين هذا التعريف من حاشية مسكين عن الحموي، وقد عرّفها الطر</w:t>
      </w:r>
      <w:r w:rsidRPr="00DA75F8">
        <w:rPr>
          <w:rFonts w:hint="cs"/>
          <w:rtl/>
        </w:rPr>
        <w:t>ابلسي</w:t>
      </w:r>
      <w:r w:rsidRPr="00DA75F8">
        <w:rPr>
          <w:rtl/>
        </w:rPr>
        <w:t xml:space="preserve"> أيضًا بهذا</w:t>
      </w:r>
      <w:r w:rsidRPr="00DA75F8">
        <w:rPr>
          <w:vertAlign w:val="superscript"/>
          <w:rtl/>
        </w:rPr>
        <w:t>(</w:t>
      </w:r>
      <w:r w:rsidRPr="00DA75F8">
        <w:rPr>
          <w:rStyle w:val="FootnoteReference"/>
          <w:rFonts w:cs="Arabic Transparent"/>
          <w:rtl/>
        </w:rPr>
        <w:footnoteReference w:id="87"/>
      </w:r>
      <w:r w:rsidRPr="00DA75F8">
        <w:rPr>
          <w:vertAlign w:val="superscript"/>
          <w:rtl/>
        </w:rPr>
        <w:t>)</w:t>
      </w:r>
      <w:r w:rsidRPr="00DA75F8">
        <w:rPr>
          <w:rtl/>
        </w:rPr>
        <w:t>.ويرى الباحث أن التعريف الثاني والثالث في نفس المعنى على وجه التقريب، لأن هذين التعريفين في مفهوم السياسة الشرعية مقصوران على الجنايات والعقوبات. فقد أشار التعريفان إلى أن السياسة هي زيادة على عقوبة الجناية.</w:t>
      </w:r>
    </w:p>
    <w:p w:rsidR="005F44B2" w:rsidRPr="00DA75F8" w:rsidRDefault="005F44B2" w:rsidP="007B6769">
      <w:pPr>
        <w:pStyle w:val="a0"/>
      </w:pPr>
      <w:r w:rsidRPr="00DA75F8">
        <w:rPr>
          <w:rFonts w:hint="cs"/>
          <w:rtl/>
        </w:rPr>
        <w:t>ويرى</w:t>
      </w:r>
      <w:r w:rsidRPr="00DA75F8">
        <w:rPr>
          <w:rtl/>
        </w:rPr>
        <w:t xml:space="preserve"> الباحث أن مفهومي السياسة والتعزير بحسب ما ذكر ابن عابدين مترادفان</w:t>
      </w:r>
      <w:r w:rsidRPr="00DA75F8">
        <w:rPr>
          <w:vertAlign w:val="superscript"/>
          <w:rtl/>
        </w:rPr>
        <w:t>(</w:t>
      </w:r>
      <w:r w:rsidRPr="00DA75F8">
        <w:rPr>
          <w:rStyle w:val="FootnoteReference"/>
          <w:rFonts w:cs="Arabic Transparent"/>
          <w:rtl/>
        </w:rPr>
        <w:footnoteReference w:id="88"/>
      </w:r>
      <w:r w:rsidRPr="00DA75F8">
        <w:rPr>
          <w:vertAlign w:val="superscript"/>
          <w:rtl/>
        </w:rPr>
        <w:t>)</w:t>
      </w:r>
      <w:r w:rsidRPr="00DA75F8">
        <w:rPr>
          <w:rFonts w:hint="cs"/>
          <w:rtl/>
        </w:rPr>
        <w:t>،وبالرجوع</w:t>
      </w:r>
      <w:r w:rsidRPr="00DA75F8">
        <w:rPr>
          <w:rtl/>
        </w:rPr>
        <w:t xml:space="preserve"> إلى باب التعزير يُلحظ أن ابن عابدين بدأ بتعريف التعزير وبتحقيق الغلط فيالتعريف الذي لمّح إليه الحصكفي، وبعد ذلك قدّم لنا الفرق بين الحدّ والتعزير على الترتيب غير أنه ذكر عشر فروق بينهما ثمّ تحدث عن كيفية ت</w:t>
      </w:r>
      <w:r w:rsidRPr="00DA75F8">
        <w:rPr>
          <w:rFonts w:hint="cs"/>
          <w:rtl/>
        </w:rPr>
        <w:t>طبيق</w:t>
      </w:r>
      <w:r w:rsidRPr="00DA75F8">
        <w:rPr>
          <w:rtl/>
        </w:rPr>
        <w:t xml:space="preserve"> التعزير، وذكر القتل </w:t>
      </w:r>
      <w:r w:rsidRPr="00DA75F8">
        <w:rPr>
          <w:rFonts w:hint="cs"/>
          <w:rtl/>
        </w:rPr>
        <w:t>عقوبةً</w:t>
      </w:r>
      <w:r w:rsidRPr="00DA75F8">
        <w:rPr>
          <w:rtl/>
        </w:rPr>
        <w:t xml:space="preserve"> للتعزير، وبعد ذلك أورد لنا بعض المطالب عن التعزير مثل: التعزير بأخذ المال والتعزير بالقتل وتعزير المتهم وغير ذلك</w:t>
      </w:r>
      <w:r w:rsidRPr="00DA75F8">
        <w:rPr>
          <w:vertAlign w:val="superscript"/>
          <w:rtl/>
        </w:rPr>
        <w:t>(</w:t>
      </w:r>
      <w:r w:rsidRPr="00DA75F8">
        <w:rPr>
          <w:rStyle w:val="FootnoteReference"/>
          <w:rFonts w:cs="Arabic Transparent"/>
          <w:rtl/>
        </w:rPr>
        <w:footnoteReference w:id="89"/>
      </w:r>
      <w:r w:rsidRPr="00DA75F8">
        <w:rPr>
          <w:vertAlign w:val="superscript"/>
          <w:rtl/>
        </w:rPr>
        <w:t>)</w:t>
      </w:r>
      <w:r w:rsidRPr="00DA75F8">
        <w:rPr>
          <w:rtl/>
        </w:rPr>
        <w:t>. وه</w:t>
      </w:r>
      <w:r w:rsidRPr="00DA75F8">
        <w:rPr>
          <w:rFonts w:hint="cs"/>
          <w:rtl/>
        </w:rPr>
        <w:t>نا</w:t>
      </w:r>
      <w:r w:rsidRPr="00DA75F8">
        <w:rPr>
          <w:rtl/>
        </w:rPr>
        <w:t xml:space="preserve"> لا يرى الباحث أنّ كلا</w:t>
      </w:r>
      <w:r w:rsidRPr="00DA75F8">
        <w:rPr>
          <w:rFonts w:hint="cs"/>
          <w:rtl/>
        </w:rPr>
        <w:t>م</w:t>
      </w:r>
      <w:r w:rsidRPr="00DA75F8">
        <w:rPr>
          <w:rtl/>
        </w:rPr>
        <w:t xml:space="preserve"> ابن عابدين عن السياسة واقع في باب التعزير لذلك نكتفي بهذا القدر عن موضوع التعزير.</w:t>
      </w:r>
    </w:p>
    <w:p w:rsidR="005F44B2" w:rsidRPr="00DA75F8" w:rsidRDefault="005F44B2" w:rsidP="007B6769">
      <w:pPr>
        <w:pStyle w:val="a0"/>
        <w:rPr>
          <w:rtl/>
        </w:rPr>
      </w:pPr>
      <w:r w:rsidRPr="00DA75F8">
        <w:rPr>
          <w:rFonts w:hint="cs"/>
          <w:rtl/>
        </w:rPr>
        <w:t>بعد</w:t>
      </w:r>
      <w:r w:rsidRPr="00DA75F8">
        <w:rPr>
          <w:rtl/>
        </w:rPr>
        <w:t xml:space="preserve"> دراسة تعريفات ابن عابدين يتجلى أنه قسّمها إلى قسمين: أحدهما تعريف عام، ذكرناه آنفًا وهو التعريف الأول</w:t>
      </w:r>
      <w:r>
        <w:rPr>
          <w:vertAlign w:val="superscript"/>
          <w:rtl/>
        </w:rPr>
        <w:t>(</w:t>
      </w:r>
      <w:r>
        <w:rPr>
          <w:rStyle w:val="FootnoteReference"/>
          <w:rFonts w:cs="Arabic Transparent"/>
          <w:rtl/>
        </w:rPr>
        <w:footnoteReference w:id="90"/>
      </w:r>
      <w:r>
        <w:rPr>
          <w:vertAlign w:val="superscript"/>
          <w:rtl/>
        </w:rPr>
        <w:t>)</w:t>
      </w:r>
      <w:r w:rsidRPr="00DA75F8">
        <w:rPr>
          <w:rFonts w:hint="cs"/>
          <w:rtl/>
        </w:rPr>
        <w:t>،</w:t>
      </w:r>
      <w:r w:rsidRPr="00DA75F8">
        <w:rPr>
          <w:rtl/>
        </w:rPr>
        <w:t xml:space="preserve"> والآخر تعريف خاص، وهو المتمثِّل في التعريفات الأخرى</w:t>
      </w:r>
      <w:r>
        <w:rPr>
          <w:vertAlign w:val="superscript"/>
          <w:rtl/>
        </w:rPr>
        <w:t>(</w:t>
      </w:r>
      <w:r>
        <w:rPr>
          <w:rStyle w:val="FootnoteReference"/>
          <w:rFonts w:cs="Arabic Transparent"/>
          <w:rtl/>
        </w:rPr>
        <w:footnoteReference w:id="91"/>
      </w:r>
      <w:r>
        <w:rPr>
          <w:vertAlign w:val="superscript"/>
          <w:rtl/>
        </w:rPr>
        <w:t>)</w:t>
      </w:r>
      <w:r w:rsidRPr="00DA75F8">
        <w:rPr>
          <w:rFonts w:hint="cs"/>
          <w:rtl/>
        </w:rPr>
        <w:t>،</w:t>
      </w:r>
      <w:r w:rsidRPr="00DA75F8">
        <w:rPr>
          <w:rtl/>
        </w:rPr>
        <w:t xml:space="preserve"> وهذا وفقًالابن عابدين بعد ذكرهالتعريف العام حيث قال: " وتستعمل أخص من ذلك مما فيه زجر وتأديب ولو بالقتل"</w:t>
      </w:r>
      <w:r w:rsidRPr="00DA75F8">
        <w:rPr>
          <w:vertAlign w:val="superscript"/>
          <w:rtl/>
        </w:rPr>
        <w:t>(</w:t>
      </w:r>
      <w:r w:rsidRPr="00DA75F8">
        <w:rPr>
          <w:rStyle w:val="FootnoteReference"/>
          <w:rFonts w:cs="Arabic Transparent"/>
          <w:rtl/>
        </w:rPr>
        <w:footnoteReference w:id="92"/>
      </w:r>
      <w:r w:rsidRPr="00DA75F8">
        <w:rPr>
          <w:vertAlign w:val="superscript"/>
          <w:rtl/>
        </w:rPr>
        <w:t>)</w:t>
      </w:r>
      <w:r w:rsidRPr="00DA75F8">
        <w:rPr>
          <w:rtl/>
        </w:rPr>
        <w:t>.</w:t>
      </w:r>
    </w:p>
    <w:p w:rsidR="005F44B2" w:rsidRDefault="005F44B2" w:rsidP="007B6769">
      <w:pPr>
        <w:pStyle w:val="a0"/>
        <w:rPr>
          <w:rtl/>
        </w:rPr>
      </w:pPr>
      <w:r w:rsidRPr="00DA75F8">
        <w:rPr>
          <w:rFonts w:hint="cs"/>
          <w:rtl/>
        </w:rPr>
        <w:t>من</w:t>
      </w:r>
      <w:r w:rsidRPr="00DA75F8">
        <w:rPr>
          <w:rtl/>
        </w:rPr>
        <w:t xml:space="preserve"> المعلوم أن الزجر والتأديب في التعريف الخاص هما العقوبة التعزيرية، فيستنتج من هذا أن المعنى الخاص للسياسة عند ابن عابدين هي نفس التعزير، وهذا الاستنتاج مؤيّد لكلام ابن عابدين حيث يقول أن التعزير والسياسة م</w:t>
      </w:r>
      <w:r w:rsidRPr="00DA75F8">
        <w:rPr>
          <w:rFonts w:hint="cs"/>
          <w:rtl/>
        </w:rPr>
        <w:t>ترادفان</w:t>
      </w:r>
      <w:r w:rsidRPr="00DA75F8">
        <w:rPr>
          <w:vertAlign w:val="superscript"/>
          <w:rtl/>
        </w:rPr>
        <w:t>(</w:t>
      </w:r>
      <w:r w:rsidRPr="00DA75F8">
        <w:rPr>
          <w:rStyle w:val="FootnoteReference"/>
          <w:rFonts w:cs="Arabic Transparent"/>
          <w:rtl/>
        </w:rPr>
        <w:footnoteReference w:id="93"/>
      </w:r>
      <w:r w:rsidRPr="00DA75F8">
        <w:rPr>
          <w:vertAlign w:val="superscript"/>
          <w:rtl/>
        </w:rPr>
        <w:t>)</w:t>
      </w:r>
      <w:r w:rsidRPr="00DA75F8">
        <w:rPr>
          <w:rtl/>
        </w:rPr>
        <w:t>.</w:t>
      </w:r>
    </w:p>
    <w:p w:rsidR="005F44B2" w:rsidRPr="00DA75F8" w:rsidRDefault="005F44B2" w:rsidP="00936C55">
      <w:pPr>
        <w:pStyle w:val="a0"/>
        <w:rPr>
          <w:rtl/>
        </w:rPr>
      </w:pPr>
      <w:r>
        <w:rPr>
          <w:rFonts w:hint="cs"/>
          <w:rtl/>
        </w:rPr>
        <w:t>مما</w:t>
      </w:r>
      <w:r>
        <w:rPr>
          <w:rtl/>
        </w:rPr>
        <w:t xml:space="preserve"> سبق إلى الآن يُفهم أن ابن عابدين أخذ السياسة الشرعية بشكل عام حيث تشمل أيضًا بتعريفاته الخاصة التي قصر ابن عابدين السياسة الشرعية فيها على الجنايات والعقوبات، أما نقطة مهمة في تعريف الخاص وهي أن السياسة الشرعية يُعمل فيها من قِبل القاضي حيث يقرّر تغليظ في عقوبة الجنايات أمّا في شأن العام يُستخد السياسة الشرعية من قِبل الإمام أو من ينوب عنه.</w:t>
      </w:r>
    </w:p>
    <w:p w:rsidR="005F44B2" w:rsidRPr="00DA75F8" w:rsidRDefault="005F44B2" w:rsidP="00563AF0">
      <w:pPr>
        <w:pStyle w:val="a3"/>
        <w:rPr>
          <w:rtl/>
        </w:rPr>
      </w:pPr>
      <w:bookmarkStart w:id="17" w:name="_Toc447092559"/>
      <w:r w:rsidRPr="00DA75F8">
        <w:rPr>
          <w:rFonts w:hint="cs"/>
          <w:rtl/>
        </w:rPr>
        <w:t>المطلب</w:t>
      </w:r>
      <w:r w:rsidRPr="00DA75F8">
        <w:rPr>
          <w:rtl/>
        </w:rPr>
        <w:t xml:space="preserve"> الثاني:تعريف مفهوم السياسة الشرعية عند الفقهاءومقارنته مع </w:t>
      </w:r>
      <w:r>
        <w:rPr>
          <w:rFonts w:hint="cs"/>
          <w:rtl/>
        </w:rPr>
        <w:t>تعريفات</w:t>
      </w:r>
      <w:r w:rsidRPr="00DA75F8">
        <w:rPr>
          <w:rtl/>
        </w:rPr>
        <w:t xml:space="preserve"> من ابن عابدين</w:t>
      </w:r>
      <w:bookmarkEnd w:id="17"/>
    </w:p>
    <w:p w:rsidR="005F44B2" w:rsidRPr="00DA75F8" w:rsidRDefault="005F44B2" w:rsidP="008171A1">
      <w:pPr>
        <w:pStyle w:val="NoSpacing"/>
        <w:rPr>
          <w:rtl/>
        </w:rPr>
      </w:pPr>
      <w:r w:rsidRPr="00DA75F8">
        <w:rPr>
          <w:rFonts w:hint="cs"/>
          <w:rtl/>
        </w:rPr>
        <w:t>الفرع</w:t>
      </w:r>
      <w:r w:rsidRPr="00DA75F8">
        <w:rPr>
          <w:rtl/>
        </w:rPr>
        <w:t xml:space="preserve"> الأول:تعريف مفهوم السياسة الشرعية عند الفقهاء</w:t>
      </w:r>
    </w:p>
    <w:p w:rsidR="005F44B2" w:rsidRPr="00DA75F8" w:rsidRDefault="005F44B2" w:rsidP="007B6769">
      <w:pPr>
        <w:pStyle w:val="a0"/>
        <w:rPr>
          <w:rtl/>
        </w:rPr>
      </w:pPr>
      <w:r w:rsidRPr="00DA75F8">
        <w:rPr>
          <w:rFonts w:hint="cs"/>
          <w:rtl/>
        </w:rPr>
        <w:t>ذكر</w:t>
      </w:r>
      <w:r w:rsidRPr="00DA75F8">
        <w:rPr>
          <w:rtl/>
        </w:rPr>
        <w:t xml:space="preserve"> الباحث تعريف السياسة الشرعية عند ابن عابدين وفي هذا القسم سنذكر تعريف السياسة الشرعية عند الفقهاء.</w:t>
      </w:r>
    </w:p>
    <w:p w:rsidR="005F44B2" w:rsidRPr="00DA75F8" w:rsidRDefault="005F44B2" w:rsidP="00A323B5">
      <w:pPr>
        <w:pStyle w:val="NoSpacing"/>
        <w:keepNext/>
      </w:pPr>
      <w:r w:rsidRPr="00DA75F8">
        <w:rPr>
          <w:rFonts w:hint="cs"/>
          <w:rtl/>
        </w:rPr>
        <w:t>أولاً</w:t>
      </w:r>
      <w:r w:rsidRPr="00DA75F8">
        <w:rPr>
          <w:rtl/>
        </w:rPr>
        <w:t>: السياسة الشرعية عند الحنفية</w:t>
      </w:r>
    </w:p>
    <w:p w:rsidR="005F44B2" w:rsidRPr="00DA75F8" w:rsidRDefault="005F44B2" w:rsidP="007B6769">
      <w:pPr>
        <w:pStyle w:val="a0"/>
        <w:numPr>
          <w:ilvl w:val="0"/>
          <w:numId w:val="7"/>
        </w:numPr>
      </w:pPr>
      <w:r w:rsidRPr="00DA75F8">
        <w:rPr>
          <w:rFonts w:hint="cs"/>
          <w:rtl/>
        </w:rPr>
        <w:t>عرّفها</w:t>
      </w:r>
      <w:r w:rsidRPr="00DA75F8">
        <w:rPr>
          <w:rtl/>
        </w:rPr>
        <w:t xml:space="preserve"> ابن نجيم</w:t>
      </w:r>
      <w:r w:rsidRPr="00DA75F8">
        <w:rPr>
          <w:vertAlign w:val="superscript"/>
          <w:rtl/>
        </w:rPr>
        <w:t>(</w:t>
      </w:r>
      <w:r w:rsidRPr="00DA75F8">
        <w:rPr>
          <w:rStyle w:val="FootnoteReference"/>
          <w:rFonts w:cs="Arabic Transparent"/>
          <w:rtl/>
        </w:rPr>
        <w:footnoteReference w:id="94"/>
      </w:r>
      <w:r w:rsidRPr="00DA75F8">
        <w:rPr>
          <w:vertAlign w:val="superscript"/>
          <w:rtl/>
        </w:rPr>
        <w:t>)</w:t>
      </w:r>
      <w:r w:rsidRPr="00DA75F8">
        <w:rPr>
          <w:rtl/>
        </w:rPr>
        <w:t xml:space="preserve"> بأنها: "فعل شيء من الحاكم لمصلحة يراها، وإن لم يرد بذلك الفعل دليل جزئي"</w:t>
      </w:r>
      <w:r w:rsidRPr="00DA75F8">
        <w:rPr>
          <w:vertAlign w:val="superscript"/>
          <w:rtl/>
        </w:rPr>
        <w:t>(</w:t>
      </w:r>
      <w:r w:rsidRPr="00DA75F8">
        <w:rPr>
          <w:rStyle w:val="FootnoteReference"/>
          <w:rFonts w:cs="Arabic Transparent"/>
          <w:rtl/>
        </w:rPr>
        <w:footnoteReference w:id="9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w:t>
      </w:r>
      <w:r w:rsidRPr="00DA75F8">
        <w:rPr>
          <w:rtl/>
        </w:rPr>
        <w:t xml:space="preserve"> قال في موضع آخر: " ولم أر في كلام مشايخنا تعريف السياسة"</w:t>
      </w:r>
      <w:r w:rsidRPr="00DA75F8">
        <w:rPr>
          <w:vertAlign w:val="superscript"/>
          <w:rtl/>
        </w:rPr>
        <w:t>(</w:t>
      </w:r>
      <w:r w:rsidRPr="00DA75F8">
        <w:rPr>
          <w:rStyle w:val="FootnoteReference"/>
          <w:rFonts w:cs="Arabic Transparent"/>
          <w:rtl/>
        </w:rPr>
        <w:footnoteReference w:id="96"/>
      </w:r>
      <w:r w:rsidRPr="00DA75F8">
        <w:rPr>
          <w:vertAlign w:val="superscript"/>
          <w:rtl/>
        </w:rPr>
        <w:t>)</w:t>
      </w:r>
      <w:r w:rsidRPr="00DA75F8">
        <w:rPr>
          <w:rFonts w:hint="cs"/>
          <w:rtl/>
        </w:rPr>
        <w:t>،وقد</w:t>
      </w:r>
      <w:r w:rsidRPr="00DA75F8">
        <w:rPr>
          <w:rtl/>
        </w:rPr>
        <w:t xml:space="preserve"> قسّم ابن نجيم السياسة الى قسمين سياسة عادلة وسياسة ظالمة حيث قال: " السياسة نوعان سياسة عادلة تخرج الحق من الظالم الفاجر فهي من الشريعة علمها من علمها وجهلها من جهلها، وقد صنف الناس في السياسة الش</w:t>
      </w:r>
      <w:r w:rsidRPr="00DA75F8">
        <w:rPr>
          <w:rFonts w:hint="cs"/>
          <w:rtl/>
        </w:rPr>
        <w:t>رعية</w:t>
      </w:r>
      <w:r w:rsidRPr="00DA75F8">
        <w:rPr>
          <w:rtl/>
        </w:rPr>
        <w:t xml:space="preserve"> كتبا متعددة، والنوع الآخر سياسة ظالمة فالشريعة تحرمها"</w:t>
      </w:r>
      <w:r w:rsidRPr="00DA75F8">
        <w:rPr>
          <w:vertAlign w:val="superscript"/>
          <w:rtl/>
        </w:rPr>
        <w:t>(</w:t>
      </w:r>
      <w:r w:rsidRPr="00DA75F8">
        <w:rPr>
          <w:rStyle w:val="FootnoteReference"/>
          <w:rFonts w:cs="Arabic Transparent"/>
          <w:rtl/>
        </w:rPr>
        <w:footnoteReference w:id="9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إنّ</w:t>
      </w:r>
      <w:r w:rsidRPr="00DA75F8">
        <w:rPr>
          <w:rtl/>
        </w:rPr>
        <w:t xml:space="preserve"> تعريف ابن نجيم للسياسة الشرعية هو تعريف عام وهو لم يقيّد السياسة الشرعية في مجال العقوبات وا</w:t>
      </w:r>
      <w:r w:rsidRPr="00DA75F8">
        <w:rPr>
          <w:rFonts w:hint="cs"/>
          <w:rtl/>
        </w:rPr>
        <w:t>لجنايات،</w:t>
      </w:r>
      <w:r w:rsidRPr="00DA75F8">
        <w:rPr>
          <w:rtl/>
        </w:rPr>
        <w:t xml:space="preserve"> و شرحت الرفاعي </w:t>
      </w:r>
      <w:r w:rsidRPr="00DA75F8">
        <w:rPr>
          <w:rFonts w:hint="cs"/>
          <w:rtl/>
        </w:rPr>
        <w:t>تعريف</w:t>
      </w:r>
      <w:r w:rsidRPr="00DA75F8">
        <w:rPr>
          <w:rtl/>
        </w:rPr>
        <w:t xml:space="preserve"> ابن نجيم فقالت: " وفي قوله ((لمصلحة يراها)) أي مصلحة شرعيّة، لأن تصرف الحاكم مقيد بمبادئ الشرع الكلية، ومقاصده العامة، بدليل قوله بعد ذلك (( وإن لم يرد بذلك دليل جزئي)) أي يكتفي باعتماده على القواعد العامة التي هي روح الشريعة، وهذا الإيحاء معتبر" </w:t>
      </w:r>
      <w:r w:rsidRPr="00DA75F8">
        <w:rPr>
          <w:vertAlign w:val="superscript"/>
          <w:rtl/>
        </w:rPr>
        <w:t>(</w:t>
      </w:r>
      <w:r w:rsidRPr="00DA75F8">
        <w:rPr>
          <w:rStyle w:val="FootnoteReference"/>
          <w:rFonts w:cs="Arabic Transparent"/>
          <w:rtl/>
        </w:rPr>
        <w:footnoteReference w:id="98"/>
      </w:r>
      <w:r w:rsidRPr="00DA75F8">
        <w:rPr>
          <w:vertAlign w:val="superscript"/>
          <w:rtl/>
        </w:rPr>
        <w:t>)</w:t>
      </w:r>
      <w:r w:rsidRPr="00DA75F8">
        <w:rPr>
          <w:rtl/>
        </w:rPr>
        <w:t>.</w:t>
      </w:r>
    </w:p>
    <w:p w:rsidR="005F44B2" w:rsidRPr="00DA75F8" w:rsidRDefault="005F44B2" w:rsidP="007B6769">
      <w:pPr>
        <w:pStyle w:val="a0"/>
        <w:numPr>
          <w:ilvl w:val="0"/>
          <w:numId w:val="7"/>
        </w:numPr>
      </w:pPr>
      <w:r w:rsidRPr="00DA75F8">
        <w:rPr>
          <w:rFonts w:hint="cs"/>
          <w:rtl/>
        </w:rPr>
        <w:t>عرّفها</w:t>
      </w:r>
      <w:r w:rsidRPr="00DA75F8">
        <w:rPr>
          <w:rtl/>
        </w:rPr>
        <w:t xml:space="preserve"> الطرابلسي</w:t>
      </w:r>
      <w:r w:rsidRPr="00DA75F8">
        <w:rPr>
          <w:vertAlign w:val="superscript"/>
          <w:rtl/>
        </w:rPr>
        <w:t>(</w:t>
      </w:r>
      <w:r w:rsidRPr="00DA75F8">
        <w:rPr>
          <w:rStyle w:val="FootnoteReference"/>
          <w:rFonts w:cs="Arabic Transparent"/>
          <w:rtl/>
        </w:rPr>
        <w:footnoteReference w:id="99"/>
      </w:r>
      <w:r w:rsidRPr="00DA75F8">
        <w:rPr>
          <w:vertAlign w:val="superscript"/>
          <w:rtl/>
        </w:rPr>
        <w:t>)</w:t>
      </w:r>
      <w:r w:rsidRPr="00DA75F8">
        <w:rPr>
          <w:rtl/>
        </w:rPr>
        <w:t xml:space="preserve"> : "السياسة شرع مغلظ"</w:t>
      </w:r>
      <w:r w:rsidRPr="00DA75F8">
        <w:rPr>
          <w:vertAlign w:val="superscript"/>
          <w:rtl/>
        </w:rPr>
        <w:t>(</w:t>
      </w:r>
      <w:r w:rsidRPr="00DA75F8">
        <w:rPr>
          <w:rStyle w:val="FootnoteReference"/>
          <w:rFonts w:cs="Arabic Transparent"/>
          <w:rtl/>
        </w:rPr>
        <w:footnoteReference w:id="100"/>
      </w:r>
      <w:r w:rsidRPr="00DA75F8">
        <w:rPr>
          <w:vertAlign w:val="superscript"/>
          <w:rtl/>
        </w:rPr>
        <w:t>)</w:t>
      </w:r>
      <w:r w:rsidRPr="00DA75F8">
        <w:rPr>
          <w:rtl/>
        </w:rPr>
        <w:t>.</w:t>
      </w:r>
    </w:p>
    <w:p w:rsidR="005F44B2" w:rsidRPr="00DA75F8" w:rsidRDefault="005F44B2" w:rsidP="007B6769">
      <w:pPr>
        <w:pStyle w:val="a0"/>
        <w:numPr>
          <w:ilvl w:val="0"/>
          <w:numId w:val="7"/>
        </w:numPr>
        <w:rPr>
          <w:rtl/>
        </w:rPr>
      </w:pPr>
      <w:r w:rsidRPr="00DA75F8">
        <w:rPr>
          <w:rFonts w:hint="cs"/>
          <w:rtl/>
        </w:rPr>
        <w:t>عرّفها</w:t>
      </w:r>
      <w:r w:rsidRPr="00DA75F8">
        <w:rPr>
          <w:rtl/>
        </w:rPr>
        <w:t xml:space="preserve"> دده أفندي: "السياسة تغليظ جزاء جناية له حكم شرعي حسمًا لمادة الفساد" </w:t>
      </w:r>
      <w:r w:rsidRPr="00DA75F8">
        <w:rPr>
          <w:vertAlign w:val="superscript"/>
          <w:rtl/>
        </w:rPr>
        <w:t>(</w:t>
      </w:r>
      <w:r w:rsidRPr="00DA75F8">
        <w:rPr>
          <w:rStyle w:val="FootnoteReference"/>
          <w:rFonts w:cs="Arabic Transparent"/>
          <w:sz w:val="32"/>
          <w:szCs w:val="32"/>
          <w:rtl/>
        </w:rPr>
        <w:footnoteReference w:id="101"/>
      </w:r>
      <w:r w:rsidRPr="00DA75F8">
        <w:rPr>
          <w:vertAlign w:val="superscript"/>
          <w:rtl/>
        </w:rPr>
        <w:t xml:space="preserve">) </w:t>
      </w:r>
      <w:r w:rsidRPr="00DA75F8">
        <w:rPr>
          <w:rFonts w:hint="cs"/>
          <w:rtl/>
        </w:rPr>
        <w:t>وقد</w:t>
      </w:r>
      <w:r w:rsidRPr="00DA75F8">
        <w:rPr>
          <w:rtl/>
        </w:rPr>
        <w:t xml:space="preserve"> تحدّث الباحث سابقًا عن كلا التعريفين في تعريف السياسة الشرعية عند ابن عابدين</w:t>
      </w:r>
      <w:r w:rsidRPr="00DA75F8">
        <w:rPr>
          <w:vertAlign w:val="superscript"/>
          <w:rtl/>
        </w:rPr>
        <w:t>(</w:t>
      </w:r>
      <w:r w:rsidRPr="00DA75F8">
        <w:rPr>
          <w:rStyle w:val="FootnoteReference"/>
          <w:rFonts w:cs="Arabic Transparent"/>
          <w:rtl/>
        </w:rPr>
        <w:footnoteReference w:id="10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نلاحظ</w:t>
      </w:r>
      <w:r w:rsidRPr="00DA75F8">
        <w:rPr>
          <w:rtl/>
        </w:rPr>
        <w:t xml:space="preserve"> من تعريفات الحنفية أن بعضهم قصر مفهوم السياسة الشرعية على الجنايات والعقوبات مثل الطرابلسي ودده أفندي، وبعضهم عرّفها بشكل عام كابن نجيم، ومن المعروف أن ابن عابدين ذكر كلاً من تعريف السياسة الشرعية العام والخاص كما ذكرنا آنفًا، لذلك نستنتج من التعريفات أن ابن عابدين وعلماء الحنفية عرفوها بالعموم أحيانًا وبالخصوص أحيانًا أخرى.</w:t>
      </w:r>
    </w:p>
    <w:p w:rsidR="005F44B2" w:rsidRPr="00DA75F8" w:rsidRDefault="005F44B2" w:rsidP="006D59AD">
      <w:pPr>
        <w:pStyle w:val="NoSpacing"/>
        <w:keepNext/>
      </w:pPr>
      <w:r w:rsidRPr="00DA75F8">
        <w:rPr>
          <w:rFonts w:hint="cs"/>
          <w:rtl/>
        </w:rPr>
        <w:t>ثانيًا</w:t>
      </w:r>
      <w:r w:rsidRPr="00DA75F8">
        <w:rPr>
          <w:rtl/>
        </w:rPr>
        <w:t>: السياسة الشرعية عند المالكية</w:t>
      </w:r>
    </w:p>
    <w:p w:rsidR="005F44B2" w:rsidRPr="00DA75F8" w:rsidRDefault="005F44B2" w:rsidP="004C67AC">
      <w:pPr>
        <w:pStyle w:val="a0"/>
        <w:numPr>
          <w:ilvl w:val="0"/>
          <w:numId w:val="9"/>
        </w:numPr>
        <w:rPr>
          <w:rtl/>
        </w:rPr>
      </w:pPr>
      <w:r w:rsidRPr="00DA75F8">
        <w:rPr>
          <w:rFonts w:hint="cs"/>
          <w:rtl/>
        </w:rPr>
        <w:t>عرّف</w:t>
      </w:r>
      <w:r w:rsidRPr="00DA75F8">
        <w:rPr>
          <w:rtl/>
        </w:rPr>
        <w:t xml:space="preserve"> الإمام الزرقاني</w:t>
      </w:r>
      <w:r w:rsidRPr="00DA75F8">
        <w:rPr>
          <w:vertAlign w:val="superscript"/>
          <w:rtl/>
        </w:rPr>
        <w:t>(</w:t>
      </w:r>
      <w:r w:rsidRPr="00DA75F8">
        <w:rPr>
          <w:rStyle w:val="FootnoteReference"/>
          <w:rFonts w:cs="Arabic Transparent"/>
          <w:rtl/>
        </w:rPr>
        <w:footnoteReference w:id="103"/>
      </w:r>
      <w:r w:rsidRPr="00DA75F8">
        <w:rPr>
          <w:vertAlign w:val="superscript"/>
          <w:rtl/>
        </w:rPr>
        <w:t>)</w:t>
      </w:r>
      <w:r w:rsidRPr="00DA75F8">
        <w:rPr>
          <w:rFonts w:hint="cs"/>
          <w:rtl/>
        </w:rPr>
        <w:t>علم</w:t>
      </w:r>
      <w:r w:rsidRPr="00DA75F8">
        <w:rPr>
          <w:rtl/>
        </w:rPr>
        <w:t xml:space="preserve"> السياسة في كتابه عند شرح الحديث عن رسول الله صلى الله عليه وسلّم وهو  "المستشار مؤتَمَن"</w:t>
      </w:r>
      <w:r w:rsidRPr="00DA75F8">
        <w:rPr>
          <w:vertAlign w:val="superscript"/>
          <w:rtl/>
        </w:rPr>
        <w:t>(</w:t>
      </w:r>
      <w:r w:rsidRPr="00DA75F8">
        <w:rPr>
          <w:rStyle w:val="FootnoteReference"/>
          <w:rFonts w:cs="Arabic Transparent"/>
          <w:rtl/>
        </w:rPr>
        <w:footnoteReference w:id="104"/>
      </w:r>
      <w:r w:rsidRPr="00DA75F8">
        <w:rPr>
          <w:vertAlign w:val="superscript"/>
          <w:rtl/>
        </w:rPr>
        <w:t>)</w:t>
      </w:r>
      <w:r w:rsidRPr="00DA75F8">
        <w:rPr>
          <w:rFonts w:hint="cs"/>
          <w:rtl/>
        </w:rPr>
        <w:t>،</w:t>
      </w:r>
      <w:r w:rsidRPr="00DA75F8">
        <w:rPr>
          <w:rtl/>
        </w:rPr>
        <w:t xml:space="preserve"> وبيّن أوصاف المستشار والناصح فقال: " إنهما يحتاجان إلى علم كبير كثير، فيحتاج أولًا إلى علم الشريعة، وهو العلم المتضمِّن لأحوال الناس، وعلم الزمان والمكان، وعلم الترجيح إذا تقابلت هذه الأمور، فقد يكون ما يصلح الزمان يفسد الحال أو المكان، وهكذا، فينظر إلى الترجيح، فيفعل بحسب الأرجح عنده، مثاله: أن يضيق الزمن عن فعل أمرين اقتضاهما الحال، فيشير بأهمها، وإذا عرف من حال إنسان المخالفة، وأنه إذا أرشده لشيء فعل ضده، أشار عليه بما لا ينبغي ليفعل ما ينبغي، وهذا يسمَّى علم السياسة، فإنه يسوس بذلك النفوس الجموحة، الشاردة عن طريق مصالحها"</w:t>
      </w:r>
      <w:r w:rsidRPr="00DA75F8">
        <w:rPr>
          <w:vertAlign w:val="superscript"/>
          <w:rtl/>
        </w:rPr>
        <w:t>(</w:t>
      </w:r>
      <w:r w:rsidRPr="00DA75F8">
        <w:rPr>
          <w:rStyle w:val="FootnoteReference"/>
          <w:rFonts w:cs="Arabic Transparent"/>
          <w:rtl/>
        </w:rPr>
        <w:footnoteReference w:id="105"/>
      </w:r>
      <w:r>
        <w:rPr>
          <w:vertAlign w:val="superscript"/>
          <w:rtl/>
        </w:rPr>
        <w:t>)</w:t>
      </w:r>
      <w:r>
        <w:rPr>
          <w:rFonts w:hint="cs"/>
          <w:rtl/>
        </w:rPr>
        <w:t>،</w:t>
      </w:r>
      <w:r>
        <w:rPr>
          <w:rtl/>
        </w:rPr>
        <w:t xml:space="preserve"> إذنفالسياسة عنده: سوس النفوس الجموحة الشاردة عن طريق مصالحها</w:t>
      </w:r>
    </w:p>
    <w:p w:rsidR="005F44B2" w:rsidRPr="00DA75F8" w:rsidRDefault="005F44B2" w:rsidP="007B6769">
      <w:pPr>
        <w:pStyle w:val="a0"/>
        <w:rPr>
          <w:rtl/>
        </w:rPr>
      </w:pPr>
      <w:r>
        <w:rPr>
          <w:rFonts w:hint="cs"/>
          <w:rtl/>
        </w:rPr>
        <w:t>و</w:t>
      </w:r>
      <w:r w:rsidRPr="00DA75F8">
        <w:rPr>
          <w:rFonts w:hint="cs"/>
          <w:rtl/>
        </w:rPr>
        <w:t>يُلحظ</w:t>
      </w:r>
      <w:r w:rsidRPr="00DA75F8">
        <w:rPr>
          <w:rtl/>
        </w:rPr>
        <w:t xml:space="preserve"> </w:t>
      </w:r>
      <w:r>
        <w:rPr>
          <w:rFonts w:hint="cs"/>
          <w:rtl/>
        </w:rPr>
        <w:t>هنا</w:t>
      </w:r>
      <w:r>
        <w:rPr>
          <w:rtl/>
        </w:rPr>
        <w:t xml:space="preserve"> </w:t>
      </w:r>
      <w:r w:rsidRPr="00DA75F8">
        <w:rPr>
          <w:rFonts w:hint="cs"/>
          <w:rtl/>
        </w:rPr>
        <w:t>من</w:t>
      </w:r>
      <w:r w:rsidRPr="00DA75F8">
        <w:rPr>
          <w:rtl/>
        </w:rPr>
        <w:t xml:space="preserve"> شرحه أن السياسة تراعي مصلحة الرعيّة، استخلاصًا من عبارته و</w:t>
      </w:r>
      <w:r w:rsidRPr="00DA75F8">
        <w:rPr>
          <w:rFonts w:hint="cs"/>
          <w:rtl/>
        </w:rPr>
        <w:t>هي</w:t>
      </w:r>
      <w:r w:rsidRPr="00DA75F8">
        <w:rPr>
          <w:rtl/>
        </w:rPr>
        <w:t>: "فإنه يسوس بذلك النف</w:t>
      </w:r>
      <w:r w:rsidRPr="00DA75F8">
        <w:rPr>
          <w:rFonts w:hint="cs"/>
          <w:rtl/>
        </w:rPr>
        <w:t>وس</w:t>
      </w:r>
      <w:r w:rsidRPr="00DA75F8">
        <w:rPr>
          <w:rtl/>
        </w:rPr>
        <w:t xml:space="preserve"> الجموحة، الشاردة عن طريق مصالحها"، وقد يُستخلص من هذا الكلام أنه أراد بالسياسة الشرعية: الأمر بفعل المصلحة الفردية أو العامة بالنظر إلى الأحوال.</w:t>
      </w:r>
    </w:p>
    <w:p w:rsidR="005F44B2" w:rsidRPr="00DA75F8" w:rsidRDefault="005F44B2" w:rsidP="007B6769">
      <w:pPr>
        <w:pStyle w:val="a0"/>
        <w:numPr>
          <w:ilvl w:val="0"/>
          <w:numId w:val="9"/>
        </w:numPr>
      </w:pPr>
      <w:r w:rsidRPr="00DA75F8">
        <w:rPr>
          <w:rFonts w:hint="cs"/>
          <w:rtl/>
        </w:rPr>
        <w:t>أما</w:t>
      </w:r>
      <w:r w:rsidRPr="00DA75F8">
        <w:rPr>
          <w:rtl/>
        </w:rPr>
        <w:t xml:space="preserve"> ابن فرحون</w:t>
      </w:r>
      <w:r w:rsidRPr="00DA75F8">
        <w:rPr>
          <w:vertAlign w:val="superscript"/>
          <w:rtl/>
        </w:rPr>
        <w:t>(</w:t>
      </w:r>
      <w:r w:rsidRPr="00DA75F8">
        <w:rPr>
          <w:rStyle w:val="FootnoteReference"/>
          <w:rFonts w:cs="Arabic Transparent"/>
          <w:rtl/>
        </w:rPr>
        <w:footnoteReference w:id="106"/>
      </w:r>
      <w:r w:rsidRPr="00DA75F8">
        <w:rPr>
          <w:vertAlign w:val="superscript"/>
          <w:rtl/>
        </w:rPr>
        <w:t>)</w:t>
      </w:r>
      <w:r w:rsidRPr="00DA75F8">
        <w:rPr>
          <w:rtl/>
        </w:rPr>
        <w:t xml:space="preserve"> فقال عن السياسة: " والسياسة نوعان: سياسة ظالمة، فالشرع يحرمها. وسياسة عادلة، تُخرج الحق من الظالم، وتدفع كثيرًا من المظالم، وتردع أهل الفساد، ويُتوصل بها إلى المقاصد الشرعية"</w:t>
      </w:r>
      <w:r w:rsidRPr="00DA75F8">
        <w:rPr>
          <w:vertAlign w:val="superscript"/>
          <w:rtl/>
        </w:rPr>
        <w:t>(</w:t>
      </w:r>
      <w:r w:rsidRPr="00DA75F8">
        <w:rPr>
          <w:rStyle w:val="FootnoteReference"/>
          <w:rFonts w:cs="Arabic Transparent"/>
          <w:rtl/>
        </w:rPr>
        <w:footnoteReference w:id="107"/>
      </w:r>
      <w:r w:rsidRPr="00DA75F8">
        <w:rPr>
          <w:vertAlign w:val="superscript"/>
          <w:rtl/>
        </w:rPr>
        <w:t>)</w:t>
      </w:r>
      <w:r w:rsidRPr="00DA75F8">
        <w:rPr>
          <w:rFonts w:hint="cs"/>
          <w:rtl/>
        </w:rPr>
        <w:t>،</w:t>
      </w:r>
      <w:r w:rsidRPr="00DA75F8">
        <w:rPr>
          <w:rtl/>
        </w:rPr>
        <w:t xml:space="preserve"> ويظهر لنا أنه يقصد بالسياسة العادلة السياسة الشرعية، والتي غايتها إظهار الحق فهي بنظره(الطريقة التي يتوصل بها الى المقاصد الشرعية)</w:t>
      </w:r>
      <w:r w:rsidRPr="00DA75F8">
        <w:rPr>
          <w:vertAlign w:val="superscript"/>
          <w:rtl/>
        </w:rPr>
        <w:t>(</w:t>
      </w:r>
      <w:r w:rsidRPr="00DA75F8">
        <w:rPr>
          <w:rStyle w:val="FootnoteReference"/>
          <w:rFonts w:cs="Arabic Transparent"/>
          <w:rtl/>
        </w:rPr>
        <w:footnoteReference w:id="10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وبهذا</w:t>
      </w:r>
      <w:r w:rsidRPr="00DA75F8">
        <w:rPr>
          <w:rtl/>
        </w:rPr>
        <w:t xml:space="preserve"> الكلام حصر ابن فرحون السياسة الشرعية على فعل الحاكم وهو ما فعله بالردع والزجر، والحكم عنده ليس فقط البيانات أو وسائل الإثبات بل الحكم بالقرائن التي يتوصل بها إلى الحق، يُفهم هذا من تقسيمه للأحكام الشرعية إلى خمسة أقسام، وقد قال في القسم الخامس: " وهو المقصود شُرع ل</w:t>
      </w:r>
      <w:r w:rsidRPr="00DA75F8">
        <w:rPr>
          <w:rFonts w:hint="cs"/>
          <w:rtl/>
        </w:rPr>
        <w:t>لسياسة</w:t>
      </w:r>
      <w:r w:rsidRPr="00DA75F8">
        <w:rPr>
          <w:rtl/>
        </w:rPr>
        <w:t xml:space="preserve"> والزجر"</w:t>
      </w:r>
      <w:r w:rsidRPr="00DA75F8">
        <w:rPr>
          <w:vertAlign w:val="superscript"/>
          <w:rtl/>
        </w:rPr>
        <w:t>(</w:t>
      </w:r>
      <w:r w:rsidRPr="00DA75F8">
        <w:rPr>
          <w:rStyle w:val="FootnoteReference"/>
          <w:rFonts w:cs="Arabic Transparent"/>
          <w:rtl/>
        </w:rPr>
        <w:footnoteReference w:id="109"/>
      </w:r>
      <w:r w:rsidRPr="00DA75F8">
        <w:rPr>
          <w:vertAlign w:val="superscript"/>
          <w:rtl/>
        </w:rPr>
        <w:t>)</w:t>
      </w:r>
      <w:r w:rsidRPr="00DA75F8">
        <w:rPr>
          <w:rFonts w:hint="cs"/>
          <w:rtl/>
        </w:rPr>
        <w:t>،</w:t>
      </w:r>
      <w:r w:rsidRPr="00DA75F8">
        <w:rPr>
          <w:rtl/>
        </w:rPr>
        <w:t xml:space="preserve"> وقد قسّمه إلى ستة أصناف، وهذه الأصناف كلها في الحدود والقصاص والتعازير، وقد أوضح مراده بقوله " والولاية السياسية هي ولاية الكشف عن المظ</w:t>
      </w:r>
      <w:r w:rsidRPr="00DA75F8">
        <w:rPr>
          <w:rFonts w:hint="cs"/>
          <w:rtl/>
        </w:rPr>
        <w:t>الم</w:t>
      </w:r>
      <w:r w:rsidRPr="00DA75F8">
        <w:rPr>
          <w:rtl/>
        </w:rPr>
        <w:t xml:space="preserve"> "</w:t>
      </w:r>
      <w:r w:rsidRPr="00DA75F8">
        <w:rPr>
          <w:vertAlign w:val="superscript"/>
          <w:rtl/>
        </w:rPr>
        <w:t>(</w:t>
      </w:r>
      <w:r w:rsidRPr="00DA75F8">
        <w:rPr>
          <w:rStyle w:val="FootnoteReference"/>
          <w:rFonts w:cs="Arabic Transparent"/>
          <w:rtl/>
        </w:rPr>
        <w:footnoteReference w:id="11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ويلاحظ</w:t>
      </w:r>
      <w:r w:rsidRPr="00DA75F8">
        <w:rPr>
          <w:rtl/>
        </w:rPr>
        <w:t xml:space="preserve"> من هذه المعلومات أنّ ابن فرحون قصر السياسة الشرعية على الجنايات والعقوبات</w:t>
      </w:r>
      <w:r w:rsidRPr="00DA75F8">
        <w:rPr>
          <w:vertAlign w:val="superscript"/>
          <w:rtl/>
        </w:rPr>
        <w:t>(</w:t>
      </w:r>
      <w:r w:rsidRPr="00DA75F8">
        <w:rPr>
          <w:rStyle w:val="FootnoteReference"/>
          <w:rFonts w:cs="Arabic Transparent"/>
          <w:rtl/>
        </w:rPr>
        <w:footnoteReference w:id="111"/>
      </w:r>
      <w:r w:rsidRPr="00DA75F8">
        <w:rPr>
          <w:vertAlign w:val="superscript"/>
          <w:rtl/>
        </w:rPr>
        <w:t xml:space="preserve">) </w:t>
      </w:r>
      <w:r w:rsidRPr="00DA75F8">
        <w:rPr>
          <w:rFonts w:hint="cs"/>
          <w:rtl/>
        </w:rPr>
        <w:t>كما</w:t>
      </w:r>
      <w:r w:rsidRPr="00DA75F8">
        <w:rPr>
          <w:rtl/>
        </w:rPr>
        <w:t xml:space="preserve"> فعله ابن عابدين.</w:t>
      </w:r>
    </w:p>
    <w:p w:rsidR="005F44B2" w:rsidRPr="00DA75F8" w:rsidRDefault="005F44B2" w:rsidP="008171A1">
      <w:pPr>
        <w:pStyle w:val="NoSpacing"/>
        <w:rPr>
          <w:rtl/>
        </w:rPr>
      </w:pPr>
      <w:r w:rsidRPr="00DA75F8">
        <w:rPr>
          <w:rFonts w:hint="cs"/>
          <w:rtl/>
        </w:rPr>
        <w:t>ثالثًا</w:t>
      </w:r>
      <w:r w:rsidRPr="00DA75F8">
        <w:rPr>
          <w:rtl/>
        </w:rPr>
        <w:t>: السياسة الشرعية عندالشافعية</w:t>
      </w:r>
    </w:p>
    <w:p w:rsidR="005F44B2" w:rsidRPr="00DA75F8" w:rsidRDefault="005F44B2" w:rsidP="0098679F">
      <w:pPr>
        <w:pStyle w:val="a0"/>
        <w:numPr>
          <w:ilvl w:val="0"/>
          <w:numId w:val="8"/>
        </w:numPr>
        <w:rPr>
          <w:rtl/>
        </w:rPr>
      </w:pPr>
      <w:r w:rsidRPr="00DA75F8">
        <w:rPr>
          <w:rFonts w:hint="cs"/>
          <w:rtl/>
        </w:rPr>
        <w:t>عرّف</w:t>
      </w:r>
      <w:r w:rsidRPr="00DA75F8">
        <w:rPr>
          <w:rtl/>
        </w:rPr>
        <w:t xml:space="preserve"> الغزالي</w:t>
      </w:r>
      <w:r w:rsidRPr="00DA75F8">
        <w:rPr>
          <w:vertAlign w:val="superscript"/>
          <w:rtl/>
        </w:rPr>
        <w:t>(</w:t>
      </w:r>
      <w:r w:rsidRPr="00DA75F8">
        <w:rPr>
          <w:rStyle w:val="FootnoteReference"/>
          <w:rFonts w:cs="Arabic Transparent"/>
          <w:rtl/>
        </w:rPr>
        <w:footnoteReference w:id="112"/>
      </w:r>
      <w:r w:rsidRPr="00DA75F8">
        <w:rPr>
          <w:vertAlign w:val="superscript"/>
          <w:rtl/>
        </w:rPr>
        <w:t>)</w:t>
      </w:r>
      <w:r w:rsidRPr="00DA75F8">
        <w:rPr>
          <w:rtl/>
        </w:rPr>
        <w:t xml:space="preserve"> السياسة بأنّها: " السياسة في استصلاح الخلق وإرشادهم إلى الطريق المستقيم المنجي في الدنيا والآخرة"</w:t>
      </w:r>
      <w:r w:rsidRPr="00DA75F8">
        <w:rPr>
          <w:vertAlign w:val="superscript"/>
          <w:rtl/>
        </w:rPr>
        <w:t>(</w:t>
      </w:r>
      <w:r w:rsidRPr="00DA75F8">
        <w:rPr>
          <w:rStyle w:val="FootnoteReference"/>
          <w:rFonts w:cs="Arabic Transparent"/>
          <w:rtl/>
        </w:rPr>
        <w:footnoteReference w:id="113"/>
      </w:r>
      <w:r w:rsidRPr="00DA75F8">
        <w:rPr>
          <w:vertAlign w:val="superscript"/>
          <w:rtl/>
        </w:rPr>
        <w:t>)</w:t>
      </w:r>
      <w:r w:rsidRPr="00DA75F8">
        <w:rPr>
          <w:rFonts w:hint="cs"/>
          <w:rtl/>
        </w:rPr>
        <w:t>،</w:t>
      </w:r>
      <w:r w:rsidRPr="00DA75F8">
        <w:rPr>
          <w:rtl/>
        </w:rPr>
        <w:t xml:space="preserve"> ومنه يُفهم أنه قد أخذ في تعريفه السياسة بالمعنى العام</w:t>
      </w:r>
      <w:r>
        <w:rPr>
          <w:rtl/>
        </w:rPr>
        <w:t xml:space="preserve"> حيث تشمل جميع مناح الحياة</w:t>
      </w:r>
      <w:r w:rsidRPr="00DA75F8">
        <w:rPr>
          <w:rFonts w:hint="cs"/>
          <w:rtl/>
        </w:rPr>
        <w:t>،</w:t>
      </w:r>
      <w:r w:rsidRPr="00DA75F8">
        <w:rPr>
          <w:rtl/>
        </w:rPr>
        <w:t xml:space="preserve"> وبعد هذا التعريف تحدّث عن أربع مراتب في السياسة وهي: سياسة الأنبياء (وهي العليا)، ثم الخلفاء والملوك والسلاطين، ثم العلماء، ثم الوعاظ</w:t>
      </w:r>
      <w:r w:rsidRPr="00DA75F8">
        <w:rPr>
          <w:vertAlign w:val="superscript"/>
          <w:rtl/>
        </w:rPr>
        <w:t>(</w:t>
      </w:r>
      <w:r w:rsidRPr="00DA75F8">
        <w:rPr>
          <w:rStyle w:val="FootnoteReference"/>
          <w:rFonts w:cs="Arabic Transparent"/>
          <w:rtl/>
        </w:rPr>
        <w:footnoteReference w:id="114"/>
      </w:r>
      <w:r w:rsidRPr="00DA75F8">
        <w:rPr>
          <w:vertAlign w:val="superscript"/>
          <w:rtl/>
        </w:rPr>
        <w:t>)</w:t>
      </w:r>
      <w:r w:rsidRPr="00DA75F8">
        <w:rPr>
          <w:rtl/>
        </w:rPr>
        <w:t>. إن تعريف الغزالي يشبه التعريف الأوللابن عابدين وهو (فالسياسة استصلاح الخلق بإرشادهم إلى الطريق المنجي في الدنيا والآخرة)</w:t>
      </w:r>
      <w:r w:rsidRPr="00DA75F8">
        <w:rPr>
          <w:vertAlign w:val="superscript"/>
          <w:rtl/>
        </w:rPr>
        <w:t>(</w:t>
      </w:r>
      <w:r w:rsidRPr="00DA75F8">
        <w:rPr>
          <w:rStyle w:val="FootnoteReference"/>
          <w:rFonts w:cs="Arabic Transparent"/>
          <w:rtl/>
        </w:rPr>
        <w:footnoteReference w:id="115"/>
      </w:r>
      <w:r w:rsidRPr="00DA75F8">
        <w:rPr>
          <w:vertAlign w:val="superscript"/>
          <w:rtl/>
        </w:rPr>
        <w:t>)</w:t>
      </w:r>
      <w:r w:rsidRPr="00DA75F8">
        <w:rPr>
          <w:rFonts w:hint="cs"/>
          <w:rtl/>
        </w:rPr>
        <w:t>،</w:t>
      </w:r>
      <w:r w:rsidRPr="00DA75F8">
        <w:rPr>
          <w:rtl/>
        </w:rPr>
        <w:t xml:space="preserve"> لذلك فمن الممكن أن يقول الباحث أن ابن عابدين تأثر بتعريف الغزالي.</w:t>
      </w:r>
    </w:p>
    <w:p w:rsidR="005F44B2" w:rsidRPr="00DA75F8" w:rsidRDefault="005F44B2" w:rsidP="007B6769">
      <w:pPr>
        <w:pStyle w:val="a0"/>
        <w:numPr>
          <w:ilvl w:val="0"/>
          <w:numId w:val="8"/>
        </w:numPr>
        <w:rPr>
          <w:rtl/>
        </w:rPr>
      </w:pPr>
      <w:r w:rsidRPr="00DA75F8">
        <w:rPr>
          <w:rFonts w:hint="cs"/>
          <w:rtl/>
        </w:rPr>
        <w:t>قال</w:t>
      </w:r>
      <w:r w:rsidRPr="00DA75F8">
        <w:rPr>
          <w:rtl/>
        </w:rPr>
        <w:t xml:space="preserve"> سليمان الجمل</w:t>
      </w:r>
      <w:r w:rsidRPr="00DA75F8">
        <w:rPr>
          <w:vertAlign w:val="superscript"/>
          <w:rtl/>
        </w:rPr>
        <w:t>(</w:t>
      </w:r>
      <w:r w:rsidRPr="00DA75F8">
        <w:rPr>
          <w:rStyle w:val="FootnoteReference"/>
          <w:rFonts w:cs="Arabic Transparent"/>
          <w:rtl/>
        </w:rPr>
        <w:footnoteReference w:id="116"/>
      </w:r>
      <w:r w:rsidRPr="00DA75F8">
        <w:rPr>
          <w:vertAlign w:val="superscript"/>
          <w:rtl/>
        </w:rPr>
        <w:t>)</w:t>
      </w:r>
      <w:r w:rsidRPr="00DA75F8">
        <w:rPr>
          <w:rtl/>
        </w:rPr>
        <w:t xml:space="preserve"> في حاشيته في تعريف السياسة: " السياسة إصلاح أمور الرعية وتدبير أمورهم"</w:t>
      </w:r>
      <w:r w:rsidRPr="00DA75F8">
        <w:rPr>
          <w:vertAlign w:val="superscript"/>
          <w:rtl/>
        </w:rPr>
        <w:t>(</w:t>
      </w:r>
      <w:r w:rsidRPr="00DA75F8">
        <w:rPr>
          <w:rStyle w:val="FootnoteReference"/>
          <w:rFonts w:cs="Arabic Transparent"/>
          <w:rtl/>
        </w:rPr>
        <w:footnoteReference w:id="117"/>
      </w:r>
      <w:r w:rsidRPr="00DA75F8">
        <w:rPr>
          <w:vertAlign w:val="superscript"/>
          <w:rtl/>
        </w:rPr>
        <w:t>)</w:t>
      </w:r>
      <w:r w:rsidRPr="00DA75F8">
        <w:rPr>
          <w:rtl/>
        </w:rPr>
        <w:t xml:space="preserve">. </w:t>
      </w:r>
    </w:p>
    <w:p w:rsidR="005F44B2" w:rsidRPr="00DA75F8" w:rsidRDefault="005F44B2" w:rsidP="007B6769">
      <w:pPr>
        <w:pStyle w:val="a0"/>
        <w:numPr>
          <w:ilvl w:val="0"/>
          <w:numId w:val="8"/>
        </w:numPr>
        <w:rPr>
          <w:rtl/>
        </w:rPr>
      </w:pPr>
      <w:r w:rsidRPr="00DA75F8">
        <w:rPr>
          <w:rFonts w:hint="cs"/>
          <w:rtl/>
        </w:rPr>
        <w:t>عرّفها</w:t>
      </w:r>
      <w:r w:rsidRPr="00DA75F8">
        <w:rPr>
          <w:rtl/>
        </w:rPr>
        <w:t xml:space="preserve"> قليوبي</w:t>
      </w:r>
      <w:r w:rsidRPr="00DA75F8">
        <w:rPr>
          <w:vertAlign w:val="superscript"/>
          <w:rtl/>
        </w:rPr>
        <w:t>(</w:t>
      </w:r>
      <w:r w:rsidRPr="00DA75F8">
        <w:rPr>
          <w:rStyle w:val="FootnoteReference"/>
          <w:rFonts w:cs="Arabic Transparent"/>
          <w:rtl/>
        </w:rPr>
        <w:footnoteReference w:id="118"/>
      </w:r>
      <w:r w:rsidRPr="00DA75F8">
        <w:rPr>
          <w:vertAlign w:val="superscript"/>
          <w:rtl/>
        </w:rPr>
        <w:t>)</w:t>
      </w:r>
      <w:r w:rsidRPr="00DA75F8">
        <w:rPr>
          <w:rtl/>
        </w:rPr>
        <w:t xml:space="preserve"> بأنها " حسن السَّيْر في الرعية"</w:t>
      </w:r>
      <w:r w:rsidRPr="00DA75F8">
        <w:rPr>
          <w:vertAlign w:val="superscript"/>
          <w:rtl/>
        </w:rPr>
        <w:t>(</w:t>
      </w:r>
      <w:r w:rsidRPr="00DA75F8">
        <w:rPr>
          <w:rStyle w:val="FootnoteReference"/>
          <w:rFonts w:cs="Arabic Transparent"/>
          <w:rtl/>
        </w:rPr>
        <w:footnoteReference w:id="119"/>
      </w:r>
      <w:r w:rsidRPr="00DA75F8">
        <w:rPr>
          <w:vertAlign w:val="superscript"/>
          <w:rtl/>
        </w:rPr>
        <w:t>)</w:t>
      </w:r>
      <w:r w:rsidRPr="00DA75F8">
        <w:rPr>
          <w:rtl/>
        </w:rPr>
        <w:t>.</w:t>
      </w:r>
    </w:p>
    <w:p w:rsidR="005F44B2" w:rsidRPr="00DA75F8" w:rsidRDefault="005F44B2" w:rsidP="007B6769">
      <w:pPr>
        <w:pStyle w:val="a0"/>
        <w:numPr>
          <w:ilvl w:val="0"/>
          <w:numId w:val="8"/>
        </w:numPr>
        <w:rPr>
          <w:rtl/>
        </w:rPr>
      </w:pPr>
      <w:r w:rsidRPr="00DA75F8">
        <w:rPr>
          <w:rFonts w:hint="cs"/>
          <w:rtl/>
        </w:rPr>
        <w:t>عرّف</w:t>
      </w:r>
      <w:r w:rsidRPr="00DA75F8">
        <w:rPr>
          <w:rtl/>
        </w:rPr>
        <w:t xml:space="preserve"> البجيرمي</w:t>
      </w:r>
      <w:r w:rsidRPr="00DA75F8">
        <w:rPr>
          <w:vertAlign w:val="superscript"/>
          <w:rtl/>
        </w:rPr>
        <w:t>(</w:t>
      </w:r>
      <w:r w:rsidRPr="00DA75F8">
        <w:rPr>
          <w:rStyle w:val="FootnoteReference"/>
          <w:rFonts w:cs="Arabic Transparent"/>
          <w:rtl/>
        </w:rPr>
        <w:footnoteReference w:id="120"/>
      </w:r>
      <w:r w:rsidRPr="00DA75F8">
        <w:rPr>
          <w:vertAlign w:val="superscript"/>
          <w:rtl/>
        </w:rPr>
        <w:t>)</w:t>
      </w:r>
      <w:r w:rsidRPr="00DA75F8">
        <w:rPr>
          <w:rtl/>
        </w:rPr>
        <w:t xml:space="preserve"> السياسة بأنّها: " إصلاح أمور الرعية، وتدبير أمورهم"</w:t>
      </w:r>
      <w:r w:rsidRPr="00DA75F8">
        <w:rPr>
          <w:vertAlign w:val="superscript"/>
          <w:rtl/>
        </w:rPr>
        <w:t>(</w:t>
      </w:r>
      <w:r w:rsidRPr="00DA75F8">
        <w:rPr>
          <w:rStyle w:val="FootnoteReference"/>
          <w:rFonts w:cs="Arabic Transparent"/>
          <w:rtl/>
        </w:rPr>
        <w:footnoteReference w:id="12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يُلْحظ</w:t>
      </w:r>
      <w:r w:rsidRPr="00DA75F8">
        <w:rPr>
          <w:rtl/>
        </w:rPr>
        <w:t xml:space="preserve"> على تعريفات علماء الشافعية أنهم يركزون على مصلحة الرعية في السياسة، و أنهم يربطون السياسة الشرعية بالمصلحة، و أنهم جعلوها مرادفة لها</w:t>
      </w:r>
      <w:r w:rsidRPr="00DA75F8">
        <w:rPr>
          <w:vertAlign w:val="superscript"/>
          <w:rtl/>
        </w:rPr>
        <w:t>(</w:t>
      </w:r>
      <w:r w:rsidRPr="00DA75F8">
        <w:rPr>
          <w:rStyle w:val="FootnoteReference"/>
          <w:rFonts w:cs="Arabic Transparent"/>
          <w:rtl/>
        </w:rPr>
        <w:footnoteReference w:id="122"/>
      </w:r>
      <w:r w:rsidRPr="00DA75F8">
        <w:rPr>
          <w:vertAlign w:val="superscript"/>
          <w:rtl/>
        </w:rPr>
        <w:t>)</w:t>
      </w:r>
      <w:r w:rsidRPr="00DA75F8">
        <w:rPr>
          <w:rFonts w:hint="cs"/>
          <w:rtl/>
        </w:rPr>
        <w:t>،</w:t>
      </w:r>
      <w:r w:rsidRPr="00DA75F8">
        <w:rPr>
          <w:rtl/>
        </w:rPr>
        <w:t xml:space="preserve"> ومثال ذلك أنه: "يتعين التغريب إلى حيث أي مكان يراه الإمام؛ لأن عقوبته في الآية النفي، وعلى هذا هل يعزره في البلد المنفي إليه بضرب أو حبس أو نحو ذلك؟ وجهان: أصحهما أن ذلك إلى رأي الإمام وما تقتضيه المصلحة."</w:t>
      </w:r>
      <w:r w:rsidRPr="00DA75F8">
        <w:rPr>
          <w:vertAlign w:val="superscript"/>
          <w:rtl/>
        </w:rPr>
        <w:t>(</w:t>
      </w:r>
      <w:r w:rsidRPr="00DA75F8">
        <w:rPr>
          <w:rStyle w:val="FootnoteReference"/>
          <w:rFonts w:cs="Arabic Transparent"/>
          <w:rtl/>
        </w:rPr>
        <w:footnoteReference w:id="123"/>
      </w:r>
      <w:r w:rsidRPr="00DA75F8">
        <w:rPr>
          <w:vertAlign w:val="superscript"/>
          <w:rtl/>
        </w:rPr>
        <w:t>)</w:t>
      </w:r>
    </w:p>
    <w:p w:rsidR="005F44B2" w:rsidRPr="00DA75F8" w:rsidRDefault="005F44B2" w:rsidP="0052309E">
      <w:pPr>
        <w:pStyle w:val="a0"/>
        <w:rPr>
          <w:rtl/>
        </w:rPr>
      </w:pPr>
      <w:r>
        <w:rPr>
          <w:rFonts w:hint="cs"/>
          <w:rtl/>
        </w:rPr>
        <w:t>قال</w:t>
      </w:r>
      <w:r>
        <w:rPr>
          <w:rtl/>
        </w:rPr>
        <w:t xml:space="preserve"> </w:t>
      </w:r>
      <w:r w:rsidRPr="00DA75F8">
        <w:rPr>
          <w:rFonts w:hint="cs"/>
          <w:rtl/>
        </w:rPr>
        <w:t>عبد</w:t>
      </w:r>
      <w:r w:rsidRPr="00DA75F8">
        <w:rPr>
          <w:rtl/>
        </w:rPr>
        <w:t xml:space="preserve"> الفتاح عن السياسة عند الشافعية: " فيتضح أنها تعني عندهم ما يجته</w:t>
      </w:r>
      <w:r w:rsidRPr="00DA75F8">
        <w:rPr>
          <w:rFonts w:hint="cs"/>
          <w:rtl/>
        </w:rPr>
        <w:t>د</w:t>
      </w:r>
      <w:r w:rsidRPr="00DA75F8">
        <w:rPr>
          <w:rtl/>
        </w:rPr>
        <w:t xml:space="preserve"> فيه الإمام في سلوك الأصلح"</w:t>
      </w:r>
      <w:r w:rsidRPr="00DA75F8">
        <w:rPr>
          <w:vertAlign w:val="superscript"/>
          <w:rtl/>
        </w:rPr>
        <w:t>(</w:t>
      </w:r>
      <w:r w:rsidRPr="00DA75F8">
        <w:rPr>
          <w:rStyle w:val="FootnoteReference"/>
          <w:rFonts w:cs="Arabic Transparent"/>
          <w:rtl/>
        </w:rPr>
        <w:footnoteReference w:id="124"/>
      </w:r>
      <w:r w:rsidRPr="00DA75F8">
        <w:rPr>
          <w:vertAlign w:val="superscript"/>
          <w:rtl/>
        </w:rPr>
        <w:t>)</w:t>
      </w:r>
      <w:r w:rsidRPr="00DA75F8">
        <w:rPr>
          <w:rtl/>
        </w:rPr>
        <w:t>.</w:t>
      </w:r>
    </w:p>
    <w:p w:rsidR="005F44B2" w:rsidRPr="00DA75F8" w:rsidRDefault="005F44B2" w:rsidP="00DD087D">
      <w:pPr>
        <w:pStyle w:val="a0"/>
        <w:rPr>
          <w:rtl/>
        </w:rPr>
      </w:pPr>
      <w:r>
        <w:rPr>
          <w:rFonts w:hint="cs"/>
          <w:rtl/>
        </w:rPr>
        <w:t>عند</w:t>
      </w:r>
      <w:r w:rsidRPr="00DA75F8">
        <w:rPr>
          <w:rtl/>
        </w:rPr>
        <w:t xml:space="preserve"> تعريفات الشافعية لابد للباحث أن </w:t>
      </w:r>
      <w:r>
        <w:rPr>
          <w:rFonts w:hint="cs"/>
          <w:rtl/>
        </w:rPr>
        <w:t>يعرج</w:t>
      </w:r>
      <w:r>
        <w:rPr>
          <w:rtl/>
        </w:rPr>
        <w:t xml:space="preserve"> إلى كتب</w:t>
      </w:r>
      <w:r w:rsidRPr="00DA75F8">
        <w:rPr>
          <w:rtl/>
        </w:rPr>
        <w:t xml:space="preserve"> إمام الحرمين الجويني</w:t>
      </w:r>
      <w:r w:rsidRPr="00DA75F8">
        <w:rPr>
          <w:vertAlign w:val="superscript"/>
          <w:rtl/>
        </w:rPr>
        <w:t>(</w:t>
      </w:r>
      <w:r w:rsidRPr="00DA75F8">
        <w:rPr>
          <w:rStyle w:val="FootnoteReference"/>
          <w:rFonts w:cs="Arabic Transparent"/>
          <w:rtl/>
        </w:rPr>
        <w:footnoteReference w:id="125"/>
      </w:r>
      <w:r w:rsidRPr="00DA75F8">
        <w:rPr>
          <w:vertAlign w:val="superscript"/>
          <w:rtl/>
        </w:rPr>
        <w:t>)</w:t>
      </w:r>
      <w:r w:rsidRPr="00DA75F8">
        <w:rPr>
          <w:rFonts w:hint="cs"/>
          <w:rtl/>
        </w:rPr>
        <w:t>،</w:t>
      </w:r>
      <w:r w:rsidRPr="00DA75F8">
        <w:rPr>
          <w:rtl/>
        </w:rPr>
        <w:t xml:space="preserve"> لأنه من أكبر علماء الشافعية، </w:t>
      </w:r>
      <w:r>
        <w:rPr>
          <w:rFonts w:hint="cs"/>
          <w:rtl/>
        </w:rPr>
        <w:t>حيث</w:t>
      </w:r>
      <w:r w:rsidRPr="00DA75F8">
        <w:rPr>
          <w:rtl/>
        </w:rPr>
        <w:t xml:space="preserve"> أنه ألّف كتابًا ب</w:t>
      </w:r>
      <w:r>
        <w:rPr>
          <w:rFonts w:hint="cs"/>
          <w:rtl/>
        </w:rPr>
        <w:t>عنوان</w:t>
      </w:r>
      <w:r w:rsidRPr="00DA75F8">
        <w:rPr>
          <w:rtl/>
        </w:rPr>
        <w:t xml:space="preserve"> " غياث الأمم في التياث الظُّلَم" في السياسة الشرعية، ولكن بعد البحث عن تعريفه للسياسة وصل الباحث إلى أنه لم يعرّفها بتعريف واضح، ولاحظ الباحث أثنا</w:t>
      </w:r>
      <w:r w:rsidRPr="00DA75F8">
        <w:rPr>
          <w:rFonts w:hint="cs"/>
          <w:rtl/>
        </w:rPr>
        <w:t>ء</w:t>
      </w:r>
      <w:r w:rsidRPr="00DA75F8">
        <w:rPr>
          <w:rtl/>
        </w:rPr>
        <w:t xml:space="preserve"> بحثه أنه استخدم مصطلح الإيالة بدلًا من السياسة، كما أشارإليه عبد العظيم الديب عند تحقيق كتاب نهاية المطلب في دراية المذهب للجوبني</w:t>
      </w:r>
      <w:r w:rsidRPr="00DA75F8">
        <w:rPr>
          <w:vertAlign w:val="superscript"/>
          <w:rtl/>
        </w:rPr>
        <w:t>(</w:t>
      </w:r>
      <w:r w:rsidRPr="00DA75F8">
        <w:rPr>
          <w:rStyle w:val="FootnoteReference"/>
          <w:rFonts w:cs="Arabic Transparent"/>
          <w:rtl/>
        </w:rPr>
        <w:footnoteReference w:id="126"/>
      </w:r>
      <w:r w:rsidRPr="00DA75F8">
        <w:rPr>
          <w:vertAlign w:val="superscript"/>
          <w:rtl/>
        </w:rPr>
        <w:t>)</w:t>
      </w:r>
      <w:r w:rsidRPr="00DA75F8">
        <w:rPr>
          <w:rFonts w:hint="cs"/>
          <w:rtl/>
        </w:rPr>
        <w:t>،</w:t>
      </w:r>
      <w:r w:rsidRPr="00DA75F8">
        <w:rPr>
          <w:rtl/>
        </w:rPr>
        <w:t xml:space="preserve"> والباحث يعتقد أن الإمام الجويني استخدم مصطلح الإيالة أولًا في علم السياسة، لأنّ الباحث لميجد مصطلح الإيالة عند العلماء الذين عاشوا قبل الجويني</w:t>
      </w:r>
      <w:r>
        <w:rPr>
          <w:vertAlign w:val="superscript"/>
          <w:rtl/>
        </w:rPr>
        <w:t>(</w:t>
      </w:r>
      <w:r>
        <w:rPr>
          <w:rStyle w:val="FootnoteReference"/>
          <w:rFonts w:cs="Arabic Transparent"/>
          <w:rtl/>
        </w:rPr>
        <w:footnoteReference w:id="127"/>
      </w:r>
      <w:r>
        <w:rPr>
          <w:vertAlign w:val="superscript"/>
          <w:rtl/>
        </w:rPr>
        <w:t>)</w:t>
      </w:r>
      <w:r w:rsidRPr="00DA75F8">
        <w:rPr>
          <w:rtl/>
        </w:rPr>
        <w:t>.</w:t>
      </w:r>
    </w:p>
    <w:p w:rsidR="005F44B2" w:rsidRPr="00DA75F8" w:rsidRDefault="005F44B2" w:rsidP="00FF62D3">
      <w:pPr>
        <w:pStyle w:val="a0"/>
        <w:rPr>
          <w:rtl/>
        </w:rPr>
      </w:pPr>
      <w:r w:rsidRPr="00DA75F8">
        <w:rPr>
          <w:rFonts w:hint="cs"/>
          <w:rtl/>
        </w:rPr>
        <w:t>عندمقارنة</w:t>
      </w:r>
      <w:r w:rsidRPr="00DA75F8">
        <w:rPr>
          <w:rtl/>
        </w:rPr>
        <w:t xml:space="preserve"> تعريف السياسة عند الشافعية بتعريف ابن عابدين يصل الباحث إلى أنهم </w:t>
      </w:r>
      <w:r>
        <w:rPr>
          <w:rFonts w:hint="cs"/>
          <w:rtl/>
        </w:rPr>
        <w:t>نظروا</w:t>
      </w:r>
      <w:r>
        <w:rPr>
          <w:rtl/>
        </w:rPr>
        <w:t xml:space="preserve"> إليها بعموم ولم يخصصوها كما فعل ابن عابدين،و</w:t>
      </w:r>
      <w:r w:rsidRPr="00DA75F8">
        <w:rPr>
          <w:rFonts w:hint="cs"/>
          <w:rtl/>
        </w:rPr>
        <w:t>يُلاحظ</w:t>
      </w:r>
      <w:r>
        <w:rPr>
          <w:rtl/>
        </w:rPr>
        <w:t xml:space="preserve"> عليهم</w:t>
      </w:r>
      <w:r w:rsidRPr="00DA75F8">
        <w:rPr>
          <w:rtl/>
        </w:rPr>
        <w:t xml:space="preserve"> أنهم لم يطلقوا عليها السياسة الشرعية تصريحًا، لأنّ الهدف من السياسة تحقيق المصلحة</w:t>
      </w:r>
      <w:r w:rsidRPr="00DA75F8">
        <w:rPr>
          <w:vertAlign w:val="superscript"/>
          <w:rtl/>
        </w:rPr>
        <w:t>(</w:t>
      </w:r>
      <w:r w:rsidRPr="00DA75F8">
        <w:rPr>
          <w:rStyle w:val="FootnoteReference"/>
          <w:rFonts w:cs="Arabic Transparent"/>
          <w:rtl/>
        </w:rPr>
        <w:footnoteReference w:id="128"/>
      </w:r>
      <w:r w:rsidRPr="00DA75F8">
        <w:rPr>
          <w:vertAlign w:val="superscript"/>
          <w:rtl/>
        </w:rPr>
        <w:t>)</w:t>
      </w:r>
      <w:r w:rsidRPr="00DA75F8">
        <w:rPr>
          <w:rtl/>
        </w:rPr>
        <w:t>.</w:t>
      </w:r>
    </w:p>
    <w:p w:rsidR="005F44B2" w:rsidRPr="00DA75F8" w:rsidRDefault="005F44B2" w:rsidP="006D59AD">
      <w:pPr>
        <w:pStyle w:val="NoSpacing"/>
        <w:keepNext/>
        <w:rPr>
          <w:rtl/>
        </w:rPr>
      </w:pPr>
      <w:r w:rsidRPr="00DA75F8">
        <w:rPr>
          <w:rFonts w:hint="cs"/>
          <w:rtl/>
        </w:rPr>
        <w:t>رابعًا</w:t>
      </w:r>
      <w:r w:rsidRPr="00DA75F8">
        <w:rPr>
          <w:rtl/>
        </w:rPr>
        <w:t>: السياسة الشرعية عندالحنابلة</w:t>
      </w:r>
    </w:p>
    <w:p w:rsidR="005F44B2" w:rsidRPr="00DA75F8" w:rsidRDefault="005F44B2" w:rsidP="007B6769">
      <w:pPr>
        <w:pStyle w:val="a0"/>
        <w:numPr>
          <w:ilvl w:val="0"/>
          <w:numId w:val="10"/>
        </w:numPr>
        <w:rPr>
          <w:vertAlign w:val="superscript"/>
          <w:rtl/>
        </w:rPr>
      </w:pPr>
      <w:r w:rsidRPr="00DA75F8">
        <w:rPr>
          <w:rFonts w:hint="cs"/>
          <w:rtl/>
        </w:rPr>
        <w:t>عرّف</w:t>
      </w:r>
      <w:r w:rsidRPr="00DA75F8">
        <w:rPr>
          <w:rtl/>
        </w:rPr>
        <w:t xml:space="preserve"> ابن عقيل</w:t>
      </w:r>
      <w:r w:rsidRPr="00DA75F8">
        <w:rPr>
          <w:vertAlign w:val="superscript"/>
          <w:rtl/>
        </w:rPr>
        <w:t>(</w:t>
      </w:r>
      <w:r w:rsidRPr="00DA75F8">
        <w:rPr>
          <w:rStyle w:val="FootnoteReference"/>
          <w:rFonts w:cs="Arabic Transparent"/>
          <w:rtl/>
        </w:rPr>
        <w:footnoteReference w:id="129"/>
      </w:r>
      <w:r w:rsidRPr="00DA75F8">
        <w:rPr>
          <w:vertAlign w:val="superscript"/>
          <w:rtl/>
        </w:rPr>
        <w:t>)</w:t>
      </w:r>
      <w:r w:rsidRPr="00DA75F8">
        <w:rPr>
          <w:rtl/>
        </w:rPr>
        <w:t xml:space="preserve"> السياسة الشرعية – فيما نقله ابن القيم</w:t>
      </w:r>
      <w:r w:rsidRPr="00DA75F8">
        <w:rPr>
          <w:vertAlign w:val="superscript"/>
          <w:rtl/>
        </w:rPr>
        <w:t>(</w:t>
      </w:r>
      <w:r w:rsidRPr="00DA75F8">
        <w:rPr>
          <w:rStyle w:val="FootnoteReference"/>
          <w:rFonts w:cs="Arabic Transparent"/>
          <w:rtl/>
        </w:rPr>
        <w:footnoteReference w:id="130"/>
      </w:r>
      <w:r w:rsidRPr="00DA75F8">
        <w:rPr>
          <w:vertAlign w:val="superscript"/>
          <w:rtl/>
        </w:rPr>
        <w:t>)</w:t>
      </w:r>
      <w:r w:rsidRPr="00DA75F8">
        <w:rPr>
          <w:rtl/>
        </w:rPr>
        <w:t xml:space="preserve"> عنه – بأنّها : " ما كان فعلا يكون معه الناس أقرب إلى الصلاح، وأبعد عن الفساد، وإن لم يضعه الرسول - صلى الله عليه وسلم -، ولا نزل به وحي"</w:t>
      </w:r>
      <w:r w:rsidRPr="00DA75F8">
        <w:rPr>
          <w:vertAlign w:val="superscript"/>
          <w:rtl/>
        </w:rPr>
        <w:t>(</w:t>
      </w:r>
      <w:r w:rsidRPr="00DA75F8">
        <w:rPr>
          <w:rStyle w:val="FootnoteReference"/>
          <w:rFonts w:cs="Arabic Transparent"/>
          <w:rtl/>
        </w:rPr>
        <w:footnoteReference w:id="131"/>
      </w:r>
      <w:r w:rsidRPr="00DA75F8">
        <w:rPr>
          <w:vertAlign w:val="superscript"/>
          <w:rtl/>
        </w:rPr>
        <w:t>)</w:t>
      </w:r>
    </w:p>
    <w:p w:rsidR="005F44B2" w:rsidRPr="00DA75F8" w:rsidRDefault="005F44B2" w:rsidP="007B6769">
      <w:pPr>
        <w:pStyle w:val="a0"/>
        <w:rPr>
          <w:rtl/>
        </w:rPr>
      </w:pPr>
      <w:r w:rsidRPr="00DA75F8">
        <w:rPr>
          <w:rFonts w:hint="cs"/>
          <w:rtl/>
        </w:rPr>
        <w:t>يُلاحظ</w:t>
      </w:r>
      <w:r w:rsidRPr="00DA75F8">
        <w:rPr>
          <w:rtl/>
        </w:rPr>
        <w:t xml:space="preserve"> من تعريفه أنّه عرّف السياسة الشرعية بالعموم ولم يخصصها، وأشار إلى إصلاح الناس وإبعادهم عن الفساد وهو غاية السياسة الشرعية عنده، سواء كان الفعل هذا قد ورد به نص أم لم يرد</w:t>
      </w:r>
      <w:r w:rsidRPr="00DA75F8">
        <w:rPr>
          <w:vertAlign w:val="superscript"/>
          <w:rtl/>
        </w:rPr>
        <w:t>(</w:t>
      </w:r>
      <w:r w:rsidRPr="00DA75F8">
        <w:rPr>
          <w:rStyle w:val="FootnoteReference"/>
          <w:rFonts w:cs="Arabic Transparent"/>
          <w:rtl/>
        </w:rPr>
        <w:footnoteReference w:id="132"/>
      </w:r>
      <w:r w:rsidRPr="00DA75F8">
        <w:rPr>
          <w:vertAlign w:val="superscript"/>
          <w:rtl/>
        </w:rPr>
        <w:t>)</w:t>
      </w:r>
      <w:r w:rsidRPr="00DA75F8">
        <w:rPr>
          <w:rFonts w:hint="cs"/>
          <w:rtl/>
        </w:rPr>
        <w:t>،</w:t>
      </w:r>
      <w:r w:rsidRPr="00DA75F8">
        <w:rPr>
          <w:rtl/>
        </w:rPr>
        <w:t xml:space="preserve"> كما أنه قصره على الناحية التطبيقية ولم يقيده بالحاكم بل أطلق الفعل، فهو عام يدخل فيه ما ليس منه</w:t>
      </w:r>
      <w:r w:rsidRPr="00DA75F8">
        <w:rPr>
          <w:vertAlign w:val="superscript"/>
          <w:rtl/>
        </w:rPr>
        <w:t>(</w:t>
      </w:r>
      <w:r w:rsidRPr="00DA75F8">
        <w:rPr>
          <w:rStyle w:val="FootnoteReference"/>
          <w:rFonts w:cs="Arabic Transparent"/>
          <w:rtl/>
        </w:rPr>
        <w:footnoteReference w:id="133"/>
      </w:r>
      <w:r w:rsidRPr="00DA75F8">
        <w:rPr>
          <w:vertAlign w:val="superscript"/>
          <w:rtl/>
        </w:rPr>
        <w:t>)</w:t>
      </w:r>
      <w:r w:rsidRPr="00DA75F8">
        <w:rPr>
          <w:rtl/>
        </w:rPr>
        <w:t>.</w:t>
      </w:r>
    </w:p>
    <w:p w:rsidR="005F44B2" w:rsidRPr="00DA75F8" w:rsidRDefault="005F44B2" w:rsidP="007B6769">
      <w:pPr>
        <w:pStyle w:val="a0"/>
        <w:numPr>
          <w:ilvl w:val="0"/>
          <w:numId w:val="10"/>
        </w:numPr>
        <w:rPr>
          <w:rtl/>
        </w:rPr>
      </w:pPr>
      <w:r w:rsidRPr="00DA75F8">
        <w:rPr>
          <w:rFonts w:hint="cs"/>
          <w:rtl/>
        </w:rPr>
        <w:t>أما</w:t>
      </w:r>
      <w:r w:rsidRPr="00DA75F8">
        <w:rPr>
          <w:rtl/>
        </w:rPr>
        <w:t xml:space="preserve"> ابن تيمية</w:t>
      </w:r>
      <w:r w:rsidRPr="00DA75F8">
        <w:rPr>
          <w:vertAlign w:val="superscript"/>
          <w:rtl/>
        </w:rPr>
        <w:t>(</w:t>
      </w:r>
      <w:r w:rsidRPr="00DA75F8">
        <w:rPr>
          <w:rStyle w:val="FootnoteReference"/>
          <w:rFonts w:cs="Arabic Transparent"/>
          <w:rtl/>
        </w:rPr>
        <w:footnoteReference w:id="134"/>
      </w:r>
      <w:r w:rsidRPr="00DA75F8">
        <w:rPr>
          <w:vertAlign w:val="superscript"/>
          <w:rtl/>
        </w:rPr>
        <w:t>)</w:t>
      </w:r>
      <w:r w:rsidRPr="00DA75F8">
        <w:rPr>
          <w:rtl/>
        </w:rPr>
        <w:t xml:space="preserve"> فقد ألّف كتابا خاصا في علم السياسة وسماه (ا</w:t>
      </w:r>
      <w:r w:rsidRPr="00DA75F8">
        <w:rPr>
          <w:rFonts w:hint="cs"/>
          <w:rtl/>
        </w:rPr>
        <w:t>لسياسة</w:t>
      </w:r>
      <w:r w:rsidRPr="00DA75F8">
        <w:rPr>
          <w:rtl/>
        </w:rPr>
        <w:t xml:space="preserve"> الشرعية في إصلاح </w:t>
      </w:r>
      <w:r w:rsidRPr="00DA75F8">
        <w:rPr>
          <w:rFonts w:hint="cs"/>
          <w:rtl/>
        </w:rPr>
        <w:t>الراعي</w:t>
      </w:r>
      <w:r w:rsidRPr="00DA75F8">
        <w:rPr>
          <w:rtl/>
        </w:rPr>
        <w:t xml:space="preserve"> والرعية)، ومع ذلك لم يعرّف السياسة الشرعية تعريفًا خاصًا</w:t>
      </w:r>
      <w:r w:rsidRPr="00DA75F8">
        <w:rPr>
          <w:vertAlign w:val="superscript"/>
          <w:rtl/>
        </w:rPr>
        <w:t>(</w:t>
      </w:r>
      <w:r w:rsidRPr="00DA75F8">
        <w:rPr>
          <w:rStyle w:val="FootnoteReference"/>
          <w:rFonts w:cs="Arabic Transparent"/>
          <w:rtl/>
        </w:rPr>
        <w:footnoteReference w:id="135"/>
      </w:r>
      <w:r w:rsidRPr="00DA75F8">
        <w:rPr>
          <w:vertAlign w:val="superscript"/>
          <w:rtl/>
        </w:rPr>
        <w:t>)</w:t>
      </w:r>
      <w:r w:rsidRPr="00DA75F8">
        <w:rPr>
          <w:rtl/>
        </w:rPr>
        <w:t>.</w:t>
      </w:r>
    </w:p>
    <w:p w:rsidR="005F44B2" w:rsidRPr="00DA75F8" w:rsidRDefault="005F44B2" w:rsidP="00A60DA1">
      <w:pPr>
        <w:pStyle w:val="a0"/>
        <w:rPr>
          <w:rtl/>
        </w:rPr>
      </w:pPr>
      <w:r w:rsidRPr="00DA75F8">
        <w:rPr>
          <w:rFonts w:hint="cs"/>
          <w:rtl/>
        </w:rPr>
        <w:t>وقد</w:t>
      </w:r>
      <w:r w:rsidRPr="00DA75F8">
        <w:rPr>
          <w:rtl/>
        </w:rPr>
        <w:t xml:space="preserve"> ذكرت الرفاعي ما استخلصته تعريفًا للسياسة الشرعية عند ابن تيمية بقولها: " تدبير الوالي أمور رعيته في جميع مجالات الحياة بما يحقق المصلحة الموافقة للشرع"</w:t>
      </w:r>
      <w:r w:rsidRPr="00DA75F8">
        <w:rPr>
          <w:vertAlign w:val="superscript"/>
          <w:rtl/>
        </w:rPr>
        <w:t>(</w:t>
      </w:r>
      <w:r w:rsidRPr="00DA75F8">
        <w:rPr>
          <w:rStyle w:val="FootnoteReference"/>
          <w:rFonts w:cs="Arabic Transparent"/>
          <w:rtl/>
        </w:rPr>
        <w:footnoteReference w:id="136"/>
      </w:r>
      <w:r w:rsidRPr="00DA75F8">
        <w:rPr>
          <w:vertAlign w:val="superscript"/>
          <w:rtl/>
        </w:rPr>
        <w:t>)</w:t>
      </w:r>
      <w:r>
        <w:rPr>
          <w:rFonts w:hint="cs"/>
          <w:rtl/>
        </w:rPr>
        <w:t>و</w:t>
      </w:r>
      <w:r w:rsidRPr="00DA75F8">
        <w:rPr>
          <w:rFonts w:hint="cs"/>
          <w:rtl/>
        </w:rPr>
        <w:t>قد</w:t>
      </w:r>
      <w:r w:rsidRPr="00DA75F8">
        <w:rPr>
          <w:rtl/>
        </w:rPr>
        <w:t xml:space="preserve"> جعل ابن تيمية للسياسة الشرعية شامل</w:t>
      </w:r>
      <w:r>
        <w:rPr>
          <w:rFonts w:hint="cs"/>
          <w:rtl/>
        </w:rPr>
        <w:t>ةً</w:t>
      </w:r>
      <w:r w:rsidRPr="00DA75F8">
        <w:rPr>
          <w:rtl/>
        </w:rPr>
        <w:t xml:space="preserve"> جميع مناحي الحياة</w:t>
      </w:r>
      <w:r w:rsidRPr="00DA75F8">
        <w:rPr>
          <w:vertAlign w:val="superscript"/>
          <w:rtl/>
        </w:rPr>
        <w:t>(</w:t>
      </w:r>
      <w:r w:rsidRPr="00DA75F8">
        <w:rPr>
          <w:rStyle w:val="FootnoteReference"/>
          <w:rFonts w:cs="Arabic Transparent"/>
          <w:rtl/>
        </w:rPr>
        <w:footnoteReference w:id="137"/>
      </w:r>
      <w:r w:rsidRPr="00DA75F8">
        <w:rPr>
          <w:vertAlign w:val="superscript"/>
          <w:rtl/>
        </w:rPr>
        <w:t>)</w:t>
      </w:r>
      <w:r w:rsidRPr="00DA75F8">
        <w:rPr>
          <w:rtl/>
        </w:rPr>
        <w:t>.</w:t>
      </w:r>
    </w:p>
    <w:p w:rsidR="005F44B2" w:rsidRPr="00DA75F8" w:rsidRDefault="005F44B2" w:rsidP="00A60DA1">
      <w:pPr>
        <w:pStyle w:val="a0"/>
      </w:pPr>
      <w:r w:rsidRPr="00DA75F8">
        <w:rPr>
          <w:rFonts w:hint="cs"/>
          <w:rtl/>
        </w:rPr>
        <w:t>وقد</w:t>
      </w:r>
      <w:r w:rsidRPr="00DA75F8">
        <w:rPr>
          <w:rtl/>
        </w:rPr>
        <w:t xml:space="preserve"> استخلص عبد الفتاح عمرو من تعريف السياسة الشرعية لابن تيمية أنها: " قيام ولي الأمر بما يصلح الأم</w:t>
      </w:r>
      <w:r w:rsidRPr="00DA75F8">
        <w:rPr>
          <w:rFonts w:hint="cs"/>
          <w:rtl/>
        </w:rPr>
        <w:t>ة</w:t>
      </w:r>
      <w:r w:rsidRPr="00DA75F8">
        <w:rPr>
          <w:rtl/>
        </w:rPr>
        <w:t>"</w:t>
      </w:r>
      <w:r w:rsidRPr="00DA75F8">
        <w:rPr>
          <w:vertAlign w:val="superscript"/>
          <w:rtl/>
        </w:rPr>
        <w:t>(</w:t>
      </w:r>
      <w:r w:rsidRPr="00DA75F8">
        <w:rPr>
          <w:rStyle w:val="FootnoteReference"/>
          <w:rFonts w:cs="Arabic Transparent"/>
          <w:rtl/>
        </w:rPr>
        <w:footnoteReference w:id="138"/>
      </w:r>
      <w:r w:rsidRPr="00DA75F8">
        <w:rPr>
          <w:vertAlign w:val="superscript"/>
          <w:rtl/>
        </w:rPr>
        <w:t>)</w:t>
      </w:r>
      <w:r w:rsidRPr="00DA75F8">
        <w:rPr>
          <w:rtl/>
        </w:rPr>
        <w:t>.</w:t>
      </w:r>
    </w:p>
    <w:p w:rsidR="005F44B2" w:rsidRPr="00DA75F8" w:rsidRDefault="005F44B2" w:rsidP="007B6769">
      <w:pPr>
        <w:pStyle w:val="a0"/>
        <w:numPr>
          <w:ilvl w:val="0"/>
          <w:numId w:val="10"/>
        </w:numPr>
        <w:rPr>
          <w:rtl/>
        </w:rPr>
      </w:pPr>
      <w:r w:rsidRPr="00DA75F8">
        <w:rPr>
          <w:rFonts w:hint="cs"/>
          <w:rtl/>
        </w:rPr>
        <w:t>وقد</w:t>
      </w:r>
      <w:r w:rsidRPr="00DA75F8">
        <w:rPr>
          <w:rtl/>
        </w:rPr>
        <w:t xml:space="preserve"> عرّف ابن القيم السياسة الشرعية بأنها: " دل الله ورسوله، ظهر بهذه الأمارات والعلامات"</w:t>
      </w:r>
      <w:r w:rsidRPr="00DA75F8">
        <w:rPr>
          <w:vertAlign w:val="superscript"/>
          <w:rtl/>
        </w:rPr>
        <w:t>(</w:t>
      </w:r>
      <w:r w:rsidRPr="00DA75F8">
        <w:rPr>
          <w:rStyle w:val="FootnoteReference"/>
          <w:rFonts w:cs="Arabic Transparent"/>
          <w:rtl/>
        </w:rPr>
        <w:footnoteReference w:id="139"/>
      </w:r>
      <w:r w:rsidRPr="00DA75F8">
        <w:rPr>
          <w:vertAlign w:val="superscript"/>
          <w:rtl/>
        </w:rPr>
        <w:t>)</w:t>
      </w:r>
      <w:r w:rsidRPr="00DA75F8">
        <w:rPr>
          <w:rFonts w:hint="cs"/>
          <w:rtl/>
        </w:rPr>
        <w:t>،</w:t>
      </w:r>
      <w:r w:rsidRPr="00DA75F8">
        <w:rPr>
          <w:rtl/>
        </w:rPr>
        <w:t xml:space="preserve"> وهذا تعريف بالمعنىالخاص</w:t>
      </w:r>
      <w:r w:rsidRPr="00DA75F8">
        <w:rPr>
          <w:vertAlign w:val="superscript"/>
          <w:rtl/>
        </w:rPr>
        <w:t>(</w:t>
      </w:r>
      <w:r w:rsidRPr="00DA75F8">
        <w:rPr>
          <w:rStyle w:val="FootnoteReference"/>
          <w:rFonts w:cs="Arabic Transparent"/>
          <w:rtl/>
        </w:rPr>
        <w:footnoteReference w:id="140"/>
      </w:r>
      <w:r w:rsidRPr="00DA75F8">
        <w:rPr>
          <w:vertAlign w:val="superscript"/>
          <w:rtl/>
        </w:rPr>
        <w:t>)</w:t>
      </w:r>
      <w:r w:rsidRPr="00DA75F8">
        <w:rPr>
          <w:rFonts w:hint="cs"/>
          <w:rtl/>
        </w:rPr>
        <w:t>فهو</w:t>
      </w:r>
      <w:r w:rsidRPr="00DA75F8">
        <w:rPr>
          <w:rtl/>
        </w:rPr>
        <w:t xml:space="preserve"> يقصد بالسياسة معنى خاصًا وهو (حكم بالفراسة والقرائن ودلائل الحال والأمارات محققًا بها العدل والمصلحة غير مخالف به الشرع، مدبرًا به شؤون الأمة المختلفة) ... ويلاحظ أن هذا تعريف للسياسة الشرعيّة الخاصة بالطرق الحكمية أو وسائل إثبات الدعاوى"</w:t>
      </w:r>
      <w:r w:rsidRPr="00DA75F8">
        <w:rPr>
          <w:vertAlign w:val="superscript"/>
          <w:rtl/>
        </w:rPr>
        <w:t>(</w:t>
      </w:r>
      <w:r w:rsidRPr="00DA75F8">
        <w:rPr>
          <w:rStyle w:val="FootnoteReference"/>
          <w:rFonts w:cs="Arabic Transparent"/>
          <w:rtl/>
        </w:rPr>
        <w:footnoteReference w:id="141"/>
      </w:r>
      <w:r w:rsidRPr="00DA75F8">
        <w:rPr>
          <w:vertAlign w:val="superscript"/>
          <w:rtl/>
        </w:rPr>
        <w:t>)</w:t>
      </w:r>
      <w:r w:rsidRPr="00DA75F8">
        <w:rPr>
          <w:rtl/>
        </w:rPr>
        <w:t>.</w:t>
      </w:r>
    </w:p>
    <w:p w:rsidR="005F44B2" w:rsidRPr="00DA75F8" w:rsidRDefault="005F44B2" w:rsidP="004322CF">
      <w:pPr>
        <w:pStyle w:val="a0"/>
        <w:rPr>
          <w:rtl/>
        </w:rPr>
      </w:pPr>
      <w:r>
        <w:rPr>
          <w:rFonts w:hint="cs"/>
          <w:rtl/>
        </w:rPr>
        <w:t>وقد</w:t>
      </w:r>
      <w:r>
        <w:rPr>
          <w:rtl/>
        </w:rPr>
        <w:t xml:space="preserve"> أخذ ابن القيم بالمعنى العام للسياسة الشرعية حيث إنه </w:t>
      </w:r>
      <w:r w:rsidRPr="00DA75F8">
        <w:rPr>
          <w:rFonts w:hint="cs"/>
          <w:rtl/>
        </w:rPr>
        <w:t>يتضح</w:t>
      </w:r>
      <w:r w:rsidRPr="00DA75F8">
        <w:rPr>
          <w:rtl/>
        </w:rPr>
        <w:t xml:space="preserve"> ذلك من خلال الأدلة التي استدل بها ابن القيم على مشروعية السياسة الشرعية</w:t>
      </w:r>
      <w:r>
        <w:rPr>
          <w:rtl/>
        </w:rPr>
        <w:t>. وقد ذكرت الرفاعي أن ابن القيم</w:t>
      </w:r>
      <w:r w:rsidRPr="00DA75F8">
        <w:rPr>
          <w:rtl/>
        </w:rPr>
        <w:t xml:space="preserve"> يقصد بالسياسة الشرعيّة بوجه عام: (تدبير حاكم أو من ينوب مكانه شؤون الأمة في مختلف مجالات الحياة، بما يحقق المصلحة ويتفق مع الشرع)</w:t>
      </w:r>
      <w:r w:rsidRPr="00DA75F8">
        <w:rPr>
          <w:vertAlign w:val="superscript"/>
          <w:rtl/>
        </w:rPr>
        <w:t>(</w:t>
      </w:r>
      <w:r w:rsidRPr="00DA75F8">
        <w:rPr>
          <w:rStyle w:val="FootnoteReference"/>
          <w:rFonts w:cs="Arabic Transparent"/>
          <w:rtl/>
        </w:rPr>
        <w:footnoteReference w:id="14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نلاحظ</w:t>
      </w:r>
      <w:r w:rsidRPr="00DA75F8">
        <w:rPr>
          <w:rtl/>
        </w:rPr>
        <w:t xml:space="preserve"> من ذلك أن الإمام ابن القيّم أخذ ال</w:t>
      </w:r>
      <w:r w:rsidRPr="00DA75F8">
        <w:rPr>
          <w:rFonts w:hint="cs"/>
          <w:rtl/>
        </w:rPr>
        <w:t>سياسة</w:t>
      </w:r>
      <w:r w:rsidRPr="00DA75F8">
        <w:rPr>
          <w:rtl/>
        </w:rPr>
        <w:t xml:space="preserve"> الشرعية في كتابه (الطرق الحكمية) بوجه خاص، ولكن يتضح من مؤلفاته الأخرى أن المقصود عنده هو المعنى العام للسياسة الشرعية</w:t>
      </w:r>
      <w:r w:rsidRPr="00DA75F8">
        <w:rPr>
          <w:vertAlign w:val="superscript"/>
          <w:rtl/>
        </w:rPr>
        <w:t>(</w:t>
      </w:r>
      <w:r w:rsidRPr="00DA75F8">
        <w:rPr>
          <w:rStyle w:val="FootnoteReference"/>
          <w:rFonts w:cs="Arabic Transparent"/>
          <w:rtl/>
        </w:rPr>
        <w:footnoteReference w:id="143"/>
      </w:r>
      <w:r w:rsidRPr="00DA75F8">
        <w:rPr>
          <w:vertAlign w:val="superscript"/>
          <w:rtl/>
        </w:rPr>
        <w:t>)</w:t>
      </w:r>
      <w:r w:rsidRPr="00DA75F8">
        <w:rPr>
          <w:rtl/>
        </w:rPr>
        <w:t>.</w:t>
      </w:r>
    </w:p>
    <w:p w:rsidR="005F44B2" w:rsidRDefault="005F44B2" w:rsidP="00D67222">
      <w:pPr>
        <w:pStyle w:val="a0"/>
        <w:rPr>
          <w:rtl/>
        </w:rPr>
      </w:pPr>
      <w:r w:rsidRPr="00DA75F8">
        <w:rPr>
          <w:rFonts w:hint="cs"/>
          <w:rtl/>
        </w:rPr>
        <w:t>ويُخلص</w:t>
      </w:r>
      <w:r w:rsidRPr="00DA75F8">
        <w:rPr>
          <w:rtl/>
        </w:rPr>
        <w:t xml:space="preserve"> مما سبق إلى أن: تعريف السياسة الشرعية عند المتقدمين متنوع، منهم من خصص مفهوم السياسة الشرعيةكالطرابلسي وابن فرحون وغيرهم، ومنهم من عمم مفهومها كابن نجيم وابن عقيل وغيرهم، ومنهم من أشار إلى السياسة الشرعية بالمصلحة ول</w:t>
      </w:r>
      <w:r w:rsidRPr="00DA75F8">
        <w:rPr>
          <w:rFonts w:hint="cs"/>
          <w:rtl/>
        </w:rPr>
        <w:t>م</w:t>
      </w:r>
      <w:r w:rsidRPr="00DA75F8">
        <w:rPr>
          <w:rtl/>
        </w:rPr>
        <w:t xml:space="preserve"> يصرح كمتقدمي الشافعية، ومنهم من لم يعرفها تصريحًا كابن تيمية.لاحظنا أيضًا إطلاق أسماء مختلفة على السياسة الشرعية: كالإيالة، والأحكام السلطانية، والسياسة الدينية، والسياسة المدنية، والسياسة العادلة</w:t>
      </w:r>
      <w:r w:rsidRPr="00DA75F8">
        <w:rPr>
          <w:vertAlign w:val="superscript"/>
          <w:rtl/>
        </w:rPr>
        <w:t>(</w:t>
      </w:r>
      <w:r w:rsidRPr="00DA75F8">
        <w:rPr>
          <w:rStyle w:val="FootnoteReference"/>
          <w:rFonts w:cs="Arabic Transparent"/>
          <w:rtl/>
        </w:rPr>
        <w:footnoteReference w:id="144"/>
      </w:r>
      <w:r w:rsidRPr="00DA75F8">
        <w:rPr>
          <w:vertAlign w:val="superscript"/>
          <w:rtl/>
        </w:rPr>
        <w:t>)</w:t>
      </w:r>
      <w:r w:rsidRPr="00DA75F8">
        <w:rPr>
          <w:rtl/>
        </w:rPr>
        <w:t>.</w:t>
      </w:r>
    </w:p>
    <w:p w:rsidR="005F44B2" w:rsidRPr="00DA75F8" w:rsidRDefault="005F44B2" w:rsidP="004919EE">
      <w:pPr>
        <w:pStyle w:val="a0"/>
        <w:rPr>
          <w:rtl/>
        </w:rPr>
      </w:pPr>
      <w:r>
        <w:rPr>
          <w:rFonts w:hint="cs"/>
          <w:rtl/>
        </w:rPr>
        <w:t>ومع</w:t>
      </w:r>
      <w:r>
        <w:rPr>
          <w:rtl/>
        </w:rPr>
        <w:t xml:space="preserve"> كل ذلك الجميع متفق على أن السياسة تدور مع المصلحة زمانًا ومكانًا وظروفًا وأحوالًا.</w:t>
      </w:r>
    </w:p>
    <w:p w:rsidR="005F44B2" w:rsidRPr="00DA75F8" w:rsidRDefault="005F44B2" w:rsidP="005E6A96">
      <w:pPr>
        <w:pStyle w:val="a3"/>
        <w:rPr>
          <w:rtl/>
        </w:rPr>
      </w:pPr>
      <w:bookmarkStart w:id="18" w:name="_Toc447092560"/>
      <w:r w:rsidRPr="00DA75F8">
        <w:rPr>
          <w:rFonts w:hint="cs"/>
          <w:rtl/>
        </w:rPr>
        <w:t>المطلب</w:t>
      </w:r>
      <w:r w:rsidRPr="00DA75F8">
        <w:rPr>
          <w:rtl/>
        </w:rPr>
        <w:t xml:space="preserve"> الثالث:تعريف مفهوم السياسة الشرعية عند المعاصرين</w:t>
      </w:r>
      <w:bookmarkEnd w:id="18"/>
    </w:p>
    <w:p w:rsidR="005F44B2" w:rsidRPr="00DA75F8" w:rsidRDefault="005F44B2" w:rsidP="00D67222">
      <w:pPr>
        <w:pStyle w:val="a0"/>
        <w:rPr>
          <w:rtl/>
        </w:rPr>
      </w:pPr>
      <w:r w:rsidRPr="00DA75F8">
        <w:rPr>
          <w:rFonts w:hint="cs"/>
          <w:rtl/>
        </w:rPr>
        <w:t>بالرجوع</w:t>
      </w:r>
      <w:r w:rsidRPr="00DA75F8">
        <w:rPr>
          <w:rtl/>
        </w:rPr>
        <w:t xml:space="preserve"> إلى كتب السياسة ا</w:t>
      </w:r>
      <w:r>
        <w:rPr>
          <w:rFonts w:hint="cs"/>
          <w:rtl/>
        </w:rPr>
        <w:t>لشرعية</w:t>
      </w:r>
      <w:r>
        <w:rPr>
          <w:rtl/>
        </w:rPr>
        <w:t xml:space="preserve"> المعاصرة نجد عدة تعريفات</w:t>
      </w:r>
      <w:r w:rsidRPr="00DA75F8">
        <w:rPr>
          <w:rFonts w:hint="cs"/>
          <w:rtl/>
        </w:rPr>
        <w:t>،</w:t>
      </w:r>
      <w:r w:rsidRPr="00DA75F8">
        <w:rPr>
          <w:rtl/>
        </w:rPr>
        <w:t xml:space="preserve"> سيقتصر الباحث على بعضها كالتالي:</w:t>
      </w:r>
    </w:p>
    <w:p w:rsidR="005F44B2" w:rsidRPr="00DA75F8" w:rsidRDefault="005F44B2" w:rsidP="007B6769">
      <w:pPr>
        <w:pStyle w:val="a0"/>
        <w:numPr>
          <w:ilvl w:val="0"/>
          <w:numId w:val="5"/>
        </w:numPr>
        <w:rPr>
          <w:b/>
          <w:bCs/>
        </w:rPr>
      </w:pPr>
      <w:r w:rsidRPr="00DA75F8">
        <w:rPr>
          <w:rFonts w:hint="cs"/>
          <w:b/>
          <w:bCs/>
          <w:rtl/>
        </w:rPr>
        <w:t>فتحي</w:t>
      </w:r>
      <w:r w:rsidRPr="00DA75F8">
        <w:rPr>
          <w:b/>
          <w:bCs/>
          <w:rtl/>
        </w:rPr>
        <w:t xml:space="preserve"> الدريني:</w:t>
      </w:r>
      <w:r w:rsidRPr="00DA75F8">
        <w:rPr>
          <w:rFonts w:hint="cs"/>
          <w:rtl/>
        </w:rPr>
        <w:t>يرى</w:t>
      </w:r>
      <w:r w:rsidRPr="00DA75F8">
        <w:rPr>
          <w:rtl/>
        </w:rPr>
        <w:t xml:space="preserve"> أن السياسة يُقصد بها: " تعهد الأمر بما يصلحه"</w:t>
      </w:r>
      <w:r w:rsidRPr="00DA75F8">
        <w:rPr>
          <w:vertAlign w:val="superscript"/>
          <w:rtl/>
        </w:rPr>
        <w:t>(</w:t>
      </w:r>
      <w:r w:rsidRPr="00DA75F8">
        <w:rPr>
          <w:rStyle w:val="FootnoteReference"/>
          <w:rFonts w:cs="Arabic Transparent"/>
          <w:rtl/>
        </w:rPr>
        <w:footnoteReference w:id="145"/>
      </w:r>
      <w:r w:rsidRPr="00DA75F8">
        <w:rPr>
          <w:vertAlign w:val="superscript"/>
          <w:rtl/>
        </w:rPr>
        <w:t>)</w:t>
      </w:r>
      <w:r w:rsidRPr="00DA75F8">
        <w:rPr>
          <w:rFonts w:hint="cs"/>
          <w:rtl/>
        </w:rPr>
        <w:t>،</w:t>
      </w:r>
      <w:r w:rsidRPr="00DA75F8">
        <w:rPr>
          <w:rtl/>
        </w:rPr>
        <w:t xml:space="preserve"> حيث يرى أن"التشريع السياسي الإسلامي قد وضع (سلطات تقديرية واسعة) في يد وليِّ الأمر العادل، يعالج بها الأمور، ويدبِّرُ بها شؤون الدولة، على ضوء (المصالح) الحيوية والحقيقية للدولة، مهما تغايرت الظروف، ولو لم يَرِدْ بتلك التدابير نصوص خاصة بها عينًا، أو انعقد عليها إجماع، أو قياس خاص، ما دامتْ متَّفِقة وروح التشريع ولا تنافي أساسيّاته ومقاصده؛ لأن تلك (المصالح) تم</w:t>
      </w:r>
      <w:r w:rsidRPr="00DA75F8">
        <w:rPr>
          <w:rFonts w:hint="cs"/>
          <w:rtl/>
        </w:rPr>
        <w:t>ثل</w:t>
      </w:r>
      <w:r w:rsidRPr="00DA75F8">
        <w:rPr>
          <w:rtl/>
        </w:rPr>
        <w:t xml:space="preserve"> العدل والحق فيه. وبالجملة، فالسياسة الشرعية إنما تعني تعهد الأمر بما يصلحه"</w:t>
      </w:r>
      <w:r w:rsidRPr="00DA75F8">
        <w:rPr>
          <w:vertAlign w:val="superscript"/>
          <w:rtl/>
        </w:rPr>
        <w:t>(</w:t>
      </w:r>
      <w:r w:rsidRPr="00DA75F8">
        <w:rPr>
          <w:rStyle w:val="FootnoteReference"/>
          <w:rFonts w:cs="Arabic Transparent"/>
          <w:rtl/>
        </w:rPr>
        <w:footnoteReference w:id="146"/>
      </w:r>
      <w:r w:rsidRPr="00DA75F8">
        <w:rPr>
          <w:vertAlign w:val="superscript"/>
          <w:rtl/>
        </w:rPr>
        <w:t>)</w:t>
      </w:r>
      <w:r w:rsidRPr="00DA75F8">
        <w:rPr>
          <w:rtl/>
        </w:rPr>
        <w:t>.</w:t>
      </w:r>
    </w:p>
    <w:p w:rsidR="005F44B2" w:rsidRPr="00DA75F8" w:rsidRDefault="005F44B2" w:rsidP="007B6769">
      <w:pPr>
        <w:pStyle w:val="a0"/>
        <w:numPr>
          <w:ilvl w:val="0"/>
          <w:numId w:val="5"/>
        </w:numPr>
        <w:rPr>
          <w:b/>
          <w:bCs/>
        </w:rPr>
      </w:pPr>
      <w:r w:rsidRPr="00DA75F8">
        <w:rPr>
          <w:rFonts w:hint="cs"/>
          <w:b/>
          <w:bCs/>
          <w:rtl/>
        </w:rPr>
        <w:t>عرفها</w:t>
      </w:r>
      <w:r w:rsidRPr="00DA75F8">
        <w:rPr>
          <w:b/>
          <w:bCs/>
          <w:rtl/>
        </w:rPr>
        <w:t xml:space="preserve"> عبد الفتاح عمرو بأنها: </w:t>
      </w:r>
      <w:r w:rsidRPr="00DA75F8">
        <w:rPr>
          <w:rtl/>
        </w:rPr>
        <w:t>" مجموعة الأوامر والإجراءات الصادرة عن مختص شرعًا، والتي تطبق من خلالها أحكام الشريعة الإسلامية فيما لا نص فيه على المحكومين بشروطها المعتبرة"</w:t>
      </w:r>
      <w:r w:rsidRPr="00DA75F8">
        <w:rPr>
          <w:vertAlign w:val="superscript"/>
          <w:rtl/>
        </w:rPr>
        <w:t>(</w:t>
      </w:r>
      <w:r w:rsidRPr="00DA75F8">
        <w:rPr>
          <w:rStyle w:val="FootnoteReference"/>
          <w:rFonts w:cs="Arabic Transparent"/>
          <w:rtl/>
        </w:rPr>
        <w:footnoteReference w:id="147"/>
      </w:r>
      <w:r w:rsidRPr="00DA75F8">
        <w:rPr>
          <w:vertAlign w:val="superscript"/>
          <w:rtl/>
        </w:rPr>
        <w:t>)</w:t>
      </w:r>
      <w:r w:rsidRPr="00DA75F8">
        <w:rPr>
          <w:rtl/>
        </w:rPr>
        <w:t>.</w:t>
      </w:r>
    </w:p>
    <w:p w:rsidR="005F44B2" w:rsidRPr="00DA75F8" w:rsidRDefault="005F44B2" w:rsidP="007B6769">
      <w:pPr>
        <w:pStyle w:val="a0"/>
        <w:numPr>
          <w:ilvl w:val="0"/>
          <w:numId w:val="5"/>
        </w:numPr>
        <w:rPr>
          <w:b/>
          <w:bCs/>
        </w:rPr>
      </w:pPr>
      <w:r w:rsidRPr="00DA75F8">
        <w:rPr>
          <w:rFonts w:hint="cs"/>
          <w:b/>
          <w:bCs/>
          <w:rtl/>
        </w:rPr>
        <w:t>عرفها</w:t>
      </w:r>
      <w:r w:rsidRPr="00DA75F8">
        <w:rPr>
          <w:b/>
          <w:bCs/>
          <w:rtl/>
        </w:rPr>
        <w:t xml:space="preserve"> عبد العال أحمد عطوة: </w:t>
      </w:r>
      <w:r w:rsidRPr="00DA75F8">
        <w:rPr>
          <w:rtl/>
        </w:rPr>
        <w:t>" تدبير شؤون الدولة الإسلامية التي لم يرد بحكمها نص صريح، أو التي من شأنها أن تتغير وتتبدل، بما فيه مصلحة الأمة، ويتفق مع أحكام الشريعة وأصولها العامة"</w:t>
      </w:r>
      <w:r w:rsidRPr="00DA75F8">
        <w:rPr>
          <w:vertAlign w:val="superscript"/>
          <w:rtl/>
        </w:rPr>
        <w:t>(</w:t>
      </w:r>
      <w:r w:rsidRPr="00DA75F8">
        <w:rPr>
          <w:rStyle w:val="FootnoteReference"/>
          <w:rFonts w:cs="Arabic Transparent"/>
          <w:rtl/>
        </w:rPr>
        <w:footnoteReference w:id="148"/>
      </w:r>
      <w:r w:rsidRPr="00DA75F8">
        <w:rPr>
          <w:vertAlign w:val="superscript"/>
          <w:rtl/>
        </w:rPr>
        <w:t>)</w:t>
      </w:r>
      <w:r w:rsidRPr="00DA75F8">
        <w:rPr>
          <w:rtl/>
        </w:rPr>
        <w:t>.</w:t>
      </w:r>
    </w:p>
    <w:p w:rsidR="005F44B2" w:rsidRPr="00DA75F8" w:rsidRDefault="005F44B2" w:rsidP="007B6769">
      <w:pPr>
        <w:pStyle w:val="a0"/>
        <w:numPr>
          <w:ilvl w:val="0"/>
          <w:numId w:val="5"/>
        </w:numPr>
        <w:rPr>
          <w:b/>
          <w:bCs/>
        </w:rPr>
      </w:pPr>
      <w:r w:rsidRPr="00DA75F8">
        <w:rPr>
          <w:rFonts w:hint="cs"/>
          <w:b/>
          <w:bCs/>
          <w:rtl/>
        </w:rPr>
        <w:t>عرفها</w:t>
      </w:r>
      <w:r w:rsidRPr="00DA75F8">
        <w:rPr>
          <w:b/>
          <w:bCs/>
          <w:rtl/>
        </w:rPr>
        <w:t xml:space="preserve"> عبد الوهاب خلاف بأنها: </w:t>
      </w:r>
      <w:r w:rsidRPr="00DA75F8">
        <w:rPr>
          <w:rtl/>
        </w:rPr>
        <w:t>" علم يبحث فيما عما تدبر به شئون الدولة الإسلامية من القوانين والنظم التي تتفق وأصول الإسلام، وإن لم يقم على كل تدبير دليل خاص"</w:t>
      </w:r>
      <w:r w:rsidRPr="00DA75F8">
        <w:rPr>
          <w:vertAlign w:val="superscript"/>
          <w:rtl/>
        </w:rPr>
        <w:t>(</w:t>
      </w:r>
      <w:r w:rsidRPr="00DA75F8">
        <w:rPr>
          <w:rStyle w:val="FootnoteReference"/>
          <w:rFonts w:cs="Arabic Transparent"/>
          <w:rtl/>
        </w:rPr>
        <w:footnoteReference w:id="149"/>
      </w:r>
      <w:r w:rsidRPr="00DA75F8">
        <w:rPr>
          <w:vertAlign w:val="superscript"/>
          <w:rtl/>
        </w:rPr>
        <w:t>)</w:t>
      </w:r>
      <w:r w:rsidRPr="00DA75F8">
        <w:rPr>
          <w:rtl/>
        </w:rPr>
        <w:t>.</w:t>
      </w:r>
    </w:p>
    <w:p w:rsidR="005F44B2" w:rsidRPr="00DA75F8" w:rsidRDefault="005F44B2" w:rsidP="007B6769">
      <w:pPr>
        <w:pStyle w:val="a0"/>
        <w:numPr>
          <w:ilvl w:val="0"/>
          <w:numId w:val="5"/>
        </w:numPr>
        <w:rPr>
          <w:b/>
          <w:bCs/>
        </w:rPr>
      </w:pPr>
      <w:r w:rsidRPr="00DA75F8">
        <w:rPr>
          <w:rFonts w:hint="cs"/>
          <w:b/>
          <w:bCs/>
          <w:rtl/>
        </w:rPr>
        <w:t>عرفها</w:t>
      </w:r>
      <w:r w:rsidRPr="00DA75F8">
        <w:rPr>
          <w:b/>
          <w:bCs/>
          <w:rtl/>
        </w:rPr>
        <w:t xml:space="preserve"> محمد نعيم ياسين: </w:t>
      </w:r>
      <w:r w:rsidRPr="00DA75F8">
        <w:rPr>
          <w:rtl/>
        </w:rPr>
        <w:t>" تدبير الإمام المسلم بنفسه أو بنيابه عنه شؤون الرّعية المشتركة مقتضى المقاصد الشرعية "</w:t>
      </w:r>
      <w:r w:rsidRPr="00DA75F8">
        <w:rPr>
          <w:vertAlign w:val="superscript"/>
          <w:rtl/>
        </w:rPr>
        <w:t>(</w:t>
      </w:r>
      <w:r w:rsidRPr="00DA75F8">
        <w:rPr>
          <w:rStyle w:val="FootnoteReference"/>
          <w:rFonts w:cs="Arabic Transparent"/>
          <w:rtl/>
        </w:rPr>
        <w:footnoteReference w:id="150"/>
      </w:r>
      <w:r w:rsidRPr="00DA75F8">
        <w:rPr>
          <w:vertAlign w:val="superscript"/>
          <w:rtl/>
        </w:rPr>
        <w:t>)</w:t>
      </w:r>
      <w:r w:rsidRPr="00DA75F8">
        <w:rPr>
          <w:rtl/>
        </w:rPr>
        <w:t xml:space="preserve">. </w:t>
      </w:r>
    </w:p>
    <w:p w:rsidR="005F44B2" w:rsidRPr="00DA75F8" w:rsidRDefault="005F44B2" w:rsidP="007B6769">
      <w:pPr>
        <w:pStyle w:val="a0"/>
        <w:numPr>
          <w:ilvl w:val="0"/>
          <w:numId w:val="5"/>
        </w:numPr>
        <w:rPr>
          <w:b/>
          <w:bCs/>
        </w:rPr>
      </w:pPr>
      <w:r w:rsidRPr="00DA75F8">
        <w:rPr>
          <w:rFonts w:hint="cs"/>
          <w:b/>
          <w:bCs/>
          <w:rtl/>
        </w:rPr>
        <w:t>الشيخ</w:t>
      </w:r>
      <w:r w:rsidRPr="00DA75F8">
        <w:rPr>
          <w:b/>
          <w:bCs/>
          <w:rtl/>
        </w:rPr>
        <w:t xml:space="preserve"> الزلباني: </w:t>
      </w:r>
      <w:r w:rsidRPr="00DA75F8">
        <w:rPr>
          <w:rtl/>
        </w:rPr>
        <w:t>" علم يبحث فيه عن تصرف في الشؤون المشتركة بمقتضى الحكمة على وجه لايخالف ما جاء به الرسول – صلى الله عليه وسلم – وإن لم يقم على كل تصرف دليل جزئي"</w:t>
      </w:r>
      <w:r w:rsidRPr="00DA75F8">
        <w:rPr>
          <w:vertAlign w:val="superscript"/>
          <w:rtl/>
        </w:rPr>
        <w:t>(</w:t>
      </w:r>
      <w:r w:rsidRPr="00DA75F8">
        <w:rPr>
          <w:rStyle w:val="FootnoteReference"/>
          <w:rFonts w:cs="Arabic Transparent"/>
          <w:rtl/>
        </w:rPr>
        <w:footnoteReference w:id="151"/>
      </w:r>
      <w:r w:rsidRPr="00DA75F8">
        <w:rPr>
          <w:vertAlign w:val="superscript"/>
          <w:rtl/>
        </w:rPr>
        <w:t>)</w:t>
      </w:r>
      <w:r w:rsidRPr="00DA75F8">
        <w:rPr>
          <w:rtl/>
        </w:rPr>
        <w:t>.</w:t>
      </w:r>
    </w:p>
    <w:p w:rsidR="005F44B2" w:rsidRPr="00DA75F8" w:rsidRDefault="005F44B2" w:rsidP="00CD5452">
      <w:pPr>
        <w:pStyle w:val="a0"/>
        <w:numPr>
          <w:ilvl w:val="0"/>
          <w:numId w:val="5"/>
        </w:numPr>
        <w:rPr>
          <w:b/>
          <w:bCs/>
        </w:rPr>
      </w:pPr>
      <w:r w:rsidRPr="00DA75F8">
        <w:rPr>
          <w:rFonts w:hint="cs"/>
          <w:b/>
          <w:bCs/>
          <w:rtl/>
        </w:rPr>
        <w:t>عبد</w:t>
      </w:r>
      <w:r w:rsidRPr="00DA75F8">
        <w:rPr>
          <w:b/>
          <w:bCs/>
          <w:rtl/>
        </w:rPr>
        <w:t xml:space="preserve"> الله إبراهيم زيد الكيلاني: </w:t>
      </w:r>
      <w:r w:rsidRPr="00DA75F8">
        <w:rPr>
          <w:rtl/>
        </w:rPr>
        <w:t>" هي خطةٌ عملٍ يستند إليها الحاكم، والفقيه لوضع الت</w:t>
      </w:r>
      <w:r w:rsidRPr="00DA75F8">
        <w:rPr>
          <w:rFonts w:hint="cs"/>
          <w:rtl/>
        </w:rPr>
        <w:t>دابير</w:t>
      </w:r>
      <w:r w:rsidRPr="00DA75F8">
        <w:rPr>
          <w:rtl/>
        </w:rPr>
        <w:t xml:space="preserve"> المناسبة لتنظيم شؤ</w:t>
      </w:r>
      <w:r w:rsidRPr="00DA75F8">
        <w:rPr>
          <w:rFonts w:hint="cs"/>
          <w:rtl/>
        </w:rPr>
        <w:t>ون</w:t>
      </w:r>
      <w:r w:rsidRPr="00DA75F8">
        <w:rPr>
          <w:rtl/>
        </w:rPr>
        <w:t xml:space="preserve"> الأمة في مختلف المجالات: الاقتصادية، والعسكرية، وغيرها؛ بهدف تحقيق التنمية والنهضة في المجتمع</w:t>
      </w:r>
      <w:r w:rsidRPr="00DA75F8">
        <w:rPr>
          <w:vertAlign w:val="superscript"/>
          <w:rtl/>
        </w:rPr>
        <w:t>(</w:t>
      </w:r>
      <w:r w:rsidRPr="00DA75F8">
        <w:rPr>
          <w:rStyle w:val="FootnoteReference"/>
          <w:rFonts w:cs="Arabic Transparent"/>
          <w:rtl/>
        </w:rPr>
        <w:footnoteReference w:id="152"/>
      </w:r>
      <w:r w:rsidRPr="00DA75F8">
        <w:rPr>
          <w:vertAlign w:val="superscript"/>
          <w:rtl/>
        </w:rPr>
        <w:t>)</w:t>
      </w:r>
      <w:r w:rsidRPr="00DA75F8">
        <w:rPr>
          <w:rFonts w:hint="cs"/>
          <w:rtl/>
        </w:rPr>
        <w:t>،</w:t>
      </w:r>
      <w:r w:rsidRPr="00DA75F8">
        <w:rPr>
          <w:rtl/>
        </w:rPr>
        <w:t xml:space="preserve"> ويقصدبخطة </w:t>
      </w:r>
      <w:r w:rsidRPr="00DA75F8">
        <w:rPr>
          <w:rFonts w:hint="cs"/>
          <w:rtl/>
        </w:rPr>
        <w:t>عمل</w:t>
      </w:r>
      <w:r w:rsidRPr="00DA75F8">
        <w:rPr>
          <w:rtl/>
        </w:rPr>
        <w:t>: أنها ليست مجرد أخذٍ للأحكام الفقهية من بطون الكتب المختصة وتطبيقها في الواقع"</w:t>
      </w:r>
      <w:r w:rsidRPr="00DA75F8">
        <w:rPr>
          <w:vertAlign w:val="superscript"/>
          <w:rtl/>
        </w:rPr>
        <w:t>(</w:t>
      </w:r>
      <w:r w:rsidRPr="00DA75F8">
        <w:rPr>
          <w:rStyle w:val="FootnoteReference"/>
          <w:rFonts w:cs="Arabic Transparent"/>
          <w:rtl/>
        </w:rPr>
        <w:footnoteReference w:id="153"/>
      </w:r>
      <w:r w:rsidRPr="00DA75F8">
        <w:rPr>
          <w:vertAlign w:val="superscript"/>
          <w:rtl/>
        </w:rPr>
        <w:t>)</w:t>
      </w:r>
      <w:r w:rsidRPr="00DA75F8">
        <w:rPr>
          <w:rtl/>
        </w:rPr>
        <w:t>.</w:t>
      </w:r>
    </w:p>
    <w:p w:rsidR="005F44B2" w:rsidRPr="00DA75F8" w:rsidRDefault="005F44B2" w:rsidP="007B6769">
      <w:pPr>
        <w:pStyle w:val="a0"/>
        <w:numPr>
          <w:ilvl w:val="0"/>
          <w:numId w:val="5"/>
        </w:numPr>
        <w:rPr>
          <w:b/>
          <w:bCs/>
        </w:rPr>
      </w:pPr>
      <w:r w:rsidRPr="00DA75F8">
        <w:rPr>
          <w:rFonts w:hint="cs"/>
          <w:b/>
          <w:bCs/>
          <w:rtl/>
        </w:rPr>
        <w:t>جميلة</w:t>
      </w:r>
      <w:r w:rsidRPr="00DA75F8">
        <w:rPr>
          <w:b/>
          <w:bCs/>
          <w:rtl/>
        </w:rPr>
        <w:t xml:space="preserve"> الرفاعي: </w:t>
      </w:r>
      <w:r w:rsidRPr="00DA75F8">
        <w:rPr>
          <w:rtl/>
        </w:rPr>
        <w:t>" أحكام وإجراءات شرعية من مسؤول شرعًا تدبر بها شؤون الأمة في مختلف مجالات الحياة سواء ورد في ذلك نص أم لم يرد، محققة المصلحة الموافقة لروح الشرع"</w:t>
      </w:r>
      <w:r w:rsidRPr="00DA75F8">
        <w:rPr>
          <w:vertAlign w:val="superscript"/>
          <w:rtl/>
        </w:rPr>
        <w:t>(</w:t>
      </w:r>
      <w:r w:rsidRPr="00DA75F8">
        <w:rPr>
          <w:rStyle w:val="FootnoteReference"/>
          <w:rFonts w:cs="Arabic Transparent"/>
          <w:rtl/>
        </w:rPr>
        <w:footnoteReference w:id="154"/>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خلاصة</w:t>
      </w:r>
      <w:r w:rsidRPr="00DA75F8">
        <w:rPr>
          <w:rtl/>
        </w:rPr>
        <w:t xml:space="preserve"> تعريف</w:t>
      </w:r>
      <w:r>
        <w:rPr>
          <w:rFonts w:hint="cs"/>
          <w:rtl/>
        </w:rPr>
        <w:t>ات</w:t>
      </w:r>
      <w:r w:rsidRPr="00DA75F8">
        <w:rPr>
          <w:rtl/>
        </w:rPr>
        <w:t xml:space="preserve"> السياسة الشرعية عند المعاصرين:</w:t>
      </w:r>
    </w:p>
    <w:p w:rsidR="005F44B2" w:rsidRPr="00DA75F8" w:rsidRDefault="005F44B2" w:rsidP="007B6769">
      <w:pPr>
        <w:pStyle w:val="a0"/>
        <w:rPr>
          <w:rtl/>
        </w:rPr>
      </w:pPr>
      <w:r w:rsidRPr="00DA75F8">
        <w:rPr>
          <w:rFonts w:hint="cs"/>
          <w:rtl/>
        </w:rPr>
        <w:t>وبعد</w:t>
      </w:r>
      <w:r w:rsidRPr="00DA75F8">
        <w:rPr>
          <w:rtl/>
        </w:rPr>
        <w:t xml:space="preserve"> هذا التقديم للتعريفات السياسة الشرعية عند المعاصرين، يرى الباحث أنها متشابهة وأنّ بينها نقاط مشتركة أبرزها ما يلي: </w:t>
      </w:r>
    </w:p>
    <w:p w:rsidR="005F44B2" w:rsidRPr="00DA75F8" w:rsidRDefault="005F44B2" w:rsidP="007B6769">
      <w:pPr>
        <w:pStyle w:val="a0"/>
        <w:numPr>
          <w:ilvl w:val="0"/>
          <w:numId w:val="6"/>
        </w:numPr>
      </w:pPr>
      <w:r w:rsidRPr="00DA75F8">
        <w:rPr>
          <w:rFonts w:hint="cs"/>
          <w:rtl/>
        </w:rPr>
        <w:t>أخذ</w:t>
      </w:r>
      <w:r w:rsidRPr="00DA75F8">
        <w:rPr>
          <w:rtl/>
        </w:rPr>
        <w:t xml:space="preserve"> المعاصرون السياسة الشرعية بالمعنى العام ولم يقصروها على فرع من فروعها.</w:t>
      </w:r>
    </w:p>
    <w:p w:rsidR="005F44B2" w:rsidRPr="00DA75F8" w:rsidRDefault="005F44B2" w:rsidP="007B6769">
      <w:pPr>
        <w:pStyle w:val="a0"/>
        <w:numPr>
          <w:ilvl w:val="0"/>
          <w:numId w:val="6"/>
        </w:numPr>
      </w:pPr>
      <w:r w:rsidRPr="00DA75F8">
        <w:rPr>
          <w:rFonts w:hint="cs"/>
          <w:rtl/>
        </w:rPr>
        <w:t>اتفق</w:t>
      </w:r>
      <w:r w:rsidRPr="00DA75F8">
        <w:rPr>
          <w:rtl/>
        </w:rPr>
        <w:t xml:space="preserve"> المعاصرون في تعريفاتهم على أنّ السياسة الشرعية يجب أن تكون موافقة للشرع.</w:t>
      </w:r>
    </w:p>
    <w:p w:rsidR="005F44B2" w:rsidRPr="00DA75F8" w:rsidRDefault="005F44B2" w:rsidP="007B6769">
      <w:pPr>
        <w:pStyle w:val="a0"/>
        <w:numPr>
          <w:ilvl w:val="0"/>
          <w:numId w:val="6"/>
        </w:numPr>
      </w:pPr>
      <w:r w:rsidRPr="00DA75F8">
        <w:rPr>
          <w:rFonts w:hint="cs"/>
          <w:rtl/>
        </w:rPr>
        <w:t>بنى</w:t>
      </w:r>
      <w:r w:rsidRPr="00DA75F8">
        <w:rPr>
          <w:rtl/>
        </w:rPr>
        <w:t xml:space="preserve"> المعاصرون السياسة الشرعية على </w:t>
      </w:r>
      <w:r w:rsidRPr="00DA75F8">
        <w:rPr>
          <w:rFonts w:hint="cs"/>
          <w:rtl/>
        </w:rPr>
        <w:t>المصلحة،</w:t>
      </w:r>
      <w:r w:rsidRPr="00DA75F8">
        <w:rPr>
          <w:rtl/>
        </w:rPr>
        <w:t xml:space="preserve"> وهذه المصلحة متغيرة، تتغير بتغير الزمان والمكان.</w:t>
      </w:r>
    </w:p>
    <w:p w:rsidR="005F44B2" w:rsidRPr="00DA75F8" w:rsidRDefault="005F44B2" w:rsidP="007B6769">
      <w:pPr>
        <w:pStyle w:val="a0"/>
        <w:numPr>
          <w:ilvl w:val="0"/>
          <w:numId w:val="6"/>
        </w:numPr>
      </w:pPr>
      <w:r w:rsidRPr="00DA75F8">
        <w:rPr>
          <w:rFonts w:hint="cs"/>
          <w:rtl/>
        </w:rPr>
        <w:t>جعل</w:t>
      </w:r>
      <w:r w:rsidRPr="00DA75F8">
        <w:rPr>
          <w:rtl/>
        </w:rPr>
        <w:t xml:space="preserve"> الفقهاء المعاصرون السياسة الشرعية عِلْمًا قائمًا بذاته.</w:t>
      </w:r>
    </w:p>
    <w:p w:rsidR="005F44B2" w:rsidRPr="00DA75F8" w:rsidRDefault="005F44B2" w:rsidP="007B6769">
      <w:pPr>
        <w:pStyle w:val="a0"/>
        <w:numPr>
          <w:ilvl w:val="0"/>
          <w:numId w:val="6"/>
        </w:numPr>
      </w:pPr>
      <w:r w:rsidRPr="00DA75F8">
        <w:rPr>
          <w:rFonts w:hint="cs"/>
          <w:rtl/>
        </w:rPr>
        <w:t>لايشترط</w:t>
      </w:r>
      <w:r w:rsidRPr="00DA75F8">
        <w:rPr>
          <w:rtl/>
        </w:rPr>
        <w:t xml:space="preserve"> المعاصرون وجود دليل جزئي عند العمل بالسياسة الشرعية.</w:t>
      </w:r>
    </w:p>
    <w:p w:rsidR="005F44B2" w:rsidRPr="00DA75F8" w:rsidRDefault="005F44B2" w:rsidP="007B6769">
      <w:pPr>
        <w:pStyle w:val="a0"/>
        <w:numPr>
          <w:ilvl w:val="0"/>
          <w:numId w:val="6"/>
        </w:numPr>
        <w:rPr>
          <w:rtl/>
        </w:rPr>
      </w:pPr>
      <w:r w:rsidRPr="00DA75F8">
        <w:rPr>
          <w:rFonts w:hint="cs"/>
          <w:rtl/>
        </w:rPr>
        <w:t>يشترط</w:t>
      </w:r>
      <w:r w:rsidRPr="00DA75F8">
        <w:rPr>
          <w:rtl/>
        </w:rPr>
        <w:t xml:space="preserve"> في السياسة الشرعية أن تتفق مع روح الشريعة ومبادئها العلمية</w:t>
      </w:r>
      <w:r w:rsidRPr="00DA75F8">
        <w:rPr>
          <w:vertAlign w:val="superscript"/>
          <w:rtl/>
        </w:rPr>
        <w:t>(</w:t>
      </w:r>
      <w:r w:rsidRPr="00DA75F8">
        <w:rPr>
          <w:rStyle w:val="FootnoteReference"/>
          <w:rFonts w:cs="Arabic Transparent"/>
          <w:rtl/>
        </w:rPr>
        <w:footnoteReference w:id="155"/>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مقارنة</w:t>
      </w:r>
      <w:r w:rsidRPr="00DA75F8">
        <w:rPr>
          <w:rtl/>
        </w:rPr>
        <w:t xml:space="preserve"> السياسة الشرعية عند ابن عابدين، بالسياسة الشرعية عند الفقهاء المتقدمين والمعاصرين</w:t>
      </w:r>
    </w:p>
    <w:p w:rsidR="005F44B2" w:rsidRPr="00DA75F8" w:rsidRDefault="005F44B2" w:rsidP="007B6769">
      <w:pPr>
        <w:pStyle w:val="a0"/>
        <w:rPr>
          <w:rtl/>
        </w:rPr>
      </w:pPr>
      <w:r w:rsidRPr="00DA75F8">
        <w:rPr>
          <w:rFonts w:hint="cs"/>
          <w:rtl/>
        </w:rPr>
        <w:t>بعد</w:t>
      </w:r>
      <w:r w:rsidRPr="00DA75F8">
        <w:rPr>
          <w:rtl/>
        </w:rPr>
        <w:t xml:space="preserve"> قراءتنا وعرضنا لتعريفات العلماء وجدنا نقطة اتفق المتقدمون والمعاصرون عليها في تعريفاتهم وبيِّتناتهم للسياسة الشرعية، وهي المصلحة، إذ متى تحققت المصلحة فيجب الأخذ بها بشرط أن لاتخالف الشرع، وأن هذه المصلحة تختلف باختلاف الظروف والأزمنة والأمكنة</w:t>
      </w:r>
      <w:r w:rsidRPr="00DA75F8">
        <w:rPr>
          <w:vertAlign w:val="superscript"/>
          <w:rtl/>
        </w:rPr>
        <w:t>(</w:t>
      </w:r>
      <w:r w:rsidRPr="00DA75F8">
        <w:rPr>
          <w:rStyle w:val="FootnoteReference"/>
          <w:rFonts w:cs="Arabic Transparent"/>
          <w:rtl/>
        </w:rPr>
        <w:footnoteReference w:id="15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ومع</w:t>
      </w:r>
      <w:r w:rsidRPr="00DA75F8">
        <w:rPr>
          <w:rtl/>
        </w:rPr>
        <w:t xml:space="preserve"> هذا اختلف المتقدمون في أخذ السياسة الشرعية، فمنهم من أخذ بها بوجه خاص</w:t>
      </w:r>
      <w:r>
        <w:rPr>
          <w:vertAlign w:val="superscript"/>
          <w:rtl/>
        </w:rPr>
        <w:t>(</w:t>
      </w:r>
      <w:r>
        <w:rPr>
          <w:rStyle w:val="FootnoteReference"/>
          <w:rFonts w:cs="Arabic Transparent"/>
          <w:rtl/>
        </w:rPr>
        <w:footnoteReference w:id="157"/>
      </w:r>
      <w:r>
        <w:rPr>
          <w:vertAlign w:val="superscript"/>
          <w:rtl/>
        </w:rPr>
        <w:t>)</w:t>
      </w:r>
      <w:r w:rsidRPr="00DA75F8">
        <w:rPr>
          <w:rFonts w:hint="cs"/>
          <w:rtl/>
        </w:rPr>
        <w:t>،</w:t>
      </w:r>
      <w:r w:rsidRPr="00DA75F8">
        <w:rPr>
          <w:rtl/>
        </w:rPr>
        <w:t xml:space="preserve"> ومنهم من أخذ بها بوجه عام، غير أن المعاصرين اتفقوا على أخذها بوجه عام</w:t>
      </w:r>
      <w:r>
        <w:rPr>
          <w:rStyle w:val="FootnoteReference"/>
          <w:rFonts w:cs="Arabic Transparent"/>
          <w:rtl/>
        </w:rPr>
        <w:footnoteReference w:id="158"/>
      </w:r>
      <w:r w:rsidRPr="00DA75F8">
        <w:rPr>
          <w:rFonts w:hint="cs"/>
          <w:rtl/>
        </w:rPr>
        <w:t>،</w:t>
      </w:r>
      <w:r w:rsidRPr="00DA75F8">
        <w:rPr>
          <w:rtl/>
        </w:rPr>
        <w:t xml:space="preserve"> ومعظم تعريفات هؤلاء تدور حول المصلحة.</w:t>
      </w:r>
    </w:p>
    <w:p w:rsidR="005F44B2" w:rsidRPr="00DA75F8" w:rsidRDefault="005F44B2" w:rsidP="00CD5452">
      <w:pPr>
        <w:pStyle w:val="a0"/>
        <w:rPr>
          <w:rtl/>
        </w:rPr>
      </w:pPr>
      <w:r w:rsidRPr="00DA75F8">
        <w:rPr>
          <w:rFonts w:hint="cs"/>
          <w:rtl/>
        </w:rPr>
        <w:t>أما</w:t>
      </w:r>
      <w:r w:rsidRPr="00DA75F8">
        <w:rPr>
          <w:rtl/>
        </w:rPr>
        <w:t xml:space="preserve"> ابن عابدين فعنده </w:t>
      </w:r>
      <w:r>
        <w:rPr>
          <w:rFonts w:hint="cs"/>
          <w:rtl/>
        </w:rPr>
        <w:t>ثلاث</w:t>
      </w:r>
      <w:r w:rsidRPr="00DA75F8">
        <w:rPr>
          <w:rtl/>
        </w:rPr>
        <w:t xml:space="preserve"> تعريفات للسياسة الشرعية ولكن من الممكن أن نقصّرها على تعريفين؛ تعريف عام وآخر خاص، فالعامّ يشمل جميع مناحي الحياة، والآخرالخاص، فتُقصر فيها السياسة الشرعية على مجال الجنايات، والتعازير، وهنا يتابدر إلى الذهن سؤال مفادُه: أيُّ الوجوه أرجح عند ابن عابدين، الخاص أم العام؟ وبإذن الله تعالى سيبيّ</w:t>
      </w:r>
      <w:r w:rsidRPr="00DA75F8">
        <w:rPr>
          <w:rFonts w:hint="cs"/>
          <w:rtl/>
        </w:rPr>
        <w:t>ِن</w:t>
      </w:r>
      <w:r w:rsidRPr="00DA75F8">
        <w:rPr>
          <w:rtl/>
        </w:rPr>
        <w:t xml:space="preserve"> الباحث  فيما بعد هذا الإشكال، فعبر البحث ستتبدّى المعلومات والأمثلة</w:t>
      </w:r>
      <w:r>
        <w:rPr>
          <w:rtl/>
        </w:rPr>
        <w:t xml:space="preserve"> التي ترجّح أحدهم</w:t>
      </w:r>
      <w:r w:rsidRPr="00DA75F8">
        <w:rPr>
          <w:rtl/>
        </w:rPr>
        <w:t xml:space="preserve"> على الآخر عنده إن شاء الله.</w:t>
      </w:r>
      <w:r w:rsidRPr="00DA75F8">
        <w:rPr>
          <w:rtl/>
        </w:rPr>
        <w:br w:type="page"/>
      </w:r>
    </w:p>
    <w:p w:rsidR="005F44B2" w:rsidRPr="00DA75F8" w:rsidRDefault="005F44B2" w:rsidP="005E6A96">
      <w:pPr>
        <w:pStyle w:val="a1"/>
        <w:rPr>
          <w:b w:val="0"/>
          <w:bCs w:val="0"/>
          <w:sz w:val="50"/>
          <w:szCs w:val="50"/>
          <w:rtl/>
        </w:rPr>
      </w:pPr>
    </w:p>
    <w:p w:rsidR="005F44B2" w:rsidRPr="00DA75F8" w:rsidRDefault="005F44B2" w:rsidP="005E6A96">
      <w:pPr>
        <w:pStyle w:val="a1"/>
        <w:rPr>
          <w:sz w:val="50"/>
          <w:szCs w:val="50"/>
          <w:rtl/>
        </w:rPr>
      </w:pPr>
      <w:bookmarkStart w:id="19" w:name="_Toc447092561"/>
      <w:r w:rsidRPr="00DA75F8">
        <w:rPr>
          <w:rFonts w:hint="cs"/>
          <w:b w:val="0"/>
          <w:sz w:val="50"/>
          <w:szCs w:val="50"/>
          <w:rtl/>
        </w:rPr>
        <w:t>الفصل</w:t>
      </w:r>
      <w:r w:rsidRPr="00DA75F8">
        <w:rPr>
          <w:b w:val="0"/>
          <w:sz w:val="50"/>
          <w:szCs w:val="50"/>
          <w:rtl/>
        </w:rPr>
        <w:t xml:space="preserve"> الثاني:</w:t>
      </w:r>
      <w:r w:rsidRPr="00DA75F8">
        <w:rPr>
          <w:rFonts w:hint="cs"/>
          <w:sz w:val="50"/>
          <w:szCs w:val="50"/>
          <w:rtl/>
        </w:rPr>
        <w:t>السياسة</w:t>
      </w:r>
      <w:r w:rsidRPr="00DA75F8">
        <w:rPr>
          <w:sz w:val="50"/>
          <w:szCs w:val="50"/>
          <w:rtl/>
        </w:rPr>
        <w:t xml:space="preserve"> الشرعية عند ابن عابدين</w:t>
      </w:r>
      <w:bookmarkEnd w:id="19"/>
    </w:p>
    <w:p w:rsidR="005F44B2" w:rsidRPr="00DA75F8" w:rsidRDefault="005F44B2" w:rsidP="007B6769">
      <w:pPr>
        <w:pStyle w:val="a0"/>
        <w:rPr>
          <w:noProof/>
          <w:rtl/>
        </w:rPr>
      </w:pPr>
    </w:p>
    <w:p w:rsidR="005F44B2" w:rsidRPr="00DA75F8" w:rsidRDefault="005F44B2" w:rsidP="007B6769">
      <w:pPr>
        <w:pStyle w:val="a0"/>
        <w:rPr>
          <w:noProof/>
          <w:rtl/>
        </w:rPr>
      </w:pPr>
    </w:p>
    <w:p w:rsidR="005F44B2" w:rsidRPr="00DA75F8" w:rsidRDefault="005F44B2" w:rsidP="007B6769">
      <w:pPr>
        <w:pStyle w:val="a0"/>
        <w:rPr>
          <w:noProof/>
          <w:rtl/>
        </w:rPr>
      </w:pPr>
    </w:p>
    <w:p w:rsidR="005F44B2" w:rsidRPr="00DA75F8" w:rsidRDefault="005F44B2" w:rsidP="00EA3928">
      <w:pPr>
        <w:pStyle w:val="a0"/>
        <w:rPr>
          <w:noProof/>
          <w:rtl/>
        </w:rPr>
      </w:pPr>
      <w:r w:rsidRPr="00AC3F6C">
        <w:rPr>
          <w:rFonts w:hint="cs"/>
          <w:b/>
          <w:bCs/>
          <w:noProof/>
          <w:sz w:val="32"/>
          <w:szCs w:val="32"/>
          <w:rtl/>
        </w:rPr>
        <w:t>المبحث</w:t>
      </w:r>
      <w:r w:rsidRPr="00AC3F6C">
        <w:rPr>
          <w:b/>
          <w:bCs/>
          <w:noProof/>
          <w:sz w:val="32"/>
          <w:szCs w:val="32"/>
          <w:rtl/>
        </w:rPr>
        <w:t xml:space="preserve"> الأول: أدلة السياسة الشرعية عند ابن عابدين</w:t>
      </w:r>
      <w:r>
        <w:rPr>
          <w:b/>
          <w:bCs/>
          <w:noProof/>
          <w:sz w:val="32"/>
          <w:szCs w:val="32"/>
          <w:rtl/>
        </w:rPr>
        <w:t xml:space="preserve"> وطرقها</w:t>
      </w:r>
      <w:r w:rsidRPr="00AC3F6C">
        <w:rPr>
          <w:b/>
          <w:bCs/>
          <w:noProof/>
          <w:sz w:val="32"/>
          <w:szCs w:val="32"/>
          <w:rtl/>
        </w:rPr>
        <w:t xml:space="preserve"> وشروطها</w:t>
      </w:r>
    </w:p>
    <w:p w:rsidR="005F44B2" w:rsidRPr="00DA75F8" w:rsidRDefault="005F44B2" w:rsidP="007B6769">
      <w:pPr>
        <w:pStyle w:val="a0"/>
        <w:rPr>
          <w:noProof/>
          <w:rtl/>
        </w:rPr>
      </w:pPr>
    </w:p>
    <w:p w:rsidR="005F44B2" w:rsidRPr="00DA75F8" w:rsidRDefault="005F44B2" w:rsidP="007B6769">
      <w:pPr>
        <w:pStyle w:val="a0"/>
        <w:rPr>
          <w:rtl/>
        </w:rPr>
      </w:pPr>
    </w:p>
    <w:p w:rsidR="005F44B2" w:rsidRPr="00AC3F6C" w:rsidRDefault="005F44B2" w:rsidP="007B6769">
      <w:pPr>
        <w:pStyle w:val="a0"/>
        <w:rPr>
          <w:b/>
          <w:bCs/>
          <w:sz w:val="32"/>
          <w:szCs w:val="32"/>
          <w:rtl/>
        </w:rPr>
      </w:pPr>
      <w:r w:rsidRPr="00AC3F6C">
        <w:rPr>
          <w:rFonts w:hint="cs"/>
          <w:b/>
          <w:bCs/>
          <w:sz w:val="32"/>
          <w:szCs w:val="32"/>
          <w:rtl/>
        </w:rPr>
        <w:t>المبحث</w:t>
      </w:r>
      <w:r w:rsidRPr="00AC3F6C">
        <w:rPr>
          <w:b/>
          <w:bCs/>
          <w:sz w:val="32"/>
          <w:szCs w:val="32"/>
          <w:rtl/>
        </w:rPr>
        <w:t xml:space="preserve"> الثاني: قواعد التنظيمات ومدى تأثرها بآراء ابن عابدين</w:t>
      </w:r>
    </w:p>
    <w:p w:rsidR="005F44B2" w:rsidRPr="00DA75F8" w:rsidRDefault="005F44B2" w:rsidP="005E6A96">
      <w:pPr>
        <w:spacing w:line="360" w:lineRule="auto"/>
        <w:rPr>
          <w:b/>
          <w:bCs/>
          <w:color w:val="000000"/>
          <w:rtl/>
        </w:rPr>
      </w:pPr>
      <w:r w:rsidRPr="00DA75F8">
        <w:rPr>
          <w:rtl/>
        </w:rPr>
        <w:br w:type="page"/>
      </w:r>
    </w:p>
    <w:p w:rsidR="005F44B2" w:rsidRPr="00DA75F8" w:rsidRDefault="005F44B2" w:rsidP="00EF354B">
      <w:pPr>
        <w:pStyle w:val="a2"/>
        <w:rPr>
          <w:noProof/>
          <w:rtl/>
        </w:rPr>
      </w:pPr>
      <w:bookmarkStart w:id="20" w:name="_Toc447092562"/>
      <w:r w:rsidRPr="00DA75F8">
        <w:rPr>
          <w:rFonts w:hint="cs"/>
          <w:noProof/>
          <w:rtl/>
        </w:rPr>
        <w:t>المبحث</w:t>
      </w:r>
      <w:r w:rsidRPr="00DA75F8">
        <w:rPr>
          <w:noProof/>
          <w:rtl/>
        </w:rPr>
        <w:t xml:space="preserve"> الأول: أدلة السياسة الشرعية عند ابن عابدين</w:t>
      </w:r>
      <w:r>
        <w:rPr>
          <w:noProof/>
          <w:rtl/>
        </w:rPr>
        <w:t xml:space="preserve"> وطرقها</w:t>
      </w:r>
      <w:r w:rsidRPr="00DA75F8">
        <w:rPr>
          <w:noProof/>
          <w:rtl/>
        </w:rPr>
        <w:t xml:space="preserve"> وشروطها</w:t>
      </w:r>
      <w:bookmarkEnd w:id="20"/>
    </w:p>
    <w:p w:rsidR="005F44B2" w:rsidRPr="00DA75F8" w:rsidRDefault="005F44B2" w:rsidP="007B6769">
      <w:pPr>
        <w:pStyle w:val="a0"/>
        <w:rPr>
          <w:rtl/>
        </w:rPr>
      </w:pPr>
      <w:r w:rsidRPr="00DA75F8">
        <w:rPr>
          <w:rFonts w:hint="cs"/>
          <w:rtl/>
        </w:rPr>
        <w:t>يتكون</w:t>
      </w:r>
      <w:r w:rsidRPr="00DA75F8">
        <w:rPr>
          <w:rtl/>
        </w:rPr>
        <w:t xml:space="preserve"> هذا المبحث من ثلاثة م</w:t>
      </w:r>
      <w:r w:rsidRPr="00DA75F8">
        <w:rPr>
          <w:rFonts w:hint="cs"/>
          <w:rtl/>
        </w:rPr>
        <w:t>طالب،</w:t>
      </w:r>
      <w:r w:rsidRPr="00DA75F8">
        <w:rPr>
          <w:rtl/>
        </w:rPr>
        <w:t xml:space="preserve"> ذَكرَ الباحث فيها أ</w:t>
      </w:r>
      <w:r w:rsidRPr="00DA75F8">
        <w:rPr>
          <w:rFonts w:hint="cs"/>
          <w:rtl/>
        </w:rPr>
        <w:t>دلة</w:t>
      </w:r>
      <w:r w:rsidRPr="00DA75F8">
        <w:rPr>
          <w:rtl/>
        </w:rPr>
        <w:t xml:space="preserve"> السياسة الشرعية، وطرقها ومناهجها، وأتم الباحث هذا المبحث بذكر شروط العمل بالسياسة الشرعية.</w:t>
      </w:r>
    </w:p>
    <w:p w:rsidR="005F44B2" w:rsidRPr="00DA75F8" w:rsidRDefault="005F44B2" w:rsidP="005E6A96">
      <w:pPr>
        <w:pStyle w:val="a3"/>
        <w:rPr>
          <w:rtl/>
        </w:rPr>
      </w:pPr>
      <w:bookmarkStart w:id="21" w:name="_Toc447092563"/>
      <w:r w:rsidRPr="00DA75F8">
        <w:rPr>
          <w:rFonts w:hint="cs"/>
          <w:rtl/>
        </w:rPr>
        <w:t>المطلب</w:t>
      </w:r>
      <w:r w:rsidRPr="00DA75F8">
        <w:rPr>
          <w:rtl/>
        </w:rPr>
        <w:t xml:space="preserve"> الأول: أدلة السياسة </w:t>
      </w:r>
      <w:r w:rsidRPr="00DA75F8">
        <w:rPr>
          <w:rFonts w:hint="cs"/>
          <w:rtl/>
        </w:rPr>
        <w:t>الشرعية</w:t>
      </w:r>
      <w:bookmarkEnd w:id="21"/>
    </w:p>
    <w:p w:rsidR="005F44B2" w:rsidRPr="00DA75F8" w:rsidRDefault="005F44B2" w:rsidP="007B6769">
      <w:pPr>
        <w:pStyle w:val="a0"/>
        <w:rPr>
          <w:rtl/>
        </w:rPr>
      </w:pPr>
      <w:r w:rsidRPr="00DA75F8">
        <w:rPr>
          <w:rFonts w:hint="cs"/>
          <w:rtl/>
        </w:rPr>
        <w:t>مصادر</w:t>
      </w:r>
      <w:r w:rsidRPr="00DA75F8">
        <w:rPr>
          <w:rtl/>
        </w:rPr>
        <w:t xml:space="preserve"> السياسة الشرعية هي ذاتها مصادر التشريع أو الفقه الإسلامي، ومن هنا فإن ما دار حول هذه المصادر أو الأصول اتفاقًا أو اختلافًا يسري أيضًا على الكلام عن مصادر ال</w:t>
      </w:r>
      <w:r w:rsidRPr="00DA75F8">
        <w:rPr>
          <w:rFonts w:hint="cs"/>
          <w:rtl/>
        </w:rPr>
        <w:t>سياسة</w:t>
      </w:r>
      <w:r w:rsidRPr="00DA75F8">
        <w:rPr>
          <w:rtl/>
        </w:rPr>
        <w:t xml:space="preserve"> الشرعية</w:t>
      </w:r>
      <w:r w:rsidRPr="00DA75F8">
        <w:rPr>
          <w:vertAlign w:val="superscript"/>
          <w:rtl/>
        </w:rPr>
        <w:t>(</w:t>
      </w:r>
      <w:r w:rsidRPr="00DA75F8">
        <w:rPr>
          <w:rStyle w:val="FootnoteReference"/>
          <w:rFonts w:cs="Arabic Transparent"/>
          <w:rtl/>
        </w:rPr>
        <w:footnoteReference w:id="15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فأدلة</w:t>
      </w:r>
      <w:r w:rsidRPr="00DA75F8">
        <w:rPr>
          <w:rtl/>
        </w:rPr>
        <w:t xml:space="preserve"> السياسة الشرعية هي الأدلة المأخوذة من القرآن والسنة وأقوال الصحابة وأفعالهم ، التي تدل على حجية السياسة الشرعية، ويجب الأخذ بعين الاعتبار أنّ مصطلح السياسة الشرعية لم يكن موجودًا في زمن الرسول – صلى الله عليه وسلم – وهذا لا يهمّ إنما المعتبر المسمّى، فا</w:t>
      </w:r>
      <w:r w:rsidRPr="00DA75F8">
        <w:rPr>
          <w:rFonts w:hint="cs"/>
          <w:rtl/>
        </w:rPr>
        <w:t>لسياسة</w:t>
      </w:r>
      <w:r w:rsidRPr="00DA75F8">
        <w:rPr>
          <w:rtl/>
        </w:rPr>
        <w:t xml:space="preserve"> الشرعية – والتي يتمّ بها تدبير الأمور بما يصلحها –</w:t>
      </w:r>
      <w:r w:rsidRPr="00DA75F8">
        <w:rPr>
          <w:rFonts w:hint="cs"/>
          <w:rtl/>
        </w:rPr>
        <w:t>مقصد</w:t>
      </w:r>
      <w:r w:rsidRPr="00DA75F8">
        <w:rPr>
          <w:rtl/>
        </w:rPr>
        <w:t xml:space="preserve"> القرآن الكريم والسنة النبوية، لأنه يتم بها تحقيق المصلحة</w:t>
      </w:r>
      <w:r w:rsidRPr="00DA75F8">
        <w:rPr>
          <w:vertAlign w:val="superscript"/>
          <w:rtl/>
        </w:rPr>
        <w:t>(</w:t>
      </w:r>
      <w:r w:rsidRPr="00DA75F8">
        <w:rPr>
          <w:rStyle w:val="FootnoteReference"/>
          <w:rFonts w:cs="Arabic Transparent"/>
          <w:rtl/>
        </w:rPr>
        <w:footnoteReference w:id="160"/>
      </w:r>
      <w:r w:rsidRPr="00DA75F8">
        <w:rPr>
          <w:vertAlign w:val="superscript"/>
          <w:rtl/>
        </w:rPr>
        <w:t>)</w:t>
      </w:r>
      <w:r w:rsidRPr="00DA75F8">
        <w:rPr>
          <w:rtl/>
        </w:rPr>
        <w:t>.</w:t>
      </w:r>
    </w:p>
    <w:p w:rsidR="005F44B2" w:rsidRPr="00DA75F8" w:rsidRDefault="005F44B2" w:rsidP="00CD5452">
      <w:pPr>
        <w:pStyle w:val="a0"/>
        <w:rPr>
          <w:rtl/>
        </w:rPr>
      </w:pPr>
      <w:r w:rsidRPr="00DA75F8">
        <w:rPr>
          <w:rFonts w:hint="cs"/>
          <w:rtl/>
        </w:rPr>
        <w:t>وقد</w:t>
      </w:r>
      <w:r w:rsidRPr="00DA75F8">
        <w:rPr>
          <w:rtl/>
        </w:rPr>
        <w:t xml:space="preserve"> أش</w:t>
      </w:r>
      <w:r>
        <w:rPr>
          <w:rFonts w:hint="cs"/>
          <w:rtl/>
        </w:rPr>
        <w:t>ا</w:t>
      </w:r>
      <w:r w:rsidRPr="00DA75F8">
        <w:rPr>
          <w:rFonts w:hint="cs"/>
          <w:rtl/>
        </w:rPr>
        <w:t>ر</w:t>
      </w:r>
      <w:r>
        <w:rPr>
          <w:rFonts w:hint="cs"/>
          <w:rtl/>
        </w:rPr>
        <w:t>الباحث</w:t>
      </w:r>
      <w:r w:rsidRPr="00DA75F8">
        <w:rPr>
          <w:rtl/>
        </w:rPr>
        <w:t xml:space="preserve"> من قبل إلى أن مقصد السياسة الشرعية هو م</w:t>
      </w:r>
      <w:r w:rsidRPr="00DA75F8">
        <w:rPr>
          <w:rFonts w:hint="cs"/>
          <w:rtl/>
        </w:rPr>
        <w:t>صالح</w:t>
      </w:r>
      <w:r w:rsidRPr="00DA75F8">
        <w:rPr>
          <w:rtl/>
        </w:rPr>
        <w:t xml:space="preserve"> الأمة وتدبير شؤونهم بما يتفق مع مقاصد أصول الشريعة وقواعدها ومبادئها، إذن فغاية الشرع والسياسة الشرعية واحدة وهي مصلحة الأمة، وانطلاقًا من هذا نصل إلى أن إنكار أحدهما يسبب إنكار الآخر، وقد أشار الطرابلسي إلى ذلك بقوله</w:t>
      </w:r>
      <w:r>
        <w:rPr>
          <w:rtl/>
        </w:rPr>
        <w:t>:</w:t>
      </w:r>
      <w:r w:rsidRPr="00DA75F8">
        <w:rPr>
          <w:rtl/>
        </w:rPr>
        <w:t xml:space="preserve"> " لأن في إنكار السياسة الشرعية ردّا للنصوص الشرعية وتغليطا للخلفاء الراشدين"</w:t>
      </w:r>
      <w:r w:rsidRPr="00DA75F8">
        <w:rPr>
          <w:vertAlign w:val="superscript"/>
          <w:rtl/>
        </w:rPr>
        <w:t>(</w:t>
      </w:r>
      <w:r w:rsidRPr="00DA75F8">
        <w:rPr>
          <w:rStyle w:val="FootnoteReference"/>
          <w:rFonts w:cs="Arabic Transparent"/>
          <w:rtl/>
        </w:rPr>
        <w:footnoteReference w:id="161"/>
      </w:r>
      <w:r w:rsidRPr="00DA75F8">
        <w:rPr>
          <w:vertAlign w:val="superscript"/>
          <w:rtl/>
        </w:rPr>
        <w:t>)</w:t>
      </w:r>
      <w:r w:rsidRPr="00DA75F8">
        <w:rPr>
          <w:rFonts w:hint="cs"/>
          <w:rtl/>
        </w:rPr>
        <w:t>،</w:t>
      </w:r>
      <w:r w:rsidRPr="00DA75F8">
        <w:rPr>
          <w:rtl/>
        </w:rPr>
        <w:t xml:space="preserve"> ومن هنا يُفهم أن السياسة الشرعية ونصوص الشريعة وما ورد عن الخلفاء الراشدين متفقون، فانكار أحدها يسبّب انكار الآخر.وقد أشرت إلى أنّ السياسة الشرعية مصطلح جديد رغم وجود مفهومه دون ذاتالمسمى عند الص</w:t>
      </w:r>
      <w:r w:rsidRPr="00DA75F8">
        <w:rPr>
          <w:rFonts w:hint="cs"/>
          <w:rtl/>
        </w:rPr>
        <w:t>حابة</w:t>
      </w:r>
      <w:r w:rsidRPr="00DA75F8">
        <w:rPr>
          <w:rtl/>
        </w:rPr>
        <w:t xml:space="preserve"> والفقهاء – رضوان الله عليهم - .</w:t>
      </w:r>
    </w:p>
    <w:p w:rsidR="005F44B2" w:rsidRPr="00DA75F8" w:rsidRDefault="005F44B2" w:rsidP="007B6769">
      <w:pPr>
        <w:pStyle w:val="a0"/>
        <w:rPr>
          <w:rtl/>
        </w:rPr>
      </w:pPr>
      <w:r w:rsidRPr="00DA75F8">
        <w:rPr>
          <w:rFonts w:hint="cs"/>
          <w:rtl/>
        </w:rPr>
        <w:t>وههنا</w:t>
      </w:r>
      <w:r w:rsidRPr="00DA75F8">
        <w:rPr>
          <w:rtl/>
        </w:rPr>
        <w:t xml:space="preserve"> يجب على الباحث أن يذكّر بنقطة حول هذا الموضوع: وذلك أنه مَن كتب كتابًا خاصا في السياسة الشرعية ذكر أدلتها، أما ابن عابدين فلايوجد عنده مؤلف خاص في السياسة الشرعية، لذا لم يُلاحظ عنده ذِكر</w:t>
      </w:r>
      <w:r>
        <w:rPr>
          <w:rFonts w:hint="cs"/>
          <w:rtl/>
        </w:rPr>
        <w:t>ه</w:t>
      </w:r>
      <w:r w:rsidRPr="00DA75F8">
        <w:rPr>
          <w:rtl/>
        </w:rPr>
        <w:t xml:space="preserve"> أدلتها بشكل مباشر،ولهذا سيحاول الباحث أن يستخرج أدلة السياسة الشرعية عند ابن عابدين في ضوء أدلة العلماء الذين ذكروا تلك الأدلةمستعينًا بهم،  ومع ذلك سيذكر الباحث مما سيستخرجمن نصوص ابن عابدين.</w:t>
      </w:r>
    </w:p>
    <w:p w:rsidR="005F44B2" w:rsidRPr="00DA75F8" w:rsidRDefault="005F44B2" w:rsidP="00691D1F">
      <w:pPr>
        <w:pStyle w:val="a0"/>
        <w:rPr>
          <w:rtl/>
        </w:rPr>
      </w:pPr>
      <w:r>
        <w:rPr>
          <w:rFonts w:hint="cs"/>
          <w:rtl/>
        </w:rPr>
        <w:t>وقبل</w:t>
      </w:r>
      <w:r>
        <w:rPr>
          <w:rtl/>
        </w:rPr>
        <w:t xml:space="preserve"> الحديث عن الأدلة لابد من توضيح أن</w:t>
      </w:r>
      <w:r w:rsidRPr="00DA75F8">
        <w:rPr>
          <w:rtl/>
        </w:rPr>
        <w:t xml:space="preserve"> اللهَ سبحانه - وتعالى - شرع الأحكام، فمنها ما أدركناه، ومنها ما خفي علينا رعيًا لمصالح العباد ودرءًا لمفاسدهم تفضلا لا وجوبا</w:t>
      </w:r>
      <w:r w:rsidRPr="00DA75F8">
        <w:rPr>
          <w:vertAlign w:val="superscript"/>
          <w:rtl/>
        </w:rPr>
        <w:t>(</w:t>
      </w:r>
      <w:r w:rsidRPr="00DA75F8">
        <w:rPr>
          <w:rStyle w:val="FootnoteReference"/>
          <w:rFonts w:cs="Arabic Transparent"/>
          <w:rtl/>
        </w:rPr>
        <w:footnoteReference w:id="162"/>
      </w:r>
      <w:r w:rsidRPr="00DA75F8">
        <w:rPr>
          <w:vertAlign w:val="superscript"/>
          <w:rtl/>
        </w:rPr>
        <w:t>)</w:t>
      </w:r>
      <w:r>
        <w:rPr>
          <w:rFonts w:hint="cs"/>
          <w:rtl/>
        </w:rPr>
        <w:t>،</w:t>
      </w:r>
      <w:r>
        <w:rPr>
          <w:rtl/>
        </w:rPr>
        <w:t xml:space="preserve"> وهذه الأحكام قُسِّمت كما ذكر ابن فرحون</w:t>
      </w:r>
      <w:r>
        <w:rPr>
          <w:vertAlign w:val="superscript"/>
          <w:rtl/>
        </w:rPr>
        <w:t>(</w:t>
      </w:r>
      <w:r>
        <w:rPr>
          <w:rStyle w:val="FootnoteReference"/>
          <w:rFonts w:cs="Arabic Transparent"/>
          <w:rtl/>
        </w:rPr>
        <w:footnoteReference w:id="163"/>
      </w:r>
      <w:r>
        <w:rPr>
          <w:vertAlign w:val="superscript"/>
          <w:rtl/>
        </w:rPr>
        <w:t>)</w:t>
      </w:r>
      <w:r>
        <w:rPr>
          <w:rtl/>
        </w:rPr>
        <w:t xml:space="preserve"> و</w:t>
      </w:r>
      <w:r w:rsidRPr="00691D1F">
        <w:rPr>
          <w:rtl/>
        </w:rPr>
        <w:t xml:space="preserve"> الطرابلسي</w:t>
      </w:r>
      <w:r w:rsidRPr="00DA75F8">
        <w:rPr>
          <w:vertAlign w:val="superscript"/>
          <w:rtl/>
        </w:rPr>
        <w:t>(</w:t>
      </w:r>
      <w:r w:rsidRPr="00DA75F8">
        <w:rPr>
          <w:rStyle w:val="FootnoteReference"/>
          <w:rFonts w:cs="Arabic Transparent"/>
          <w:rtl/>
        </w:rPr>
        <w:footnoteReference w:id="164"/>
      </w:r>
      <w:r w:rsidRPr="00DA75F8">
        <w:rPr>
          <w:vertAlign w:val="superscript"/>
          <w:rtl/>
        </w:rPr>
        <w:t>)</w:t>
      </w:r>
      <w:r>
        <w:rPr>
          <w:rtl/>
        </w:rPr>
        <w:t xml:space="preserve"> إلى خمس أقسام:</w:t>
      </w:r>
    </w:p>
    <w:p w:rsidR="005F44B2" w:rsidRPr="00DA75F8" w:rsidRDefault="005F44B2" w:rsidP="007B6769">
      <w:pPr>
        <w:pStyle w:val="a0"/>
        <w:numPr>
          <w:ilvl w:val="0"/>
          <w:numId w:val="12"/>
        </w:numPr>
      </w:pPr>
      <w:r w:rsidRPr="00DA75F8">
        <w:rPr>
          <w:rFonts w:hint="cs"/>
          <w:rtl/>
        </w:rPr>
        <w:t>القسم</w:t>
      </w:r>
      <w:r w:rsidRPr="00DA75F8">
        <w:rPr>
          <w:rtl/>
        </w:rPr>
        <w:t xml:space="preserve"> الأول : شرع لكسر النفس بالعبادات.</w:t>
      </w:r>
    </w:p>
    <w:p w:rsidR="005F44B2" w:rsidRPr="00DA75F8" w:rsidRDefault="005F44B2" w:rsidP="007B6769">
      <w:pPr>
        <w:pStyle w:val="a0"/>
        <w:numPr>
          <w:ilvl w:val="0"/>
          <w:numId w:val="12"/>
        </w:numPr>
      </w:pPr>
      <w:r w:rsidRPr="00DA75F8">
        <w:rPr>
          <w:rFonts w:hint="cs"/>
          <w:rtl/>
        </w:rPr>
        <w:t>القسم</w:t>
      </w:r>
      <w:r w:rsidRPr="00DA75F8">
        <w:rPr>
          <w:rtl/>
        </w:rPr>
        <w:t xml:space="preserve"> الثاني: شرع لبقاء جبلة الإنسان كالإذ</w:t>
      </w:r>
      <w:r w:rsidRPr="00DA75F8">
        <w:rPr>
          <w:rFonts w:hint="cs"/>
          <w:rtl/>
        </w:rPr>
        <w:t>ن</w:t>
      </w:r>
      <w:r w:rsidRPr="00DA75F8">
        <w:rPr>
          <w:rtl/>
        </w:rPr>
        <w:t xml:space="preserve"> في المباحات المحصلة للراحة من الطعام واللباس والمسكن والوطء وشبه ذلك.</w:t>
      </w:r>
    </w:p>
    <w:p w:rsidR="005F44B2" w:rsidRPr="00DA75F8" w:rsidRDefault="005F44B2" w:rsidP="007B6769">
      <w:pPr>
        <w:pStyle w:val="a0"/>
        <w:numPr>
          <w:ilvl w:val="0"/>
          <w:numId w:val="12"/>
        </w:numPr>
      </w:pPr>
      <w:r w:rsidRPr="00DA75F8">
        <w:rPr>
          <w:rFonts w:hint="cs"/>
          <w:rtl/>
        </w:rPr>
        <w:t>القسم</w:t>
      </w:r>
      <w:r w:rsidRPr="00DA75F8">
        <w:rPr>
          <w:rtl/>
        </w:rPr>
        <w:t xml:space="preserve"> الثالث : شرع لدفع الضرورات كالبياعات والإجارات والقراض والمساقاة، ولافتقار الإنسان إلى ما ليس عنده من الأعيان واحتياجه إلى استخدام غيره في تحصيل مصالحه.</w:t>
      </w:r>
    </w:p>
    <w:p w:rsidR="005F44B2" w:rsidRPr="00DA75F8" w:rsidRDefault="005F44B2" w:rsidP="007B6769">
      <w:pPr>
        <w:pStyle w:val="a0"/>
        <w:numPr>
          <w:ilvl w:val="0"/>
          <w:numId w:val="12"/>
        </w:numPr>
      </w:pPr>
      <w:r w:rsidRPr="00DA75F8">
        <w:rPr>
          <w:rFonts w:hint="cs"/>
          <w:rtl/>
        </w:rPr>
        <w:t>القسم</w:t>
      </w:r>
      <w:r w:rsidRPr="00DA75F8">
        <w:rPr>
          <w:rtl/>
        </w:rPr>
        <w:t xml:space="preserve"> الرابع: شرع تنبيها على مكارم الأخلاق كالحض على المواساة وعتق الرقاب والهبات والأحباس والصدقات ونحو ذلك من مكارم الأخلاق.</w:t>
      </w:r>
    </w:p>
    <w:p w:rsidR="005F44B2" w:rsidRPr="00DA75F8" w:rsidRDefault="005F44B2" w:rsidP="007B6769">
      <w:pPr>
        <w:pStyle w:val="a0"/>
        <w:numPr>
          <w:ilvl w:val="0"/>
          <w:numId w:val="12"/>
        </w:numPr>
      </w:pPr>
      <w:r w:rsidRPr="00DA75F8">
        <w:rPr>
          <w:rFonts w:hint="cs"/>
          <w:rtl/>
        </w:rPr>
        <w:t>القسم</w:t>
      </w:r>
      <w:r w:rsidRPr="00DA75F8">
        <w:rPr>
          <w:rtl/>
        </w:rPr>
        <w:t xml:space="preserve"> الخامس: وهو المقصود شرع للسياسة والزجر، وهو ستة أصناف.</w:t>
      </w:r>
    </w:p>
    <w:p w:rsidR="005F44B2" w:rsidRPr="00DA75F8" w:rsidRDefault="005F44B2" w:rsidP="007B6769">
      <w:pPr>
        <w:pStyle w:val="a0"/>
        <w:numPr>
          <w:ilvl w:val="0"/>
          <w:numId w:val="16"/>
        </w:numPr>
      </w:pPr>
      <w:r w:rsidRPr="00DA75F8">
        <w:rPr>
          <w:rFonts w:hint="cs"/>
          <w:rtl/>
        </w:rPr>
        <w:t>الصنف</w:t>
      </w:r>
      <w:r w:rsidRPr="00DA75F8">
        <w:rPr>
          <w:rtl/>
        </w:rPr>
        <w:t xml:space="preserve"> الأول: شرع لصيانة الوجود كالقصاص في النفوس والأطراف،فمن ذلك قوله تعالى :" وَلَكُمْ فِي الْقِصَاصِ حَيَاةٌ يَا أُولِي الْأَلْبَابِ لَعَلَّكُمْ تَتَّقُونَ "</w:t>
      </w:r>
      <w:r w:rsidRPr="00DA75F8">
        <w:rPr>
          <w:vertAlign w:val="superscript"/>
          <w:rtl/>
        </w:rPr>
        <w:t>(</w:t>
      </w:r>
      <w:r w:rsidRPr="00DA75F8">
        <w:rPr>
          <w:rStyle w:val="FootnoteReference"/>
          <w:rFonts w:cs="Arabic Transparent"/>
          <w:rtl/>
        </w:rPr>
        <w:footnoteReference w:id="165"/>
      </w:r>
      <w:r w:rsidRPr="00DA75F8">
        <w:rPr>
          <w:vertAlign w:val="superscript"/>
          <w:rtl/>
        </w:rPr>
        <w:t>)</w:t>
      </w:r>
      <w:r w:rsidRPr="00DA75F8">
        <w:rPr>
          <w:rtl/>
        </w:rPr>
        <w:t>.</w:t>
      </w:r>
    </w:p>
    <w:p w:rsidR="005F44B2" w:rsidRPr="00DA75F8" w:rsidRDefault="005F44B2" w:rsidP="007B6769">
      <w:pPr>
        <w:pStyle w:val="a0"/>
        <w:numPr>
          <w:ilvl w:val="0"/>
          <w:numId w:val="16"/>
        </w:numPr>
      </w:pPr>
      <w:r w:rsidRPr="00DA75F8">
        <w:rPr>
          <w:rFonts w:hint="cs"/>
          <w:rtl/>
        </w:rPr>
        <w:t>الصنف</w:t>
      </w:r>
      <w:r w:rsidRPr="00DA75F8">
        <w:rPr>
          <w:rtl/>
        </w:rPr>
        <w:t xml:space="preserve"> الثاني: شرع لحفظ الأنساب كحد الزنا، قال الله تعالى :" الزَّانِيَةُ وَالزَّانِي فَاجْلِدُوا كُلَّ وَاحِدٍ مِّنْهُمَا مِائَةَ جَلْدَةٍ "</w:t>
      </w:r>
      <w:r w:rsidRPr="00DA75F8">
        <w:rPr>
          <w:vertAlign w:val="superscript"/>
          <w:rtl/>
        </w:rPr>
        <w:t>(</w:t>
      </w:r>
      <w:r w:rsidRPr="00DA75F8">
        <w:rPr>
          <w:rStyle w:val="FootnoteReference"/>
          <w:rFonts w:cs="Arabic Transparent"/>
          <w:rtl/>
        </w:rPr>
        <w:footnoteReference w:id="166"/>
      </w:r>
      <w:r w:rsidRPr="00DA75F8">
        <w:rPr>
          <w:vertAlign w:val="superscript"/>
          <w:rtl/>
        </w:rPr>
        <w:t>)</w:t>
      </w:r>
      <w:r w:rsidRPr="00DA75F8">
        <w:rPr>
          <w:rtl/>
        </w:rPr>
        <w:t>.  وانظر هنا كلام صاحب الوقاية حيث قال: ولا يجمع جلد مع رجم، لأن الجلد للبكر والرجم للمحصن، وأيضًا لايجمع نفي مع جلد إلا إذا رأى الإمام ذلك فيكون فعله سياسة</w:t>
      </w:r>
      <w:r w:rsidRPr="00DA75F8">
        <w:rPr>
          <w:vertAlign w:val="superscript"/>
          <w:rtl/>
        </w:rPr>
        <w:t>(</w:t>
      </w:r>
      <w:r w:rsidRPr="00DA75F8">
        <w:rPr>
          <w:rStyle w:val="FootnoteReference"/>
          <w:rFonts w:cs="Arabic Transparent"/>
          <w:rtl/>
        </w:rPr>
        <w:footnoteReference w:id="167"/>
      </w:r>
      <w:r w:rsidRPr="00DA75F8">
        <w:rPr>
          <w:vertAlign w:val="superscript"/>
          <w:rtl/>
        </w:rPr>
        <w:t>)</w:t>
      </w:r>
      <w:r w:rsidRPr="00DA75F8">
        <w:rPr>
          <w:rtl/>
        </w:rPr>
        <w:t>.</w:t>
      </w:r>
    </w:p>
    <w:p w:rsidR="005F44B2" w:rsidRPr="00DA75F8" w:rsidRDefault="005F44B2" w:rsidP="007B6769">
      <w:pPr>
        <w:pStyle w:val="a0"/>
        <w:numPr>
          <w:ilvl w:val="0"/>
          <w:numId w:val="16"/>
        </w:numPr>
      </w:pPr>
      <w:r w:rsidRPr="00DA75F8">
        <w:rPr>
          <w:rFonts w:hint="cs"/>
          <w:rtl/>
        </w:rPr>
        <w:t>الصنف</w:t>
      </w:r>
      <w:r w:rsidRPr="00DA75F8">
        <w:rPr>
          <w:rtl/>
        </w:rPr>
        <w:t xml:space="preserve"> الثالث: شرع لصيانة الأعراض؛ لأن صيانتها من أكبر الأغراض، قال الله تعالى : "وَالَّذِينَ يَرْمُونَ الْمُحْصَنَاتِ ثُمَّ لَمْ يَأْتُوا بِأَرْبَعَةِ شُهَدَاءَ فَاجْلِدُوهُمْ ثَمَانِينَ جَلْدَةً "</w:t>
      </w:r>
      <w:r w:rsidRPr="00DA75F8">
        <w:rPr>
          <w:vertAlign w:val="superscript"/>
          <w:rtl/>
        </w:rPr>
        <w:t>(</w:t>
      </w:r>
      <w:r w:rsidRPr="00DA75F8">
        <w:rPr>
          <w:rStyle w:val="FootnoteReference"/>
          <w:rFonts w:cs="Arabic Transparent"/>
          <w:rtl/>
        </w:rPr>
        <w:footnoteReference w:id="168"/>
      </w:r>
      <w:r w:rsidRPr="00DA75F8">
        <w:rPr>
          <w:vertAlign w:val="superscript"/>
          <w:rtl/>
        </w:rPr>
        <w:t>)</w:t>
      </w:r>
      <w:r w:rsidRPr="00DA75F8">
        <w:rPr>
          <w:rFonts w:hint="cs"/>
          <w:rtl/>
        </w:rPr>
        <w:t>وألحق</w:t>
      </w:r>
      <w:r w:rsidRPr="00DA75F8">
        <w:rPr>
          <w:rtl/>
        </w:rPr>
        <w:t xml:space="preserve"> الشرع بذلك التعزير على السب والأذى بالقول على حسب اجتهاد الإمام في ذلك.</w:t>
      </w:r>
    </w:p>
    <w:p w:rsidR="005F44B2" w:rsidRPr="00DA75F8" w:rsidRDefault="005F44B2" w:rsidP="007B6769">
      <w:pPr>
        <w:pStyle w:val="a0"/>
        <w:numPr>
          <w:ilvl w:val="0"/>
          <w:numId w:val="16"/>
        </w:numPr>
      </w:pPr>
      <w:r w:rsidRPr="00DA75F8">
        <w:rPr>
          <w:rFonts w:hint="cs"/>
          <w:rtl/>
        </w:rPr>
        <w:t>الصنف</w:t>
      </w:r>
      <w:r w:rsidRPr="00DA75F8">
        <w:rPr>
          <w:rtl/>
        </w:rPr>
        <w:t xml:space="preserve"> الرابع: شرع ل</w:t>
      </w:r>
      <w:r w:rsidRPr="00DA75F8">
        <w:rPr>
          <w:rFonts w:hint="cs"/>
          <w:rtl/>
        </w:rPr>
        <w:t>صيانة</w:t>
      </w:r>
      <w:r w:rsidRPr="00DA75F8">
        <w:rPr>
          <w:rtl/>
        </w:rPr>
        <w:t xml:space="preserve"> الأموال كحد السرقة وحد الجناية، قال الله تعالى : " وَالسَّارِقُ وَالسَّارِقَةُ فَاقْطَعُوا أَيْدِيَهُمَا جَزَاءً بِمَا كَسَبَا نَكَالًا مِّنَ اللَّهِ وَاللَّهُ عَزِيزٌ حَكِيمٌ "</w:t>
      </w:r>
      <w:r w:rsidRPr="00DA75F8">
        <w:rPr>
          <w:vertAlign w:val="superscript"/>
          <w:rtl/>
        </w:rPr>
        <w:t>(</w:t>
      </w:r>
      <w:r w:rsidRPr="00DA75F8">
        <w:rPr>
          <w:rStyle w:val="FootnoteReference"/>
          <w:rFonts w:cs="Arabic Transparent"/>
          <w:rtl/>
        </w:rPr>
        <w:footnoteReference w:id="169"/>
      </w:r>
      <w:r w:rsidRPr="00DA75F8">
        <w:rPr>
          <w:vertAlign w:val="superscript"/>
          <w:rtl/>
        </w:rPr>
        <w:t>)</w:t>
      </w:r>
      <w:r w:rsidRPr="00DA75F8">
        <w:rPr>
          <w:rtl/>
        </w:rPr>
        <w:t>.</w:t>
      </w:r>
    </w:p>
    <w:p w:rsidR="005F44B2" w:rsidRPr="00DA75F8" w:rsidRDefault="005F44B2" w:rsidP="007B6769">
      <w:pPr>
        <w:pStyle w:val="a0"/>
        <w:numPr>
          <w:ilvl w:val="0"/>
          <w:numId w:val="16"/>
        </w:numPr>
      </w:pPr>
      <w:r w:rsidRPr="00DA75F8">
        <w:rPr>
          <w:rFonts w:hint="cs"/>
          <w:rtl/>
        </w:rPr>
        <w:t>الصنف</w:t>
      </w:r>
      <w:r w:rsidRPr="00DA75F8">
        <w:rPr>
          <w:rtl/>
        </w:rPr>
        <w:t xml:space="preserve"> الخامس: شرع لحفظ العقل كحد الخمر، وقد نهى الله - تعالى - عنه في قوله تعالى : " يَا أَيُّهَا الَّذِينَ آمَنُوا إِنَّمَا الْخَمْرُ وَالْمَيْسِرُ وَالْأَنصَابُ وَالْأَزْلَامُ رِجْسٌ مِّنْ عَمَلِ الشَّيْطَانِ فَاجْتَنِبُوهُ لَعَ</w:t>
      </w:r>
      <w:r w:rsidRPr="00DA75F8">
        <w:rPr>
          <w:rFonts w:hint="cs"/>
          <w:rtl/>
        </w:rPr>
        <w:t>لَّكُمْ</w:t>
      </w:r>
      <w:r w:rsidRPr="00DA75F8">
        <w:rPr>
          <w:rtl/>
        </w:rPr>
        <w:t xml:space="preserve"> تُفْلِحُونَ "</w:t>
      </w:r>
      <w:r w:rsidRPr="00DA75F8">
        <w:rPr>
          <w:vertAlign w:val="superscript"/>
          <w:rtl/>
        </w:rPr>
        <w:t>(</w:t>
      </w:r>
      <w:r w:rsidRPr="00DA75F8">
        <w:rPr>
          <w:rStyle w:val="FootnoteReference"/>
          <w:rFonts w:cs="Arabic Transparent"/>
          <w:rtl/>
        </w:rPr>
        <w:footnoteReference w:id="170"/>
      </w:r>
      <w:r w:rsidRPr="00DA75F8">
        <w:rPr>
          <w:vertAlign w:val="superscript"/>
          <w:rtl/>
        </w:rPr>
        <w:t>)</w:t>
      </w:r>
      <w:r w:rsidRPr="00DA75F8">
        <w:rPr>
          <w:rtl/>
        </w:rPr>
        <w:t xml:space="preserve"> ثم قال: " فَهَلْ أَنتُم مُّنتَهُونَ "</w:t>
      </w:r>
      <w:r w:rsidRPr="00DA75F8">
        <w:rPr>
          <w:vertAlign w:val="superscript"/>
          <w:rtl/>
        </w:rPr>
        <w:t>(</w:t>
      </w:r>
      <w:r w:rsidRPr="00DA75F8">
        <w:rPr>
          <w:rStyle w:val="FootnoteReference"/>
          <w:rFonts w:cs="Arabic Transparent"/>
          <w:rtl/>
        </w:rPr>
        <w:footnoteReference w:id="171"/>
      </w:r>
      <w:r w:rsidRPr="00DA75F8">
        <w:rPr>
          <w:vertAlign w:val="superscript"/>
          <w:rtl/>
        </w:rPr>
        <w:t>)</w:t>
      </w:r>
      <w:r w:rsidRPr="00DA75F8">
        <w:rPr>
          <w:rFonts w:hint="cs"/>
          <w:rtl/>
        </w:rPr>
        <w:t>،</w:t>
      </w:r>
      <w:r w:rsidRPr="00DA75F8">
        <w:rPr>
          <w:rtl/>
        </w:rPr>
        <w:t xml:space="preserve"> ووردت السنة بحد الشارب.</w:t>
      </w:r>
    </w:p>
    <w:p w:rsidR="005F44B2" w:rsidRPr="00DA75F8" w:rsidRDefault="005F44B2" w:rsidP="007B6769">
      <w:pPr>
        <w:pStyle w:val="a0"/>
        <w:numPr>
          <w:ilvl w:val="0"/>
          <w:numId w:val="16"/>
        </w:numPr>
      </w:pPr>
      <w:r w:rsidRPr="00DA75F8">
        <w:rPr>
          <w:rFonts w:hint="cs"/>
          <w:rtl/>
        </w:rPr>
        <w:t>الصنف</w:t>
      </w:r>
      <w:r w:rsidRPr="00DA75F8">
        <w:rPr>
          <w:rtl/>
        </w:rPr>
        <w:t xml:space="preserve"> السادس: شرع للردع والتعزير نحو قوله تعالى : " يَا أَيُّهَا الَّذِينَ آمَنُوا لَا تَقْتُلُوا الصَّيْدَ وَأَنتُمْ حُرُمٌ "</w:t>
      </w:r>
      <w:r w:rsidRPr="00DA75F8">
        <w:rPr>
          <w:vertAlign w:val="superscript"/>
          <w:rtl/>
        </w:rPr>
        <w:t>(</w:t>
      </w:r>
      <w:r w:rsidRPr="00DA75F8">
        <w:rPr>
          <w:rStyle w:val="FootnoteReference"/>
          <w:rFonts w:cs="Arabic Transparent"/>
          <w:rtl/>
        </w:rPr>
        <w:footnoteReference w:id="172"/>
      </w:r>
      <w:r w:rsidRPr="00DA75F8">
        <w:rPr>
          <w:vertAlign w:val="superscript"/>
          <w:rtl/>
        </w:rPr>
        <w:t>)</w:t>
      </w:r>
      <w:r w:rsidRPr="00DA75F8">
        <w:rPr>
          <w:rtl/>
        </w:rPr>
        <w:t xml:space="preserve"> إلى قو</w:t>
      </w:r>
      <w:r w:rsidRPr="00DA75F8">
        <w:rPr>
          <w:rFonts w:hint="cs"/>
          <w:rtl/>
        </w:rPr>
        <w:t>له</w:t>
      </w:r>
      <w:r w:rsidRPr="00DA75F8">
        <w:rPr>
          <w:rtl/>
        </w:rPr>
        <w:t xml:space="preserve"> تعالى : " لِّيَذُوقَ وَبَالَ أَمْرِهِ "</w:t>
      </w:r>
      <w:r w:rsidRPr="00DA75F8">
        <w:rPr>
          <w:vertAlign w:val="superscript"/>
          <w:rtl/>
        </w:rPr>
        <w:t>(</w:t>
      </w:r>
      <w:r w:rsidRPr="00DA75F8">
        <w:rPr>
          <w:rStyle w:val="FootnoteReference"/>
          <w:rFonts w:cs="Arabic Transparent"/>
          <w:rtl/>
        </w:rPr>
        <w:footnoteReference w:id="173"/>
      </w:r>
      <w:r w:rsidRPr="00DA75F8">
        <w:rPr>
          <w:vertAlign w:val="superscript"/>
          <w:rtl/>
        </w:rPr>
        <w:t>)</w:t>
      </w:r>
      <w:r w:rsidRPr="00DA75F8">
        <w:rPr>
          <w:rtl/>
        </w:rPr>
        <w:t xml:space="preserve"> أي: ليذوق جزاء فعله، وقوله تعالى : " الَّذِينَ يُظَاهِرُونَ مِنكُم مِّن نِّسَائِهِم مَّا هُنَّ أُمَّهَاتِهِمْ "</w:t>
      </w:r>
      <w:r w:rsidRPr="00DA75F8">
        <w:rPr>
          <w:vertAlign w:val="superscript"/>
          <w:rtl/>
        </w:rPr>
        <w:t>(</w:t>
      </w:r>
      <w:r w:rsidRPr="00DA75F8">
        <w:rPr>
          <w:rStyle w:val="FootnoteReference"/>
          <w:rFonts w:cs="Arabic Transparent"/>
          <w:rtl/>
        </w:rPr>
        <w:footnoteReference w:id="174"/>
      </w:r>
      <w:r w:rsidRPr="00DA75F8">
        <w:rPr>
          <w:vertAlign w:val="superscript"/>
          <w:rtl/>
        </w:rPr>
        <w:t>)</w:t>
      </w:r>
      <w:r w:rsidRPr="00DA75F8">
        <w:rPr>
          <w:rtl/>
        </w:rPr>
        <w:t xml:space="preserve">  إلى قوله : " وَإِنَّهُمْ لَيَقُولُونَ مُنكَرًا مِّنَ الْقَوْلِ وَزُورًا "</w:t>
      </w:r>
      <w:r w:rsidRPr="00DA75F8">
        <w:rPr>
          <w:vertAlign w:val="superscript"/>
          <w:rtl/>
        </w:rPr>
        <w:t>(</w:t>
      </w:r>
      <w:r w:rsidRPr="00DA75F8">
        <w:rPr>
          <w:rStyle w:val="FootnoteReference"/>
          <w:rFonts w:cs="Arabic Transparent"/>
          <w:rtl/>
        </w:rPr>
        <w:footnoteReference w:id="175"/>
      </w:r>
      <w:r w:rsidRPr="00DA75F8">
        <w:rPr>
          <w:vertAlign w:val="superscript"/>
          <w:rtl/>
        </w:rPr>
        <w:t>)</w:t>
      </w:r>
      <w:r w:rsidRPr="00DA75F8">
        <w:rPr>
          <w:rtl/>
        </w:rPr>
        <w:t>.</w:t>
      </w:r>
    </w:p>
    <w:p w:rsidR="005F44B2" w:rsidRDefault="005F44B2" w:rsidP="007B6769">
      <w:pPr>
        <w:pStyle w:val="a0"/>
        <w:rPr>
          <w:rtl/>
        </w:rPr>
      </w:pPr>
      <w:r w:rsidRPr="00DA75F8">
        <w:rPr>
          <w:rFonts w:hint="cs"/>
          <w:rtl/>
        </w:rPr>
        <w:t>كما</w:t>
      </w:r>
      <w:r w:rsidRPr="00DA75F8">
        <w:rPr>
          <w:rtl/>
        </w:rPr>
        <w:t xml:space="preserve"> ذكرنا سابقًا أن ابن عابدين اعتدّ بالسياسة الشرعية، حيث جعلها تبنى على المصلحة التي لاتخالف الشرع، وقد أورد في كتبه ما يبيّن ذلك من خلال ما سأذكره</w:t>
      </w:r>
      <w:r>
        <w:rPr>
          <w:rFonts w:hint="cs"/>
          <w:rtl/>
        </w:rPr>
        <w:t>،</w:t>
      </w:r>
      <w:r>
        <w:rPr>
          <w:rtl/>
        </w:rPr>
        <w:t xml:space="preserve"> وعليه فإنه استدل بما يلي:</w:t>
      </w:r>
    </w:p>
    <w:p w:rsidR="005F44B2" w:rsidRPr="00DA75F8" w:rsidRDefault="005F44B2" w:rsidP="008171A1">
      <w:pPr>
        <w:pStyle w:val="NoSpacing"/>
        <w:ind w:left="990" w:hanging="284"/>
      </w:pPr>
      <w:r>
        <w:rPr>
          <w:rFonts w:hint="cs"/>
          <w:rtl/>
        </w:rPr>
        <w:t>ا</w:t>
      </w:r>
      <w:r>
        <w:rPr>
          <w:rtl/>
        </w:rPr>
        <w:t xml:space="preserve">  القرآن الكريم</w:t>
      </w:r>
    </w:p>
    <w:p w:rsidR="005F44B2" w:rsidRPr="00DA75F8" w:rsidRDefault="005F44B2" w:rsidP="007B6769">
      <w:pPr>
        <w:pStyle w:val="a0"/>
        <w:numPr>
          <w:ilvl w:val="0"/>
          <w:numId w:val="22"/>
        </w:numPr>
      </w:pPr>
      <w:r w:rsidRPr="00DA75F8">
        <w:rPr>
          <w:rFonts w:hint="cs"/>
          <w:b/>
          <w:bCs/>
          <w:rtl/>
        </w:rPr>
        <w:t>قال</w:t>
      </w:r>
      <w:r w:rsidRPr="00DA75F8">
        <w:rPr>
          <w:b/>
          <w:bCs/>
          <w:rtl/>
        </w:rPr>
        <w:t xml:space="preserve"> تعالى:</w:t>
      </w:r>
      <w:r w:rsidRPr="00DA75F8">
        <w:rPr>
          <w:rtl/>
        </w:rPr>
        <w:t xml:space="preserve">" فَانْكِحُوا مَا طَابَ لَكُمْ مِنَ النِّسَاءِ مَثْنَى وَثُلَاثَ وَرُبَاعَ " </w:t>
      </w:r>
      <w:r w:rsidRPr="00DA75F8">
        <w:rPr>
          <w:vertAlign w:val="superscript"/>
          <w:rtl/>
        </w:rPr>
        <w:t>(</w:t>
      </w:r>
      <w:r w:rsidRPr="00DA75F8">
        <w:rPr>
          <w:rStyle w:val="FootnoteReference"/>
          <w:rFonts w:cs="Arabic Transparent"/>
          <w:rtl/>
        </w:rPr>
        <w:footnoteReference w:id="176"/>
      </w:r>
      <w:r w:rsidRPr="00DA75F8">
        <w:rPr>
          <w:vertAlign w:val="superscript"/>
          <w:rtl/>
        </w:rPr>
        <w:t>)</w:t>
      </w:r>
      <w:r w:rsidRPr="00DA75F8">
        <w:rPr>
          <w:rFonts w:hint="cs"/>
          <w:rtl/>
        </w:rPr>
        <w:t>،</w:t>
      </w:r>
      <w:r w:rsidRPr="00DA75F8">
        <w:rPr>
          <w:rtl/>
        </w:rPr>
        <w:t xml:space="preserve"> وقد ذكر ابن عابدين عن الزواج بشكل عام فقال " لأن النكاح إنما شرع لمصلحة تحصين النفس، وتحصيل الثوابوبالجور يأثم ويرتكب المحرمات فتنعدم المصالح " </w:t>
      </w:r>
      <w:r w:rsidRPr="00DA75F8">
        <w:rPr>
          <w:vertAlign w:val="superscript"/>
          <w:rtl/>
        </w:rPr>
        <w:t>(</w:t>
      </w:r>
      <w:r w:rsidRPr="00DA75F8">
        <w:rPr>
          <w:rStyle w:val="FootnoteReference"/>
          <w:rFonts w:cs="Arabic Transparent"/>
          <w:rtl/>
        </w:rPr>
        <w:footnoteReference w:id="177"/>
      </w:r>
      <w:r w:rsidRPr="00DA75F8">
        <w:rPr>
          <w:vertAlign w:val="superscript"/>
          <w:rtl/>
        </w:rPr>
        <w:t>)</w:t>
      </w:r>
      <w:r w:rsidRPr="00DA75F8">
        <w:rPr>
          <w:rFonts w:hint="cs"/>
          <w:rtl/>
        </w:rPr>
        <w:t>،</w:t>
      </w:r>
      <w:r w:rsidRPr="00DA75F8">
        <w:rPr>
          <w:rtl/>
        </w:rPr>
        <w:t xml:space="preserve"> وفي القرآن الكريم 19 آية يتناول النكاح بشكل عام، منها ما يتحدّث عن محارم الزواج وعن حلاله، ومنها مايتحدث عن الحد الأقصى في العدد، أو عن الطلاق ومتطلّباته وعدد طلقاته، أو عن العدة، أو الزواج مرة ثانية بنفس الزوجة أو الزوج، وما إلى ذلك، ومن المعلوم أن الزواج في الشريعة شرع لمصلحة الأمة، وبناء على هذا - حسب كلام ابن عابدين - فالسياسة لها دورفي الناحية النفسية وفي تحقيق مصلحة الأمة.</w:t>
      </w:r>
    </w:p>
    <w:p w:rsidR="005F44B2" w:rsidRPr="00DA75F8" w:rsidRDefault="005F44B2" w:rsidP="007B6769">
      <w:pPr>
        <w:pStyle w:val="a0"/>
        <w:numPr>
          <w:ilvl w:val="0"/>
          <w:numId w:val="22"/>
        </w:numPr>
      </w:pPr>
      <w:r w:rsidRPr="00DA75F8">
        <w:rPr>
          <w:rFonts w:hint="cs"/>
          <w:rtl/>
        </w:rPr>
        <w:t>آيات</w:t>
      </w:r>
      <w:r w:rsidRPr="00DA75F8">
        <w:rPr>
          <w:rtl/>
        </w:rPr>
        <w:t xml:space="preserve"> الحدود، حيث شرع الله – عز وجل – ستة حدود في القرآن الكريم:</w:t>
      </w:r>
    </w:p>
    <w:p w:rsidR="005F44B2" w:rsidRPr="00DA75F8" w:rsidRDefault="005F44B2" w:rsidP="007B6769">
      <w:pPr>
        <w:pStyle w:val="a0"/>
        <w:numPr>
          <w:ilvl w:val="0"/>
          <w:numId w:val="18"/>
        </w:numPr>
      </w:pPr>
      <w:r w:rsidRPr="00DA75F8">
        <w:rPr>
          <w:rFonts w:hint="cs"/>
          <w:rtl/>
        </w:rPr>
        <w:t>حدّ</w:t>
      </w:r>
      <w:r w:rsidRPr="00DA75F8">
        <w:rPr>
          <w:rtl/>
        </w:rPr>
        <w:t xml:space="preserve"> القصاص: " يَاأَيُّهَا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w:t>
      </w:r>
      <w:r w:rsidRPr="00DA75F8">
        <w:rPr>
          <w:rFonts w:hint="cs"/>
          <w:rtl/>
        </w:rPr>
        <w:t>ِّكُمْ</w:t>
      </w:r>
      <w:r w:rsidRPr="00DA75F8">
        <w:rPr>
          <w:rtl/>
        </w:rPr>
        <w:t xml:space="preserve"> وَرَحْمَةٌ فَمَنِ اعْتَدَى بَعْدَ ذَلِكَ فَلَهُ عَذَابٌ أَلِيمٌ () وَلَكُمْ فِي الْقِصَاصِ حَيَاةٌ يَاأُولِي الْأَلْبَابِ لَعَلَّكُمْ تَتَّقُونَ"</w:t>
      </w:r>
      <w:r w:rsidRPr="00DA75F8">
        <w:rPr>
          <w:vertAlign w:val="superscript"/>
          <w:rtl/>
        </w:rPr>
        <w:t>(</w:t>
      </w:r>
      <w:r w:rsidRPr="00DA75F8">
        <w:rPr>
          <w:rStyle w:val="FootnoteReference"/>
          <w:rFonts w:cs="Arabic Transparent"/>
          <w:rtl/>
        </w:rPr>
        <w:footnoteReference w:id="178"/>
      </w:r>
      <w:r w:rsidRPr="00DA75F8">
        <w:rPr>
          <w:vertAlign w:val="superscript"/>
          <w:rtl/>
        </w:rPr>
        <w:t>)</w:t>
      </w:r>
      <w:r w:rsidRPr="00DA75F8">
        <w:rPr>
          <w:rtl/>
        </w:rPr>
        <w:t xml:space="preserve">. </w:t>
      </w:r>
    </w:p>
    <w:p w:rsidR="005F44B2" w:rsidRPr="00DA75F8" w:rsidRDefault="005F44B2" w:rsidP="007D3110">
      <w:pPr>
        <w:pStyle w:val="a0"/>
        <w:ind w:left="1776" w:firstLine="0"/>
      </w:pPr>
      <w:r w:rsidRPr="00DA75F8">
        <w:rPr>
          <w:rFonts w:hint="cs"/>
          <w:rtl/>
        </w:rPr>
        <w:t>والآية</w:t>
      </w:r>
      <w:r>
        <w:rPr>
          <w:rtl/>
        </w:rPr>
        <w:t>:</w:t>
      </w:r>
      <w:r w:rsidRPr="00DA75F8">
        <w:rPr>
          <w:rtl/>
        </w:rPr>
        <w:t xml:space="preserve"> " وَمَنْ يَقْتُلْ مُؤْمِنًا مُتَعَمِّدًا فَجَزَاؤُهُ جَهَنَّمُ خَالِدًا فِيهَا وَغَضِبَ اللَّهُ عَلَيْهِ وَلَعَنَهُ وَأَعَدَّ لَهُ عَذَابًا عَظِ</w:t>
      </w:r>
      <w:r w:rsidRPr="00DA75F8">
        <w:rPr>
          <w:rFonts w:hint="cs"/>
          <w:rtl/>
        </w:rPr>
        <w:t>يمًا</w:t>
      </w:r>
      <w:r w:rsidRPr="00DA75F8">
        <w:rPr>
          <w:rtl/>
        </w:rPr>
        <w:t>"</w:t>
      </w:r>
      <w:r w:rsidRPr="00DA75F8">
        <w:rPr>
          <w:vertAlign w:val="superscript"/>
          <w:rtl/>
        </w:rPr>
        <w:t>(</w:t>
      </w:r>
      <w:r w:rsidRPr="00DA75F8">
        <w:rPr>
          <w:rStyle w:val="FootnoteReference"/>
          <w:rFonts w:cs="Arabic Transparent"/>
          <w:rtl/>
        </w:rPr>
        <w:footnoteReference w:id="179"/>
      </w:r>
      <w:r w:rsidRPr="00DA75F8">
        <w:rPr>
          <w:vertAlign w:val="superscript"/>
          <w:rtl/>
        </w:rPr>
        <w:t>)</w:t>
      </w:r>
      <w:r w:rsidRPr="00DA75F8">
        <w:rPr>
          <w:rtl/>
        </w:rPr>
        <w:t>.</w:t>
      </w:r>
    </w:p>
    <w:p w:rsidR="005F44B2" w:rsidRPr="00DA75F8" w:rsidRDefault="005F44B2" w:rsidP="007B6769">
      <w:pPr>
        <w:pStyle w:val="a0"/>
        <w:numPr>
          <w:ilvl w:val="0"/>
          <w:numId w:val="18"/>
        </w:numPr>
      </w:pPr>
      <w:r w:rsidRPr="00DA75F8">
        <w:rPr>
          <w:rFonts w:hint="cs"/>
          <w:rtl/>
        </w:rPr>
        <w:t>حدّ</w:t>
      </w:r>
      <w:r w:rsidRPr="00DA75F8">
        <w:rPr>
          <w:rtl/>
        </w:rPr>
        <w:t xml:space="preserve"> الحرابة: " إِنَّمَا جَزَاءُ الَّذِينَ يُحَارِبُونَ اللَّهَ وَرَسُولَهُ وَيَسْعَوْنَ فِي الْأَرْضِ فَسَادًا أَنْ يُقَتَّلُوا أَوْ يُصَلَّبُوا أَوْ تُقَطَّعَ أَيْدِيهِمْ وَأَرْجُلُهُمْ مِنْ خِلَافٍ أَوْ يُنْف</w:t>
      </w:r>
      <w:r w:rsidRPr="00DA75F8">
        <w:rPr>
          <w:rFonts w:hint="cs"/>
          <w:rtl/>
        </w:rPr>
        <w:t>َوْا</w:t>
      </w:r>
      <w:r w:rsidRPr="00DA75F8">
        <w:rPr>
          <w:rtl/>
        </w:rPr>
        <w:t xml:space="preserve"> مِنَ الْأَرْضِ ذَلِكَ لَهُمْ خِزْيٌ فِي الدُّنْيَا وَلَهُمْ فِي الْآخِرَةِ عَذَابٌ عَظِيمٌ () إِلَّا الَّذِينَ تَابُوا مِنْ قَبْلِ أَنْ تَقْدِرُوا عَلَيْهِمْ فَاعْلَمُوا أَنَّ اللَّهَ غَفُورٌ رَحِيمٌ "</w:t>
      </w:r>
      <w:r w:rsidRPr="00DA75F8">
        <w:rPr>
          <w:vertAlign w:val="superscript"/>
          <w:rtl/>
        </w:rPr>
        <w:t>(</w:t>
      </w:r>
      <w:r w:rsidRPr="00DA75F8">
        <w:rPr>
          <w:rStyle w:val="FootnoteReference"/>
          <w:rFonts w:cs="Arabic Transparent"/>
          <w:rtl/>
        </w:rPr>
        <w:footnoteReference w:id="180"/>
      </w:r>
      <w:r w:rsidRPr="00DA75F8">
        <w:rPr>
          <w:vertAlign w:val="superscript"/>
          <w:rtl/>
        </w:rPr>
        <w:t>)</w:t>
      </w:r>
      <w:r w:rsidRPr="00DA75F8">
        <w:rPr>
          <w:rtl/>
        </w:rPr>
        <w:t>.</w:t>
      </w:r>
    </w:p>
    <w:p w:rsidR="005F44B2" w:rsidRPr="00DA75F8" w:rsidRDefault="005F44B2" w:rsidP="007B6769">
      <w:pPr>
        <w:pStyle w:val="a0"/>
        <w:numPr>
          <w:ilvl w:val="0"/>
          <w:numId w:val="18"/>
        </w:numPr>
      </w:pPr>
      <w:r w:rsidRPr="00DA75F8">
        <w:rPr>
          <w:rFonts w:hint="cs"/>
          <w:rtl/>
        </w:rPr>
        <w:t>حدّ</w:t>
      </w:r>
      <w:r w:rsidRPr="00DA75F8">
        <w:rPr>
          <w:rtl/>
        </w:rPr>
        <w:t xml:space="preserve"> السرقة: "وَالسَّارِقُ وَالسَّارِقَةُ فَاقْطَعُوا أَيْدِيَهُمَا جَزَاءً بِمَا كَسَبَا نَكَالًا مِنَ اللَّهِ وَاللَّ</w:t>
      </w:r>
      <w:r w:rsidRPr="00DA75F8">
        <w:rPr>
          <w:rFonts w:hint="cs"/>
          <w:rtl/>
        </w:rPr>
        <w:t>هُ</w:t>
      </w:r>
      <w:r w:rsidRPr="00DA75F8">
        <w:rPr>
          <w:rtl/>
        </w:rPr>
        <w:t xml:space="preserve"> عَزِيزٌ حَكِيمٌ () فَمَنْ تَابَ مِنْ بَعْدِ ظُلْمِهِ وَأَصْلَحَ فَإِنَّ اللَّهَ يَتُوبُ عَلَيْهِ إِنَّ اللَّهَ غَفُورٌ رَحِيمٌ"</w:t>
      </w:r>
      <w:r w:rsidRPr="00DA75F8">
        <w:rPr>
          <w:vertAlign w:val="superscript"/>
          <w:rtl/>
        </w:rPr>
        <w:t>(</w:t>
      </w:r>
      <w:r w:rsidRPr="00DA75F8">
        <w:rPr>
          <w:rStyle w:val="FootnoteReference"/>
          <w:rFonts w:cs="Arabic Transparent"/>
          <w:rtl/>
        </w:rPr>
        <w:footnoteReference w:id="181"/>
      </w:r>
      <w:r w:rsidRPr="00DA75F8">
        <w:rPr>
          <w:vertAlign w:val="superscript"/>
          <w:rtl/>
        </w:rPr>
        <w:t>)</w:t>
      </w:r>
      <w:r w:rsidRPr="00DA75F8">
        <w:rPr>
          <w:rtl/>
        </w:rPr>
        <w:t>.</w:t>
      </w:r>
    </w:p>
    <w:p w:rsidR="005F44B2" w:rsidRPr="00DA75F8" w:rsidRDefault="005F44B2" w:rsidP="007B6769">
      <w:pPr>
        <w:pStyle w:val="a0"/>
        <w:numPr>
          <w:ilvl w:val="0"/>
          <w:numId w:val="18"/>
        </w:numPr>
      </w:pPr>
      <w:r w:rsidRPr="00DA75F8">
        <w:rPr>
          <w:rFonts w:hint="cs"/>
          <w:rtl/>
        </w:rPr>
        <w:t>حدّ</w:t>
      </w:r>
      <w:r w:rsidRPr="00DA75F8">
        <w:rPr>
          <w:rtl/>
        </w:rPr>
        <w:t xml:space="preserve"> الزنا: " الزَّانِيَةُ وَالزَّانِي فَاجْلِدُوا كُلَّ وَاحِدٍ مِنْهُمَا مِائَةَ جَلْدَةٍ وَلَا تَأْخُذْكُمْ بِهِمَا رَأْفَةٌ فِي دِينِ اللَّهِ إِنْ كُنْتُمْ تُؤْمِنُونَ بِاللَّهِ وَالْيَوْمِ الْ</w:t>
      </w:r>
      <w:r w:rsidRPr="00DA75F8">
        <w:rPr>
          <w:rFonts w:hint="cs"/>
          <w:rtl/>
        </w:rPr>
        <w:t>آخِرِ</w:t>
      </w:r>
      <w:r w:rsidRPr="00DA75F8">
        <w:rPr>
          <w:rtl/>
        </w:rPr>
        <w:t xml:space="preserve"> وَلْيَشْهَدْ عَذَا</w:t>
      </w:r>
      <w:r w:rsidRPr="00DA75F8">
        <w:rPr>
          <w:rFonts w:hint="cs"/>
          <w:rtl/>
        </w:rPr>
        <w:t>بَهُمَا</w:t>
      </w:r>
      <w:r w:rsidRPr="00DA75F8">
        <w:rPr>
          <w:rtl/>
        </w:rPr>
        <w:t xml:space="preserve"> طَائِفَةٌ مِنَ الْمُؤْمِنِينَ"</w:t>
      </w:r>
      <w:r w:rsidRPr="00DA75F8">
        <w:rPr>
          <w:vertAlign w:val="superscript"/>
          <w:rtl/>
        </w:rPr>
        <w:t>(</w:t>
      </w:r>
      <w:r w:rsidRPr="00DA75F8">
        <w:rPr>
          <w:rStyle w:val="FootnoteReference"/>
          <w:rFonts w:cs="Arabic Transparent"/>
          <w:rtl/>
        </w:rPr>
        <w:footnoteReference w:id="182"/>
      </w:r>
      <w:r w:rsidRPr="00DA75F8">
        <w:rPr>
          <w:vertAlign w:val="superscript"/>
          <w:rtl/>
        </w:rPr>
        <w:t>)</w:t>
      </w:r>
      <w:r w:rsidRPr="00DA75F8">
        <w:rPr>
          <w:rtl/>
        </w:rPr>
        <w:t>.</w:t>
      </w:r>
    </w:p>
    <w:p w:rsidR="005F44B2" w:rsidRPr="00DA75F8" w:rsidRDefault="005F44B2" w:rsidP="007B6769">
      <w:pPr>
        <w:pStyle w:val="a0"/>
        <w:numPr>
          <w:ilvl w:val="0"/>
          <w:numId w:val="18"/>
        </w:numPr>
      </w:pPr>
      <w:r w:rsidRPr="00DA75F8">
        <w:rPr>
          <w:rFonts w:hint="cs"/>
          <w:rtl/>
        </w:rPr>
        <w:t>حدّ</w:t>
      </w:r>
      <w:r w:rsidRPr="00DA75F8">
        <w:rPr>
          <w:rtl/>
        </w:rPr>
        <w:t xml:space="preserve"> القذف: "  وَالَّذِينَ يَرْمُونَ الْمُحْصَنَاتِ ثُمَّ لَمْ يَأْتُوا بِأَرْبَعَةِ شُهَدَاءَ فَاجْلِدُوهُمْ ثَمَانِينَ جَلْدَةً وَلَا تَقْبَلُوا لَهُمْ شَهَادَةً أَبَدًا وَأُولَئِكَ هُمُ الْفَاسِقُونَ () إِلَّا الَّذِينَ تَابُوا مِنْ بَعْدِ ذَلِكَ وَأَصْلَحُوا فَإِنَّ اللَّهَ غَفُورٌ رَحِيمٌ"</w:t>
      </w:r>
      <w:r w:rsidRPr="00DA75F8">
        <w:rPr>
          <w:vertAlign w:val="superscript"/>
          <w:rtl/>
        </w:rPr>
        <w:t>(</w:t>
      </w:r>
      <w:r w:rsidRPr="00DA75F8">
        <w:rPr>
          <w:rStyle w:val="FootnoteReference"/>
          <w:rFonts w:cs="Arabic Transparent"/>
          <w:rtl/>
        </w:rPr>
        <w:footnoteReference w:id="183"/>
      </w:r>
      <w:r w:rsidRPr="00DA75F8">
        <w:rPr>
          <w:vertAlign w:val="superscript"/>
          <w:rtl/>
        </w:rPr>
        <w:t>)</w:t>
      </w:r>
      <w:r w:rsidRPr="00DA75F8">
        <w:rPr>
          <w:rtl/>
        </w:rPr>
        <w:t>.</w:t>
      </w:r>
    </w:p>
    <w:p w:rsidR="005F44B2" w:rsidRPr="00DA75F8" w:rsidRDefault="005F44B2" w:rsidP="007B6769">
      <w:pPr>
        <w:pStyle w:val="a0"/>
        <w:numPr>
          <w:ilvl w:val="0"/>
          <w:numId w:val="18"/>
        </w:numPr>
      </w:pPr>
      <w:r w:rsidRPr="00DA75F8">
        <w:rPr>
          <w:rFonts w:hint="cs"/>
          <w:rtl/>
        </w:rPr>
        <w:t>اللعان</w:t>
      </w:r>
      <w:r w:rsidRPr="00DA75F8">
        <w:rPr>
          <w:rtl/>
        </w:rPr>
        <w:t>: " وَالْخَامِسَةُ أَنَّ لَعْنَتَ اللَّهِ عَلَيْهِ إِنْ كَانَ مِنَ الْكَاذِبِينَ () وَيَدْرَأُ عَنْهَا الْعَذَابَ أَنْ تَشْهَدَ أَرْبَعَ شَهَادَاتٍ بِاللَّهِ إِنَّهُ لَمِنَ الْكَاذِبِينَ () وَالْخَامِسَةَ أَنَّ غَضَبَ اللَّهِ عَلَيْهَا إِنْ كَانَ مِنَ الصَّادِقِينَ () وَلَوْلَا فَضْلُ اللَّهِ عَلَيْكُمْ وَرَحْمَتُهُ وَأَن</w:t>
      </w:r>
      <w:r w:rsidRPr="00DA75F8">
        <w:rPr>
          <w:rFonts w:hint="cs"/>
          <w:rtl/>
        </w:rPr>
        <w:t>َّ</w:t>
      </w:r>
      <w:r w:rsidRPr="00DA75F8">
        <w:rPr>
          <w:rtl/>
        </w:rPr>
        <w:t xml:space="preserve"> اللَّهَ تَوَّابٌ حَكِ</w:t>
      </w:r>
      <w:r w:rsidRPr="00DA75F8">
        <w:rPr>
          <w:rFonts w:hint="cs"/>
          <w:rtl/>
        </w:rPr>
        <w:t>يمٌ</w:t>
      </w:r>
      <w:r w:rsidRPr="00DA75F8">
        <w:rPr>
          <w:rtl/>
        </w:rPr>
        <w:t>"</w:t>
      </w:r>
      <w:r w:rsidRPr="00DA75F8">
        <w:rPr>
          <w:vertAlign w:val="superscript"/>
          <w:rtl/>
        </w:rPr>
        <w:t>(</w:t>
      </w:r>
      <w:r w:rsidRPr="00DA75F8">
        <w:rPr>
          <w:rStyle w:val="FootnoteReference"/>
          <w:rFonts w:cs="Arabic Transparent"/>
          <w:rtl/>
        </w:rPr>
        <w:footnoteReference w:id="184"/>
      </w:r>
      <w:r w:rsidRPr="00DA75F8">
        <w:rPr>
          <w:vertAlign w:val="superscript"/>
          <w:rtl/>
        </w:rPr>
        <w:t>)</w:t>
      </w:r>
      <w:r w:rsidRPr="00DA75F8">
        <w:rPr>
          <w:rtl/>
        </w:rPr>
        <w:t>.</w:t>
      </w:r>
    </w:p>
    <w:p w:rsidR="005F44B2" w:rsidRDefault="005F44B2" w:rsidP="004824B5">
      <w:pPr>
        <w:pStyle w:val="a0"/>
        <w:rPr>
          <w:rtl/>
        </w:rPr>
      </w:pPr>
      <w:r w:rsidRPr="00DA75F8">
        <w:rPr>
          <w:rFonts w:hint="cs"/>
          <w:rtl/>
        </w:rPr>
        <w:t>وقد</w:t>
      </w:r>
      <w:r w:rsidRPr="00DA75F8">
        <w:rPr>
          <w:rtl/>
        </w:rPr>
        <w:t xml:space="preserve"> تحدّث ابن عابدين عن هذه الآيات في كتابه (رد المحتار) بداية كتاب الحدود حيث ذكر سبب تسمية الآيات بحقوق الله تعالى وقال: "لأنها شرعت لمصلحة تعود إلى كافة الناس من صيانة الأنساب والأموال والعقول والأعراض"</w:t>
      </w:r>
      <w:r w:rsidRPr="00DA75F8">
        <w:rPr>
          <w:vertAlign w:val="superscript"/>
          <w:rtl/>
        </w:rPr>
        <w:t>(</w:t>
      </w:r>
      <w:r w:rsidRPr="00DA75F8">
        <w:rPr>
          <w:rStyle w:val="FootnoteReference"/>
          <w:rFonts w:cs="Arabic Transparent"/>
          <w:rtl/>
        </w:rPr>
        <w:footnoteReference w:id="185"/>
      </w:r>
      <w:r w:rsidRPr="00DA75F8">
        <w:rPr>
          <w:vertAlign w:val="superscript"/>
          <w:rtl/>
        </w:rPr>
        <w:t>)</w:t>
      </w:r>
      <w:r w:rsidRPr="00DA75F8">
        <w:rPr>
          <w:rFonts w:hint="cs"/>
          <w:rtl/>
        </w:rPr>
        <w:t>،</w:t>
      </w:r>
      <w:r w:rsidRPr="00DA75F8">
        <w:rPr>
          <w:rtl/>
        </w:rPr>
        <w:t xml:space="preserve"> هذا الكلام هو هدف السياسة الشرعية وغايتها. وبعد ذلك أشار إلى أنَّ</w:t>
      </w:r>
      <w:r>
        <w:rPr>
          <w:rtl/>
        </w:rPr>
        <w:t xml:space="preserve"> الغرض</w:t>
      </w:r>
      <w:r w:rsidRPr="00DA75F8">
        <w:rPr>
          <w:rtl/>
        </w:rPr>
        <w:t xml:space="preserve"> من الحدود وهو:" الانزجار عما يتضرر به العباد من أنواع الفساد، وهو وجه تسميتها حدودا"</w:t>
      </w:r>
      <w:r w:rsidRPr="00DA75F8">
        <w:rPr>
          <w:vertAlign w:val="superscript"/>
          <w:rtl/>
        </w:rPr>
        <w:t>(</w:t>
      </w:r>
      <w:r w:rsidRPr="00DA75F8">
        <w:rPr>
          <w:rStyle w:val="FootnoteReference"/>
          <w:rFonts w:cs="Arabic Transparent"/>
          <w:rtl/>
        </w:rPr>
        <w:footnoteReference w:id="186"/>
      </w:r>
      <w:r w:rsidRPr="00DA75F8">
        <w:rPr>
          <w:vertAlign w:val="superscript"/>
          <w:rtl/>
        </w:rPr>
        <w:t>)</w:t>
      </w:r>
      <w:r>
        <w:rPr>
          <w:rtl/>
        </w:rPr>
        <w:t>.</w:t>
      </w:r>
    </w:p>
    <w:p w:rsidR="005F44B2" w:rsidRPr="00BC164C" w:rsidRDefault="005F44B2" w:rsidP="004824B5">
      <w:pPr>
        <w:pStyle w:val="a0"/>
      </w:pPr>
      <w:r>
        <w:rPr>
          <w:rFonts w:hint="cs"/>
          <w:rtl/>
        </w:rPr>
        <w:t>ولا</w:t>
      </w:r>
      <w:r>
        <w:rPr>
          <w:rtl/>
        </w:rPr>
        <w:t xml:space="preserve"> ننسى أنه يرى أن السياسة شرع مغلظ، وتغليظ جناية لحسم مادة الفساد، لذا يرى ابن عابدين أن يعزّر حتى القتل</w:t>
      </w:r>
      <w:r>
        <w:rPr>
          <w:vertAlign w:val="superscript"/>
          <w:rtl/>
        </w:rPr>
        <w:t>(</w:t>
      </w:r>
      <w:r>
        <w:rPr>
          <w:rStyle w:val="FootnoteReference"/>
          <w:rFonts w:cs="Arabic Transparent"/>
          <w:rtl/>
        </w:rPr>
        <w:footnoteReference w:id="187"/>
      </w:r>
      <w:r>
        <w:rPr>
          <w:vertAlign w:val="superscript"/>
          <w:rtl/>
        </w:rPr>
        <w:t>)</w:t>
      </w:r>
      <w:r>
        <w:rPr>
          <w:rtl/>
        </w:rPr>
        <w:t xml:space="preserve"> فمثلًا: قتل السارق</w:t>
      </w:r>
      <w:r>
        <w:rPr>
          <w:vertAlign w:val="superscript"/>
          <w:rtl/>
        </w:rPr>
        <w:t>(</w:t>
      </w:r>
      <w:r>
        <w:rPr>
          <w:rStyle w:val="FootnoteReference"/>
          <w:rFonts w:cs="Arabic Transparent"/>
          <w:rtl/>
        </w:rPr>
        <w:footnoteReference w:id="188"/>
      </w:r>
      <w:r>
        <w:rPr>
          <w:vertAlign w:val="superscript"/>
          <w:rtl/>
        </w:rPr>
        <w:t>)</w:t>
      </w:r>
      <w:r>
        <w:rPr>
          <w:rFonts w:hint="cs"/>
          <w:rtl/>
        </w:rPr>
        <w:t>،</w:t>
      </w:r>
      <w:r>
        <w:rPr>
          <w:rtl/>
        </w:rPr>
        <w:t xml:space="preserve"> والخناق</w:t>
      </w:r>
      <w:r>
        <w:rPr>
          <w:vertAlign w:val="superscript"/>
          <w:rtl/>
        </w:rPr>
        <w:t>(</w:t>
      </w:r>
      <w:r>
        <w:rPr>
          <w:rStyle w:val="FootnoteReference"/>
          <w:rFonts w:cs="Arabic Transparent"/>
          <w:rtl/>
        </w:rPr>
        <w:footnoteReference w:id="189"/>
      </w:r>
      <w:r>
        <w:rPr>
          <w:vertAlign w:val="superscript"/>
          <w:rtl/>
        </w:rPr>
        <w:t>)</w:t>
      </w:r>
      <w:r>
        <w:rPr>
          <w:rFonts w:hint="cs"/>
          <w:rtl/>
        </w:rPr>
        <w:t>،</w:t>
      </w:r>
      <w:r>
        <w:rPr>
          <w:rtl/>
        </w:rPr>
        <w:t xml:space="preserve"> والباغي</w:t>
      </w:r>
      <w:r>
        <w:rPr>
          <w:vertAlign w:val="superscript"/>
          <w:rtl/>
        </w:rPr>
        <w:t>(</w:t>
      </w:r>
      <w:r>
        <w:rPr>
          <w:rStyle w:val="FootnoteReference"/>
          <w:rFonts w:cs="Arabic Transparent"/>
          <w:rtl/>
        </w:rPr>
        <w:footnoteReference w:id="190"/>
      </w:r>
      <w:r>
        <w:rPr>
          <w:vertAlign w:val="superscript"/>
          <w:rtl/>
        </w:rPr>
        <w:t>)</w:t>
      </w:r>
      <w:r>
        <w:rPr>
          <w:rtl/>
        </w:rPr>
        <w:t xml:space="preserve"> وغير ذلك، فسيتحّث الباحث عن القتل سياسة في الفصل الثالث إن شاء الله.</w:t>
      </w:r>
    </w:p>
    <w:p w:rsidR="005F44B2" w:rsidRPr="00DA75F8" w:rsidRDefault="005F44B2" w:rsidP="006D59AD">
      <w:pPr>
        <w:pStyle w:val="NoSpacing"/>
        <w:keepNext/>
        <w:numPr>
          <w:ilvl w:val="0"/>
          <w:numId w:val="26"/>
        </w:numPr>
        <w:ind w:left="1066" w:hanging="357"/>
        <w:rPr>
          <w:rtl/>
        </w:rPr>
      </w:pPr>
      <w:r w:rsidRPr="00DA75F8">
        <w:rPr>
          <w:rtl/>
        </w:rPr>
        <w:t xml:space="preserve"> السنة النبوية</w:t>
      </w:r>
    </w:p>
    <w:p w:rsidR="005F44B2" w:rsidRPr="00DA75F8" w:rsidRDefault="005F44B2" w:rsidP="004824B5">
      <w:pPr>
        <w:pStyle w:val="a0"/>
        <w:rPr>
          <w:rtl/>
        </w:rPr>
      </w:pPr>
      <w:r w:rsidRPr="00DA75F8">
        <w:rPr>
          <w:rFonts w:hint="cs"/>
          <w:rtl/>
        </w:rPr>
        <w:t>كما</w:t>
      </w:r>
      <w:r w:rsidRPr="00DA75F8">
        <w:rPr>
          <w:rtl/>
        </w:rPr>
        <w:t xml:space="preserve"> أش</w:t>
      </w:r>
      <w:r>
        <w:rPr>
          <w:rFonts w:hint="cs"/>
          <w:rtl/>
        </w:rPr>
        <w:t>ا</w:t>
      </w:r>
      <w:r w:rsidRPr="00DA75F8">
        <w:rPr>
          <w:rFonts w:hint="cs"/>
          <w:rtl/>
        </w:rPr>
        <w:t>ر</w:t>
      </w:r>
      <w:r>
        <w:rPr>
          <w:rtl/>
        </w:rPr>
        <w:t xml:space="preserve"> الباحث</w:t>
      </w:r>
      <w:r w:rsidRPr="00DA75F8">
        <w:rPr>
          <w:rtl/>
        </w:rPr>
        <w:t xml:space="preserve"> من قبل فالسياسة الشرعية مصطلحٌ جديدٌ كان يعمل بها الرسول – صلى الله عليه وسلم – ، والخلفاء الراشدين، والصحابة، والتابعون ومن بعدهم، لذا لايوجد أدلة خاصة من السنة النبوية تدلّ على مشروعية السياسة الشرعية و سيذكر الباحث في هذا القسم أعمالًا وأفعالًا لنبينا محمد المصطفى – صلى الله عليه وسلم –</w:t>
      </w:r>
      <w:r w:rsidRPr="00DA75F8">
        <w:rPr>
          <w:rFonts w:hint="cs"/>
          <w:rtl/>
        </w:rPr>
        <w:t>والتي</w:t>
      </w:r>
      <w:r w:rsidRPr="00DA75F8">
        <w:rPr>
          <w:rtl/>
        </w:rPr>
        <w:t xml:space="preserve"> تؤيّد العمل بالسياسة الشرعية عبر عرضه لأحاديث في هذا </w:t>
      </w:r>
      <w:r w:rsidRPr="00DA75F8">
        <w:rPr>
          <w:rFonts w:hint="cs"/>
          <w:rtl/>
        </w:rPr>
        <w:t>الصدد</w:t>
      </w:r>
      <w:r w:rsidRPr="00DA75F8">
        <w:rPr>
          <w:rtl/>
        </w:rPr>
        <w:t>.</w:t>
      </w:r>
    </w:p>
    <w:p w:rsidR="005F44B2" w:rsidRPr="00DA75F8" w:rsidRDefault="005F44B2" w:rsidP="007B6769">
      <w:pPr>
        <w:pStyle w:val="a0"/>
        <w:numPr>
          <w:ilvl w:val="0"/>
          <w:numId w:val="23"/>
        </w:numPr>
        <w:rPr>
          <w:rtl/>
        </w:rPr>
      </w:pPr>
      <w:r w:rsidRPr="00DA75F8">
        <w:rPr>
          <w:rFonts w:hint="cs"/>
          <w:rtl/>
        </w:rPr>
        <w:t>حديث</w:t>
      </w:r>
      <w:r w:rsidRPr="00DA75F8">
        <w:rPr>
          <w:rtl/>
        </w:rPr>
        <w:t xml:space="preserve"> معاذ عن مشروعية الاجتهاد وهو: </w:t>
      </w:r>
    </w:p>
    <w:p w:rsidR="005F44B2" w:rsidRDefault="005F44B2" w:rsidP="00AE20FA">
      <w:pPr>
        <w:pStyle w:val="a0"/>
        <w:rPr>
          <w:rtl/>
        </w:rPr>
      </w:pPr>
      <w:r w:rsidRPr="00DA75F8">
        <w:rPr>
          <w:rtl/>
        </w:rPr>
        <w:t>" حدثنا محمد بن جعفر، حدثنا شعبة، عن أبي عون، عن الحارث بن عمرو ابن أخي المغيرة بن شعبة، عن ناس من أصحاب معاذ من أهل حمصعن معاذ: أن رسول الله صلى الله عليه وسلم حين بعثه إلى اليمن، فقال: كيف تصنع إن عرض لك قضاء؟ قال: أقضي بما في كتاب الله. قال: فإن لم يكن في كتاب الله؟ قال: فبسنة رسول الله صلى الله عليه وسلم. قال: فإن لم يكن في سنة رسول الله صلى الله عليه وسلم؟ قال: أجتهد رأيي، لا آلو. قال: فضرب رسول الله صلى الله عليه وسلم صد</w:t>
      </w:r>
      <w:r w:rsidRPr="00DA75F8">
        <w:rPr>
          <w:rFonts w:hint="cs"/>
          <w:rtl/>
        </w:rPr>
        <w:t>ري،</w:t>
      </w:r>
      <w:r w:rsidRPr="00DA75F8">
        <w:rPr>
          <w:rtl/>
        </w:rPr>
        <w:t xml:space="preserve"> ثم قال: الحمد لله الذ</w:t>
      </w:r>
      <w:r w:rsidRPr="00DA75F8">
        <w:rPr>
          <w:rFonts w:hint="cs"/>
          <w:rtl/>
        </w:rPr>
        <w:t>ي</w:t>
      </w:r>
      <w:r w:rsidRPr="00DA75F8">
        <w:rPr>
          <w:rtl/>
        </w:rPr>
        <w:t xml:space="preserve"> وفق رسول رسول الله لما يرضي رسول الله</w:t>
      </w:r>
      <w:r>
        <w:rPr>
          <w:rtl/>
        </w:rPr>
        <w:t>"</w:t>
      </w:r>
      <w:r w:rsidRPr="00DA75F8">
        <w:rPr>
          <w:rStyle w:val="FootnoteReference"/>
          <w:rFonts w:cs="Arabic Transparent"/>
          <w:rtl/>
        </w:rPr>
        <w:t>(</w:t>
      </w:r>
      <w:r w:rsidRPr="00DA75F8">
        <w:rPr>
          <w:rStyle w:val="FootnoteReference"/>
          <w:rFonts w:cs="Arabic Transparent"/>
          <w:rtl/>
        </w:rPr>
        <w:footnoteReference w:id="191"/>
      </w:r>
      <w:r w:rsidRPr="00DA75F8">
        <w:rPr>
          <w:rStyle w:val="FootnoteReference"/>
          <w:rFonts w:cs="Arabic Transparent"/>
          <w:rtl/>
        </w:rPr>
        <w:t>)</w:t>
      </w:r>
      <w:r w:rsidRPr="00DA75F8">
        <w:rPr>
          <w:rFonts w:hint="cs"/>
          <w:rtl/>
        </w:rPr>
        <w:t>،</w:t>
      </w:r>
      <w:r w:rsidRPr="00DA75F8">
        <w:rPr>
          <w:rtl/>
        </w:rPr>
        <w:t xml:space="preserve"> اجتهد معاذ بن جبل – رضي الله عنه –</w:t>
      </w:r>
      <w:r w:rsidRPr="00DA75F8">
        <w:rPr>
          <w:rFonts w:hint="cs"/>
          <w:rtl/>
        </w:rPr>
        <w:t>وسُرَّ</w:t>
      </w:r>
      <w:r w:rsidRPr="00DA75F8">
        <w:rPr>
          <w:rtl/>
        </w:rPr>
        <w:t xml:space="preserve"> عليه السلام لتوفيق معاذ وللتوصيل إلى الحكم الصحيح  من خلال طريقه.</w:t>
      </w:r>
    </w:p>
    <w:p w:rsidR="005F44B2" w:rsidRPr="00333A43" w:rsidRDefault="005F44B2" w:rsidP="00F8304A">
      <w:pPr>
        <w:pStyle w:val="a0"/>
        <w:rPr>
          <w:rtl/>
        </w:rPr>
      </w:pPr>
      <w:r>
        <w:rPr>
          <w:rFonts w:hint="cs"/>
          <w:rtl/>
        </w:rPr>
        <w:t>قد</w:t>
      </w:r>
      <w:r>
        <w:rPr>
          <w:rtl/>
        </w:rPr>
        <w:t xml:space="preserve"> ذكر ابن عابدين تعريف الاجتهاد وشروطه وصفة المجتهد في ((رد المحتار))</w:t>
      </w:r>
      <w:r>
        <w:rPr>
          <w:vertAlign w:val="superscript"/>
          <w:rtl/>
        </w:rPr>
        <w:t>(</w:t>
      </w:r>
      <w:r>
        <w:rPr>
          <w:rStyle w:val="FootnoteReference"/>
          <w:rFonts w:cs="Arabic Transparent"/>
          <w:rtl/>
        </w:rPr>
        <w:footnoteReference w:id="192"/>
      </w:r>
      <w:r>
        <w:rPr>
          <w:vertAlign w:val="superscript"/>
          <w:rtl/>
        </w:rPr>
        <w:t>)</w:t>
      </w:r>
      <w:r>
        <w:rPr>
          <w:rFonts w:hint="cs"/>
          <w:rtl/>
        </w:rPr>
        <w:t>،</w:t>
      </w:r>
      <w:r>
        <w:rPr>
          <w:rtl/>
        </w:rPr>
        <w:t xml:space="preserve"> وهو أيضًا أخذ في موضع آخر المجتهدَ في ثلاثة أصناف وهم: المجتهد في الشرع، والمجتهد في المذهب، والمجتهد في المسألة</w:t>
      </w:r>
      <w:r>
        <w:rPr>
          <w:vertAlign w:val="superscript"/>
          <w:rtl/>
        </w:rPr>
        <w:t>(</w:t>
      </w:r>
      <w:r>
        <w:rPr>
          <w:rStyle w:val="FootnoteReference"/>
          <w:rFonts w:cs="Arabic Transparent"/>
          <w:rtl/>
        </w:rPr>
        <w:footnoteReference w:id="193"/>
      </w:r>
      <w:r>
        <w:rPr>
          <w:vertAlign w:val="superscript"/>
          <w:rtl/>
        </w:rPr>
        <w:t>)</w:t>
      </w:r>
      <w:r>
        <w:rPr>
          <w:rFonts w:hint="cs"/>
          <w:rtl/>
        </w:rPr>
        <w:t>،</w:t>
      </w:r>
      <w:r>
        <w:rPr>
          <w:rtl/>
        </w:rPr>
        <w:t xml:space="preserve"> وذكر معلومات آخر عن الاجتهاد، وهذا يدلّ على أن ابن عابدين يأخذ الاجتهاد ويعمل به.</w:t>
      </w:r>
    </w:p>
    <w:p w:rsidR="005F44B2" w:rsidRPr="00DA75F8" w:rsidRDefault="005F44B2" w:rsidP="00F8304A">
      <w:pPr>
        <w:pStyle w:val="a0"/>
        <w:rPr>
          <w:rtl/>
        </w:rPr>
      </w:pPr>
      <w:r w:rsidRPr="00DA75F8">
        <w:rPr>
          <w:rFonts w:hint="cs"/>
          <w:rtl/>
        </w:rPr>
        <w:t>السياسة</w:t>
      </w:r>
      <w:r w:rsidRPr="00DA75F8">
        <w:rPr>
          <w:rtl/>
        </w:rPr>
        <w:t xml:space="preserve"> الشرعية هي اجتهاد فيما فيه نص من ناحية التطبيق، وفيما لا نص فيه من ناحية إعطاء الواقعة حكما شرعيًا، والاجتهاد وسيلتنا للكشف عن السياسة الشرعية، ويشترط في الاجتهاد عدم مخالفة أساسيات الشرع،والتوفيق بين ما فيه تعارض، وعليه أن يحقق المصلحة العامة والخاصة، وهذا ما تنادي به السياسة الشرعية</w:t>
      </w:r>
      <w:r w:rsidRPr="00DA75F8">
        <w:rPr>
          <w:vertAlign w:val="superscript"/>
          <w:rtl/>
        </w:rPr>
        <w:t>(</w:t>
      </w:r>
      <w:r w:rsidRPr="00DA75F8">
        <w:rPr>
          <w:rStyle w:val="FootnoteReference"/>
          <w:rFonts w:cs="Arabic Transparent"/>
          <w:rtl/>
        </w:rPr>
        <w:footnoteReference w:id="194"/>
      </w:r>
      <w:r w:rsidRPr="00DA75F8">
        <w:rPr>
          <w:vertAlign w:val="superscript"/>
          <w:rtl/>
        </w:rPr>
        <w:t>)</w:t>
      </w:r>
      <w:r w:rsidRPr="00DA75F8">
        <w:rPr>
          <w:rFonts w:hint="cs"/>
          <w:rtl/>
        </w:rPr>
        <w:t>،</w:t>
      </w:r>
      <w:r w:rsidRPr="00DA75F8">
        <w:rPr>
          <w:rtl/>
        </w:rPr>
        <w:t xml:space="preserve"> إذن فمشروعية الاجتهاد أيضًا تدلّ على مشروعية السياسة الشرعية، وعليه فإنّ أيِّ حديثٍ يدلّ على مشروع</w:t>
      </w:r>
      <w:r w:rsidRPr="00DA75F8">
        <w:rPr>
          <w:rFonts w:hint="cs"/>
          <w:rtl/>
        </w:rPr>
        <w:t>ية</w:t>
      </w:r>
      <w:r w:rsidRPr="00DA75F8">
        <w:rPr>
          <w:rtl/>
        </w:rPr>
        <w:t xml:space="preserve"> الاجتهاد أيضًا يدلّ على مشروعية السياسة الشرعية.</w:t>
      </w:r>
    </w:p>
    <w:p w:rsidR="005F44B2" w:rsidRPr="00DA75F8" w:rsidRDefault="005F44B2" w:rsidP="007B6769">
      <w:pPr>
        <w:pStyle w:val="a0"/>
        <w:numPr>
          <w:ilvl w:val="0"/>
          <w:numId w:val="23"/>
        </w:numPr>
      </w:pPr>
      <w:r w:rsidRPr="00DA75F8">
        <w:rPr>
          <w:rFonts w:hint="cs"/>
          <w:rtl/>
        </w:rPr>
        <w:t>قال</w:t>
      </w:r>
      <w:r w:rsidRPr="00DA75F8">
        <w:rPr>
          <w:rtl/>
        </w:rPr>
        <w:t xml:space="preserve"> رسول الله عليه السلام: " لقد هممت أن آمر بالصلاة فتُقام، ثم آمر رجلًا يصلي بالناس، ثم آخ</w:t>
      </w:r>
      <w:r w:rsidRPr="00DA75F8">
        <w:rPr>
          <w:rFonts w:hint="cs"/>
          <w:rtl/>
        </w:rPr>
        <w:t>ُذَ</w:t>
      </w:r>
      <w:r w:rsidRPr="00DA75F8">
        <w:rPr>
          <w:rtl/>
        </w:rPr>
        <w:t xml:space="preserve"> حزمًا من حطب، فآتي الذين تَخلَّفوا عن الصلاة، فأُحِّ</w:t>
      </w:r>
      <w:r>
        <w:rPr>
          <w:rFonts w:hint="cs"/>
          <w:rtl/>
        </w:rPr>
        <w:t>رق</w:t>
      </w:r>
      <w:r>
        <w:rPr>
          <w:rtl/>
        </w:rPr>
        <w:t xml:space="preserve"> عليهم بيوتهم</w:t>
      </w:r>
      <w:r w:rsidRPr="00DA75F8">
        <w:rPr>
          <w:rtl/>
        </w:rPr>
        <w:t>"</w:t>
      </w:r>
      <w:r w:rsidRPr="00DA75F8">
        <w:rPr>
          <w:vertAlign w:val="superscript"/>
          <w:rtl/>
        </w:rPr>
        <w:t>(</w:t>
      </w:r>
      <w:r w:rsidRPr="00DA75F8">
        <w:rPr>
          <w:rStyle w:val="FootnoteReference"/>
          <w:rFonts w:cs="Arabic Transparent"/>
          <w:rtl/>
        </w:rPr>
        <w:footnoteReference w:id="195"/>
      </w:r>
      <w:r w:rsidRPr="00DA75F8">
        <w:rPr>
          <w:vertAlign w:val="superscript"/>
          <w:rtl/>
        </w:rPr>
        <w:t>)</w:t>
      </w:r>
      <w:r w:rsidRPr="00DA75F8">
        <w:rPr>
          <w:rtl/>
        </w:rPr>
        <w:t>.</w:t>
      </w:r>
    </w:p>
    <w:p w:rsidR="005F44B2" w:rsidRDefault="005F44B2" w:rsidP="007B6769">
      <w:pPr>
        <w:pStyle w:val="a0"/>
        <w:rPr>
          <w:rtl/>
        </w:rPr>
      </w:pPr>
      <w:r w:rsidRPr="00DA75F8">
        <w:rPr>
          <w:rFonts w:hint="cs"/>
          <w:rtl/>
        </w:rPr>
        <w:t>وجه</w:t>
      </w:r>
      <w:r w:rsidRPr="00DA75F8">
        <w:rPr>
          <w:rtl/>
        </w:rPr>
        <w:t xml:space="preserve"> الدلالة: نرى أن الحديث فيمن ترك الصلاة في الجماعة، وقد يستشهد بالحديث على زجر من ترك الصلاة جماعةً من قبل الحاكم، والحاكم يقوم بالتعزير إذا ر</w:t>
      </w:r>
      <w:r w:rsidRPr="00DA75F8">
        <w:rPr>
          <w:rFonts w:hint="cs"/>
          <w:rtl/>
        </w:rPr>
        <w:t>أى</w:t>
      </w:r>
      <w:r w:rsidRPr="00DA75F8">
        <w:rPr>
          <w:rtl/>
        </w:rPr>
        <w:t xml:space="preserve"> المصلحة، ومع هذا نفهم أن الحديث يدل على حجية السياسة الشرعية.</w:t>
      </w:r>
    </w:p>
    <w:p w:rsidR="005F44B2" w:rsidRPr="003B3291" w:rsidRDefault="005F44B2" w:rsidP="00BA4793">
      <w:pPr>
        <w:pStyle w:val="a0"/>
      </w:pPr>
      <w:r>
        <w:rPr>
          <w:rFonts w:hint="cs"/>
          <w:rtl/>
        </w:rPr>
        <w:t>وقد</w:t>
      </w:r>
      <w:r>
        <w:rPr>
          <w:rtl/>
        </w:rPr>
        <w:t xml:space="preserve"> أشار ابن عابدين إلى أهمية الصلاة بالجماعة، ويقول يأثم ويعزّر لمن ترك الصلاة بالجماعة بلا عذر</w:t>
      </w:r>
      <w:r>
        <w:rPr>
          <w:vertAlign w:val="superscript"/>
          <w:rtl/>
        </w:rPr>
        <w:t>(</w:t>
      </w:r>
      <w:r>
        <w:rPr>
          <w:rStyle w:val="FootnoteReference"/>
          <w:rFonts w:cs="Arabic Transparent"/>
          <w:rtl/>
        </w:rPr>
        <w:footnoteReference w:id="196"/>
      </w:r>
      <w:r>
        <w:rPr>
          <w:vertAlign w:val="superscript"/>
          <w:rtl/>
        </w:rPr>
        <w:t>)</w:t>
      </w:r>
      <w:r>
        <w:rPr>
          <w:rFonts w:hint="cs"/>
          <w:rtl/>
        </w:rPr>
        <w:t>،</w:t>
      </w:r>
      <w:r>
        <w:rPr>
          <w:rtl/>
        </w:rPr>
        <w:t xml:space="preserve"> وأيّد قوله بحديثي رسول الله – صلى الله عليه وسلم– حيث أشار إليهما بـ (( لا يشهدون الصلاة)) وبـ (( يصلون بيوتهم))، وبناء على هذا يُظهر أن ابن عابدين يرى جواز تعزير لمن ترك الصلاة بالجماعة بلا عذر، ويدل عليها حديث رسول الله – صلى الله عليه وسلم –</w:t>
      </w:r>
      <w:r>
        <w:rPr>
          <w:rFonts w:hint="cs"/>
          <w:rtl/>
        </w:rPr>
        <w:t>،</w:t>
      </w:r>
      <w:r>
        <w:rPr>
          <w:rtl/>
        </w:rPr>
        <w:t xml:space="preserve"> وهذا الحديث من أدلة السياسة الشرعية.</w:t>
      </w:r>
    </w:p>
    <w:p w:rsidR="005F44B2" w:rsidRPr="00DA75F8" w:rsidRDefault="005F44B2" w:rsidP="007B6769">
      <w:pPr>
        <w:pStyle w:val="a0"/>
        <w:numPr>
          <w:ilvl w:val="0"/>
          <w:numId w:val="23"/>
        </w:numPr>
      </w:pPr>
      <w:r w:rsidRPr="00DA75F8">
        <w:rPr>
          <w:rFonts w:hint="cs"/>
          <w:rtl/>
        </w:rPr>
        <w:t>ومثال</w:t>
      </w:r>
      <w:r w:rsidRPr="00DA75F8">
        <w:rPr>
          <w:rtl/>
        </w:rPr>
        <w:t xml:space="preserve"> آخر هو استئذان عمر – رضي الله عنه – رسول الله – صلى الله عليه وسلم – في قطع رأس المنافقين، يُذكر في صحيح مسلم هكذا: " سمع عمرو جابر بن عبد الله يقول: كنا مع النبي صلى الله عليه و</w:t>
      </w:r>
      <w:r w:rsidRPr="00DA75F8">
        <w:rPr>
          <w:rFonts w:hint="cs"/>
          <w:rtl/>
        </w:rPr>
        <w:t>سلم</w:t>
      </w:r>
      <w:r w:rsidRPr="00DA75F8">
        <w:rPr>
          <w:rtl/>
        </w:rPr>
        <w:t xml:space="preserve"> في غزاة، فكسع رجل من المهاجرين، رجلا من الأنصار، فقال الأنصاري: يا للأنصار، وقال المهاجري: يا للمهاجرين، فقال رسول الله صلى الله عليه وسلم: ((ما بال دعوى الجاهلية؟)) قالوا: يا رسول الله كسع رجل من المهاجرين، رجلا من الأنصار، فقال: ((دعوها، فإنها منتنة)) فسمعها عبد الله بن أبي فقال: قد فعلوها، والله لئن رجعنا إلى المدينة ليخرجن الأعز منها الأذل. قال عمر: دعني أضرب عنق هذا المنافق، فقال: ((دعه، لا يتحدث الناس أن محمدا يقتل أصحابه))"</w:t>
      </w:r>
      <w:r w:rsidRPr="00DA75F8">
        <w:rPr>
          <w:vertAlign w:val="superscript"/>
          <w:rtl/>
        </w:rPr>
        <w:t>(</w:t>
      </w:r>
      <w:r w:rsidRPr="00DA75F8">
        <w:rPr>
          <w:rStyle w:val="FootnoteReference"/>
          <w:rFonts w:cs="Arabic Transparent"/>
          <w:rtl/>
        </w:rPr>
        <w:footnoteReference w:id="19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وجه</w:t>
      </w:r>
      <w:r w:rsidRPr="00DA75F8">
        <w:rPr>
          <w:rtl/>
        </w:rPr>
        <w:t xml:space="preserve"> الدلالة: في الحديث دلالة على منع قتل المنافقين في بداية الإسلام؛ لأن مصلحة تأليف قلوبهم أعظم من مصلحة قتلهم</w:t>
      </w:r>
      <w:r w:rsidRPr="00DA75F8">
        <w:rPr>
          <w:vertAlign w:val="superscript"/>
          <w:rtl/>
        </w:rPr>
        <w:t>(</w:t>
      </w:r>
      <w:r w:rsidRPr="00DA75F8">
        <w:rPr>
          <w:rStyle w:val="FootnoteReference"/>
          <w:rFonts w:cs="Arabic Transparent"/>
          <w:rtl/>
        </w:rPr>
        <w:footnoteReference w:id="198"/>
      </w:r>
      <w:r w:rsidRPr="00DA75F8">
        <w:rPr>
          <w:vertAlign w:val="superscript"/>
          <w:rtl/>
        </w:rPr>
        <w:t>)</w:t>
      </w:r>
      <w:r w:rsidRPr="00DA75F8">
        <w:rPr>
          <w:rFonts w:hint="cs"/>
          <w:rtl/>
        </w:rPr>
        <w:t>،</w:t>
      </w:r>
      <w:r w:rsidRPr="00DA75F8">
        <w:rPr>
          <w:rtl/>
        </w:rPr>
        <w:t xml:space="preserve"> والمصلحة غاية السياسة الشرعية، فالحديث يدلّعلى تقديم المصلحة الراجحة، وهو ما يدلّ على مشروعية السياسة الشرعية.</w:t>
      </w:r>
    </w:p>
    <w:p w:rsidR="005F44B2" w:rsidRPr="00DA75F8" w:rsidRDefault="005F44B2" w:rsidP="008171A1">
      <w:pPr>
        <w:pStyle w:val="NoSpacing"/>
        <w:rPr>
          <w:rtl/>
        </w:rPr>
      </w:pPr>
      <w:r w:rsidRPr="00DA75F8">
        <w:rPr>
          <w:rFonts w:hint="cs"/>
          <w:rtl/>
        </w:rPr>
        <w:t>أقوال</w:t>
      </w:r>
      <w:r w:rsidRPr="00DA75F8">
        <w:rPr>
          <w:rtl/>
        </w:rPr>
        <w:t xml:space="preserve"> وأفعال الصحابة</w:t>
      </w:r>
    </w:p>
    <w:p w:rsidR="005F44B2" w:rsidRPr="00DA75F8" w:rsidRDefault="005F44B2" w:rsidP="007B6769">
      <w:pPr>
        <w:pStyle w:val="a0"/>
        <w:numPr>
          <w:ilvl w:val="0"/>
          <w:numId w:val="19"/>
        </w:numPr>
      </w:pPr>
      <w:r w:rsidRPr="00DA75F8">
        <w:rPr>
          <w:rFonts w:hint="cs"/>
          <w:rtl/>
        </w:rPr>
        <w:t>من</w:t>
      </w:r>
      <w:r w:rsidRPr="00DA75F8">
        <w:rPr>
          <w:rtl/>
        </w:rPr>
        <w:t xml:space="preserve"> أدلة السياسة الشرعية نفي عمر – رضي الله عنه – لنصر بن الحجاج، فإنه قال لعمر: ما ذنبي يا أمير المؤمنين؟ فقال: لا ذنب لك وإنما الذنب لي حيث لا أطهر دار الهجرة منك</w:t>
      </w:r>
      <w:r w:rsidRPr="00DA75F8">
        <w:rPr>
          <w:vertAlign w:val="superscript"/>
          <w:rtl/>
        </w:rPr>
        <w:t>(</w:t>
      </w:r>
      <w:r w:rsidRPr="00DA75F8">
        <w:rPr>
          <w:rStyle w:val="FootnoteReference"/>
          <w:rFonts w:cs="Arabic Transparent"/>
          <w:rtl/>
        </w:rPr>
        <w:footnoteReference w:id="199"/>
      </w:r>
      <w:r w:rsidRPr="00DA75F8">
        <w:rPr>
          <w:vertAlign w:val="superscript"/>
          <w:rtl/>
        </w:rPr>
        <w:t>)</w:t>
      </w:r>
      <w:r w:rsidRPr="00DA75F8">
        <w:rPr>
          <w:rtl/>
        </w:rPr>
        <w:t>.</w:t>
      </w:r>
    </w:p>
    <w:p w:rsidR="005F44B2" w:rsidRPr="00DA75F8" w:rsidRDefault="005F44B2" w:rsidP="007B6769">
      <w:pPr>
        <w:pStyle w:val="a0"/>
      </w:pPr>
      <w:r w:rsidRPr="00DA75F8">
        <w:rPr>
          <w:rFonts w:hint="cs"/>
          <w:rtl/>
        </w:rPr>
        <w:t>وجه</w:t>
      </w:r>
      <w:r w:rsidRPr="00DA75F8">
        <w:rPr>
          <w:rtl/>
        </w:rPr>
        <w:t xml:space="preserve"> الدلالة: نفاه عمر – رضي الله عنه – لافتتان النساء به وإن لم يكن بصنعه، وهذا فعل لمصلحة وهي منع الافتتان بسببه في دار الهجرة التي هي من أشرف البقاع، </w:t>
      </w:r>
      <w:r w:rsidRPr="00DA75F8">
        <w:rPr>
          <w:vertAlign w:val="superscript"/>
          <w:rtl/>
        </w:rPr>
        <w:t>(</w:t>
      </w:r>
      <w:r w:rsidRPr="00DA75F8">
        <w:rPr>
          <w:rStyle w:val="FootnoteReference"/>
          <w:rFonts w:cs="Arabic Transparent"/>
          <w:rtl/>
        </w:rPr>
        <w:footnoteReference w:id="200"/>
      </w:r>
      <w:r w:rsidRPr="00DA75F8">
        <w:rPr>
          <w:vertAlign w:val="superscript"/>
          <w:rtl/>
        </w:rPr>
        <w:t>)</w:t>
      </w:r>
      <w:r w:rsidRPr="00DA75F8">
        <w:rPr>
          <w:rtl/>
        </w:rPr>
        <w:t xml:space="preserve"> والمصلحة هي من غاية السياسة الشرعية.</w:t>
      </w:r>
    </w:p>
    <w:p w:rsidR="005F44B2" w:rsidRDefault="005F44B2" w:rsidP="007B6769">
      <w:pPr>
        <w:pStyle w:val="a0"/>
        <w:numPr>
          <w:ilvl w:val="0"/>
          <w:numId w:val="19"/>
        </w:numPr>
      </w:pPr>
      <w:r w:rsidRPr="00DA75F8">
        <w:rPr>
          <w:rFonts w:hint="cs"/>
          <w:rtl/>
        </w:rPr>
        <w:t>جمع</w:t>
      </w:r>
      <w:r w:rsidRPr="00DA75F8">
        <w:rPr>
          <w:rtl/>
        </w:rPr>
        <w:t xml:space="preserve"> القرآن الكريم بأمر أ</w:t>
      </w:r>
      <w:r w:rsidRPr="00DA75F8">
        <w:rPr>
          <w:rFonts w:hint="cs"/>
          <w:rtl/>
        </w:rPr>
        <w:t>بو</w:t>
      </w:r>
      <w:r w:rsidRPr="00DA75F8">
        <w:rPr>
          <w:rtl/>
        </w:rPr>
        <w:t xml:space="preserve"> بكر – رضي الله عنه –</w:t>
      </w:r>
      <w:r w:rsidRPr="00DA75F8">
        <w:rPr>
          <w:vertAlign w:val="superscript"/>
          <w:rtl/>
        </w:rPr>
        <w:t>(</w:t>
      </w:r>
      <w:r w:rsidRPr="00DA75F8">
        <w:rPr>
          <w:rStyle w:val="FootnoteReference"/>
          <w:rFonts w:cs="Arabic Transparent"/>
          <w:rtl/>
        </w:rPr>
        <w:footnoteReference w:id="201"/>
      </w:r>
      <w:r w:rsidRPr="00DA75F8">
        <w:rPr>
          <w:vertAlign w:val="superscript"/>
          <w:rtl/>
        </w:rPr>
        <w:t>)</w:t>
      </w:r>
      <w:r w:rsidRPr="00DA75F8">
        <w:rPr>
          <w:rtl/>
        </w:rPr>
        <w:t>.</w:t>
      </w:r>
    </w:p>
    <w:p w:rsidR="005F44B2" w:rsidRPr="00E86F19" w:rsidRDefault="005F44B2" w:rsidP="00E86F19">
      <w:pPr>
        <w:pStyle w:val="a0"/>
      </w:pPr>
      <w:r>
        <w:rPr>
          <w:rFonts w:hint="cs"/>
          <w:rtl/>
        </w:rPr>
        <w:t>ذكر</w:t>
      </w:r>
      <w:r>
        <w:rPr>
          <w:rtl/>
        </w:rPr>
        <w:t xml:space="preserve"> ابن عابدين فائدة جمع </w:t>
      </w:r>
      <w:r w:rsidRPr="00DA75F8">
        <w:rPr>
          <w:rFonts w:hint="cs"/>
          <w:rtl/>
        </w:rPr>
        <w:t>أبو</w:t>
      </w:r>
      <w:r w:rsidRPr="00DA75F8">
        <w:rPr>
          <w:rtl/>
        </w:rPr>
        <w:t xml:space="preserve"> بكر – رضي الله عنه –</w:t>
      </w:r>
      <w:r>
        <w:rPr>
          <w:rtl/>
        </w:rPr>
        <w:t xml:space="preserve"> القرآن، قد أفاد تصرفه بإختصاص امر عظيم حيث جمع </w:t>
      </w:r>
      <w:r w:rsidRPr="00B41CA0">
        <w:rPr>
          <w:rFonts w:hint="cs"/>
          <w:rtl/>
        </w:rPr>
        <w:t>القرآن</w:t>
      </w:r>
      <w:r w:rsidRPr="00B41CA0">
        <w:rPr>
          <w:rtl/>
        </w:rPr>
        <w:t xml:space="preserve"> بعد وفات</w:t>
      </w:r>
      <w:r>
        <w:rPr>
          <w:rtl/>
        </w:rPr>
        <w:t xml:space="preserve"> رسول الله – صلى الله عليه وسلم – وهو لم يجمع في حياته، وقال عنه أيضًا " ابتدأ أمرًا لم يسب</w:t>
      </w:r>
      <w:r>
        <w:rPr>
          <w:rFonts w:hint="cs"/>
          <w:rtl/>
        </w:rPr>
        <w:t>ق</w:t>
      </w:r>
      <w:r>
        <w:rPr>
          <w:rtl/>
        </w:rPr>
        <w:t xml:space="preserve"> إليه"</w:t>
      </w:r>
      <w:r>
        <w:rPr>
          <w:vertAlign w:val="superscript"/>
          <w:rtl/>
        </w:rPr>
        <w:t>(</w:t>
      </w:r>
      <w:r>
        <w:rPr>
          <w:rStyle w:val="FootnoteReference"/>
          <w:rFonts w:cs="Arabic Transparent"/>
          <w:rtl/>
        </w:rPr>
        <w:footnoteReference w:id="202"/>
      </w:r>
      <w:r>
        <w:rPr>
          <w:vertAlign w:val="superscript"/>
          <w:rtl/>
        </w:rPr>
        <w:t>)</w:t>
      </w:r>
      <w:r>
        <w:rPr>
          <w:rtl/>
        </w:rPr>
        <w:t>.</w:t>
      </w:r>
    </w:p>
    <w:p w:rsidR="005F44B2" w:rsidRPr="00DA75F8" w:rsidRDefault="005F44B2" w:rsidP="007B6769">
      <w:pPr>
        <w:pStyle w:val="a0"/>
      </w:pPr>
      <w:r w:rsidRPr="00DA75F8">
        <w:rPr>
          <w:rFonts w:hint="cs"/>
          <w:rtl/>
        </w:rPr>
        <w:t>وجه</w:t>
      </w:r>
      <w:r w:rsidRPr="00DA75F8">
        <w:rPr>
          <w:rtl/>
        </w:rPr>
        <w:t xml:space="preserve"> الدلالة: كان ا</w:t>
      </w:r>
      <w:r w:rsidRPr="00DA75F8">
        <w:rPr>
          <w:rFonts w:hint="cs"/>
          <w:rtl/>
        </w:rPr>
        <w:t>لقرآن</w:t>
      </w:r>
      <w:r w:rsidRPr="00DA75F8">
        <w:rPr>
          <w:rtl/>
        </w:rPr>
        <w:t xml:space="preserve"> مفرقًا في عهد أبي </w:t>
      </w:r>
      <w:r w:rsidRPr="00DA75F8">
        <w:rPr>
          <w:rFonts w:hint="cs"/>
          <w:rtl/>
        </w:rPr>
        <w:t>بكر</w:t>
      </w:r>
      <w:r w:rsidRPr="00DA75F8">
        <w:rPr>
          <w:rtl/>
        </w:rPr>
        <w:t xml:space="preserve"> الصديق – رضي الله عنه –</w:t>
      </w:r>
      <w:r w:rsidRPr="00DA75F8">
        <w:rPr>
          <w:rFonts w:hint="cs"/>
          <w:rtl/>
        </w:rPr>
        <w:t>،</w:t>
      </w:r>
      <w:r w:rsidRPr="00DA75F8">
        <w:rPr>
          <w:rtl/>
        </w:rPr>
        <w:t xml:space="preserve"> وقد أمر بجمع القرآن بعد استشهاد سبعين حافظ في حروب الردة بسبب خوفه أن يضيع شيء من القرآن، وأمره هذا من السياسة الشرعية.</w:t>
      </w:r>
    </w:p>
    <w:p w:rsidR="005F44B2" w:rsidRDefault="005F44B2" w:rsidP="007B6769">
      <w:pPr>
        <w:pStyle w:val="a0"/>
        <w:numPr>
          <w:ilvl w:val="0"/>
          <w:numId w:val="19"/>
        </w:numPr>
      </w:pPr>
      <w:r w:rsidRPr="00DA75F8">
        <w:rPr>
          <w:rFonts w:hint="cs"/>
          <w:rtl/>
        </w:rPr>
        <w:t>حرق</w:t>
      </w:r>
      <w:r w:rsidRPr="00DA75F8">
        <w:rPr>
          <w:rtl/>
        </w:rPr>
        <w:t xml:space="preserve"> عثمان – رضي الله عنه – المصاحف لما اختلف في القرآن، وجمع الأمة على مصحف واحد</w:t>
      </w:r>
      <w:r w:rsidRPr="00DA75F8">
        <w:rPr>
          <w:vertAlign w:val="superscript"/>
          <w:rtl/>
        </w:rPr>
        <w:t>(</w:t>
      </w:r>
      <w:r w:rsidRPr="00DA75F8">
        <w:rPr>
          <w:rStyle w:val="FootnoteReference"/>
          <w:rFonts w:cs="Arabic Transparent"/>
          <w:rtl/>
        </w:rPr>
        <w:footnoteReference w:id="203"/>
      </w:r>
      <w:r w:rsidRPr="00DA75F8">
        <w:rPr>
          <w:vertAlign w:val="superscript"/>
          <w:rtl/>
        </w:rPr>
        <w:t>)</w:t>
      </w:r>
      <w:r w:rsidRPr="00DA75F8">
        <w:rPr>
          <w:rtl/>
        </w:rPr>
        <w:t>.</w:t>
      </w:r>
    </w:p>
    <w:p w:rsidR="005F44B2" w:rsidRPr="002A20C2" w:rsidRDefault="005F44B2" w:rsidP="001A7A9A">
      <w:pPr>
        <w:pStyle w:val="a0"/>
      </w:pPr>
      <w:r>
        <w:rPr>
          <w:rFonts w:hint="cs"/>
          <w:rtl/>
        </w:rPr>
        <w:t>قد</w:t>
      </w:r>
      <w:r>
        <w:rPr>
          <w:rtl/>
        </w:rPr>
        <w:t xml:space="preserve"> أشار ابن عابدين إلى تصرف </w:t>
      </w:r>
      <w:r w:rsidRPr="00DA75F8">
        <w:rPr>
          <w:rFonts w:hint="cs"/>
          <w:rtl/>
        </w:rPr>
        <w:t>عثمان</w:t>
      </w:r>
      <w:r w:rsidRPr="00DA75F8">
        <w:rPr>
          <w:rtl/>
        </w:rPr>
        <w:t xml:space="preserve"> – رضي الله عنه –</w:t>
      </w:r>
      <w:r>
        <w:rPr>
          <w:rtl/>
        </w:rPr>
        <w:t xml:space="preserve"> بتجميع الأمة على مصحف واحد، وقال عن تجميعه أنه لمصلحة الأمة</w:t>
      </w:r>
      <w:r>
        <w:rPr>
          <w:vertAlign w:val="superscript"/>
          <w:rtl/>
        </w:rPr>
        <w:t>(</w:t>
      </w:r>
      <w:r>
        <w:rPr>
          <w:rStyle w:val="FootnoteReference"/>
          <w:rFonts w:cs="Arabic Transparent"/>
          <w:rtl/>
        </w:rPr>
        <w:footnoteReference w:id="204"/>
      </w:r>
      <w:r>
        <w:rPr>
          <w:vertAlign w:val="superscript"/>
          <w:rtl/>
        </w:rPr>
        <w:t>)</w:t>
      </w:r>
      <w:r>
        <w:rPr>
          <w:rtl/>
        </w:rPr>
        <w:t>.</w:t>
      </w:r>
    </w:p>
    <w:p w:rsidR="005F44B2" w:rsidRPr="00DA75F8" w:rsidRDefault="005F44B2" w:rsidP="007B6769">
      <w:pPr>
        <w:pStyle w:val="a0"/>
      </w:pPr>
      <w:r w:rsidRPr="00DA75F8">
        <w:rPr>
          <w:rFonts w:hint="cs"/>
          <w:rtl/>
        </w:rPr>
        <w:t>وجه</w:t>
      </w:r>
      <w:r w:rsidRPr="00DA75F8">
        <w:rPr>
          <w:rtl/>
        </w:rPr>
        <w:t xml:space="preserve"> الدلالة: ظهر الخلاف بين المسلمين في قراءة القرآن في عهد عثمان – رضي الله عنه – وقد عيّن مصحف حفصة بنت عمر أصلًا ونسخوه بأمره وحُرقتالمصاحف الأخرى، هذاالأم</w:t>
      </w:r>
      <w:r w:rsidRPr="00DA75F8">
        <w:rPr>
          <w:rFonts w:hint="cs"/>
          <w:rtl/>
        </w:rPr>
        <w:t>ر</w:t>
      </w:r>
      <w:r w:rsidRPr="00DA75F8">
        <w:rPr>
          <w:rtl/>
        </w:rPr>
        <w:t xml:space="preserve">  لمنع الخلاف بين المسلمين وجمعهم على مصحف واحد، وهذا أمرلمصلحة الأمة، وعُلم سابقًا أن مصلحة الأمة من السياسة الشرعية.</w:t>
      </w:r>
    </w:p>
    <w:p w:rsidR="005F44B2" w:rsidRPr="00DA75F8" w:rsidRDefault="005F44B2" w:rsidP="00CD5452">
      <w:pPr>
        <w:pStyle w:val="a3"/>
      </w:pPr>
      <w:bookmarkStart w:id="22" w:name="_Toc447092564"/>
      <w:r w:rsidRPr="00DA75F8">
        <w:rPr>
          <w:rFonts w:hint="cs"/>
          <w:rtl/>
        </w:rPr>
        <w:t>المطلب</w:t>
      </w:r>
      <w:r w:rsidRPr="00DA75F8">
        <w:rPr>
          <w:rtl/>
        </w:rPr>
        <w:t xml:space="preserve"> الثاني: طرق السياسة الشرعية</w:t>
      </w:r>
      <w:r>
        <w:rPr>
          <w:rtl/>
        </w:rPr>
        <w:t xml:space="preserve"> عند ابن عابدين</w:t>
      </w:r>
      <w:bookmarkEnd w:id="22"/>
    </w:p>
    <w:p w:rsidR="005F44B2" w:rsidRPr="00DA75F8" w:rsidRDefault="005F44B2" w:rsidP="008171A1">
      <w:pPr>
        <w:pStyle w:val="NoSpacing"/>
        <w:rPr>
          <w:rtl/>
        </w:rPr>
      </w:pPr>
      <w:r w:rsidRPr="00DA75F8">
        <w:rPr>
          <w:rFonts w:hint="cs"/>
          <w:rtl/>
        </w:rPr>
        <w:t>أولاً</w:t>
      </w:r>
      <w:r w:rsidRPr="00DA75F8">
        <w:rPr>
          <w:rtl/>
        </w:rPr>
        <w:t>: القياس</w:t>
      </w:r>
    </w:p>
    <w:p w:rsidR="005F44B2" w:rsidRPr="00DA75F8" w:rsidRDefault="005F44B2" w:rsidP="008171A1">
      <w:pPr>
        <w:pStyle w:val="NoSpacing"/>
        <w:rPr>
          <w:rtl/>
        </w:rPr>
      </w:pPr>
      <w:r w:rsidRPr="00DA75F8">
        <w:rPr>
          <w:rFonts w:hint="cs"/>
          <w:rtl/>
        </w:rPr>
        <w:t>لغةً</w:t>
      </w:r>
      <w:r w:rsidRPr="00DA75F8">
        <w:rPr>
          <w:rtl/>
        </w:rPr>
        <w:t xml:space="preserve">: </w:t>
      </w:r>
    </w:p>
    <w:p w:rsidR="005F44B2" w:rsidRPr="00DA75F8" w:rsidRDefault="005F44B2" w:rsidP="007B6769">
      <w:pPr>
        <w:pStyle w:val="a0"/>
        <w:rPr>
          <w:rtl/>
        </w:rPr>
      </w:pPr>
      <w:r w:rsidRPr="00DA75F8">
        <w:rPr>
          <w:rFonts w:hint="cs"/>
          <w:rtl/>
        </w:rPr>
        <w:t>قاسَ</w:t>
      </w:r>
      <w:r w:rsidRPr="00DA75F8">
        <w:rPr>
          <w:rtl/>
        </w:rPr>
        <w:t xml:space="preserve"> الشيء يَقيسُه قَيْساً و قياساً... وقاسَ الشيء يَقوسُه قَوْساً : لغة في قاسَه يَقِيسه . ويقال : قِسْته و قُسْته أَقُ</w:t>
      </w:r>
      <w:r w:rsidRPr="00DA75F8">
        <w:rPr>
          <w:rFonts w:hint="cs"/>
          <w:rtl/>
        </w:rPr>
        <w:t>وسُه</w:t>
      </w:r>
      <w:r w:rsidRPr="00DA75F8">
        <w:rPr>
          <w:rtl/>
        </w:rPr>
        <w:t xml:space="preserve"> قَوْساً و قِياساً... يقال : قَايَسْت بين شيئين إِذا قادَرْت بينهما</w:t>
      </w:r>
      <w:r w:rsidRPr="00DA75F8">
        <w:rPr>
          <w:vertAlign w:val="superscript"/>
          <w:rtl/>
        </w:rPr>
        <w:t>(</w:t>
      </w:r>
      <w:r w:rsidRPr="00DA75F8">
        <w:rPr>
          <w:rStyle w:val="FootnoteReference"/>
          <w:rFonts w:cs="Arabic Transparent"/>
          <w:rtl/>
        </w:rPr>
        <w:footnoteReference w:id="205"/>
      </w:r>
      <w:r w:rsidRPr="00DA75F8">
        <w:rPr>
          <w:vertAlign w:val="superscript"/>
          <w:rtl/>
        </w:rPr>
        <w:t>)</w:t>
      </w:r>
      <w:r w:rsidRPr="00DA75F8">
        <w:rPr>
          <w:rtl/>
        </w:rPr>
        <w:t>.</w:t>
      </w:r>
    </w:p>
    <w:p w:rsidR="005F44B2" w:rsidRPr="00DA75F8" w:rsidRDefault="005F44B2" w:rsidP="008171A1">
      <w:pPr>
        <w:pStyle w:val="NoSpacing"/>
      </w:pPr>
      <w:r w:rsidRPr="00DA75F8">
        <w:rPr>
          <w:rFonts w:hint="cs"/>
          <w:rtl/>
        </w:rPr>
        <w:t>اصطلاحًا</w:t>
      </w:r>
      <w:r w:rsidRPr="00DA75F8">
        <w:rPr>
          <w:rtl/>
        </w:rPr>
        <w:t>:</w:t>
      </w:r>
    </w:p>
    <w:p w:rsidR="005F44B2" w:rsidRPr="00DA75F8" w:rsidRDefault="005F44B2" w:rsidP="007B6769">
      <w:pPr>
        <w:pStyle w:val="a0"/>
        <w:rPr>
          <w:rtl/>
        </w:rPr>
      </w:pPr>
      <w:r w:rsidRPr="00DA75F8">
        <w:rPr>
          <w:rFonts w:hint="cs"/>
          <w:rtl/>
        </w:rPr>
        <w:t>عرّف</w:t>
      </w:r>
      <w:r w:rsidRPr="00DA75F8">
        <w:rPr>
          <w:rtl/>
        </w:rPr>
        <w:t xml:space="preserve"> الآمدي القياس بأنه: " عبارة عن الاستواء بين الفرع والأصل في العلة المستنبطة من حكم الأصل"</w:t>
      </w:r>
      <w:r w:rsidRPr="00DA75F8">
        <w:rPr>
          <w:vertAlign w:val="superscript"/>
          <w:rtl/>
        </w:rPr>
        <w:t>(</w:t>
      </w:r>
      <w:r w:rsidRPr="00DA75F8">
        <w:rPr>
          <w:rStyle w:val="FootnoteReference"/>
          <w:rFonts w:cs="Arabic Transparent"/>
          <w:rtl/>
        </w:rPr>
        <w:footnoteReference w:id="20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عرّفه</w:t>
      </w:r>
      <w:r w:rsidRPr="00DA75F8">
        <w:rPr>
          <w:rtl/>
        </w:rPr>
        <w:t xml:space="preserve"> الرازي بأنه: "ح</w:t>
      </w:r>
      <w:r w:rsidRPr="00DA75F8">
        <w:rPr>
          <w:rFonts w:hint="cs"/>
          <w:rtl/>
        </w:rPr>
        <w:t>مل</w:t>
      </w:r>
      <w:r w:rsidRPr="00DA75F8">
        <w:rPr>
          <w:rtl/>
        </w:rPr>
        <w:t xml:space="preserve"> معلوم على معلوم في إثبات حكم لهما أو نفيه عنهما بأمر جامع بينهما من إثبات حكم أو صفة أو نفيهما عنهما"</w:t>
      </w:r>
      <w:r w:rsidRPr="00DA75F8">
        <w:rPr>
          <w:vertAlign w:val="superscript"/>
          <w:rtl/>
        </w:rPr>
        <w:t>(</w:t>
      </w:r>
      <w:r w:rsidRPr="00DA75F8">
        <w:rPr>
          <w:rStyle w:val="FootnoteReference"/>
          <w:rFonts w:cs="Arabic Transparent"/>
          <w:rtl/>
        </w:rPr>
        <w:footnoteReference w:id="20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w:t>
      </w:r>
      <w:r w:rsidRPr="00DA75F8">
        <w:rPr>
          <w:rtl/>
        </w:rPr>
        <w:t xml:space="preserve"> الغزالي القياس بأنه: " حمل معلوم على معلوم في إثبات حكم لهما أو نفيه عنهما بأمر جامع بينهما من إثبات حكم أو صفة أو نفيهما عنهما"</w:t>
      </w:r>
      <w:r w:rsidRPr="00DA75F8">
        <w:rPr>
          <w:vertAlign w:val="superscript"/>
          <w:rtl/>
        </w:rPr>
        <w:t>(</w:t>
      </w:r>
      <w:r w:rsidRPr="00DA75F8">
        <w:rPr>
          <w:rStyle w:val="FootnoteReference"/>
          <w:rFonts w:cs="Arabic Transparent"/>
          <w:rtl/>
        </w:rPr>
        <w:footnoteReference w:id="20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عرّف</w:t>
      </w:r>
      <w:r w:rsidRPr="00DA75F8">
        <w:rPr>
          <w:rtl/>
        </w:rPr>
        <w:t xml:space="preserve"> ابن القيم القياس بأنه: " إعطاء النظير حكم نظيره"</w:t>
      </w:r>
      <w:r w:rsidRPr="00DA75F8">
        <w:rPr>
          <w:vertAlign w:val="superscript"/>
          <w:rtl/>
        </w:rPr>
        <w:t>(</w:t>
      </w:r>
      <w:r w:rsidRPr="00DA75F8">
        <w:rPr>
          <w:rStyle w:val="FootnoteReference"/>
          <w:rFonts w:cs="Arabic Transparent"/>
          <w:rtl/>
        </w:rPr>
        <w:footnoteReference w:id="209"/>
      </w:r>
      <w:r w:rsidRPr="00DA75F8">
        <w:rPr>
          <w:vertAlign w:val="superscript"/>
          <w:rtl/>
        </w:rPr>
        <w:t>)</w:t>
      </w:r>
      <w:r w:rsidRPr="00DA75F8">
        <w:rPr>
          <w:rtl/>
        </w:rPr>
        <w:t>.</w:t>
      </w:r>
    </w:p>
    <w:p w:rsidR="005F44B2" w:rsidRPr="007F3696" w:rsidRDefault="005F44B2" w:rsidP="004001E6">
      <w:pPr>
        <w:pStyle w:val="a0"/>
      </w:pPr>
      <w:r w:rsidRPr="00DA75F8">
        <w:rPr>
          <w:rFonts w:hint="cs"/>
          <w:rtl/>
        </w:rPr>
        <w:t>نلاحظ</w:t>
      </w:r>
      <w:r w:rsidRPr="00DA75F8">
        <w:rPr>
          <w:rtl/>
        </w:rPr>
        <w:t xml:space="preserve"> من التعاريف أن القياس إلحاق أمر غير منصوص عليه بأمر آخر نص عليه، ل</w:t>
      </w:r>
      <w:r w:rsidRPr="00DA75F8">
        <w:rPr>
          <w:rFonts w:hint="cs"/>
          <w:rtl/>
        </w:rPr>
        <w:t>اشتراكهما</w:t>
      </w:r>
      <w:r w:rsidRPr="00DA75F8">
        <w:rPr>
          <w:rtl/>
        </w:rPr>
        <w:t xml:space="preserve"> في العلة، إذن </w:t>
      </w:r>
      <w:r w:rsidRPr="00DA75F8">
        <w:rPr>
          <w:rFonts w:hint="cs"/>
          <w:rtl/>
        </w:rPr>
        <w:t>انطلاقًا</w:t>
      </w:r>
      <w:r w:rsidRPr="00DA75F8">
        <w:rPr>
          <w:rtl/>
        </w:rPr>
        <w:t xml:space="preserve"> من هذه النقطة يختلفالقياس عن السياسة الشرعية، ولكن لونظرنا من ناحية الاجتهاد فبأنّنا سنجد بينهما تشابهًا حيثُ أن القياس طريقة اجتهادية في إثبات الأحكام والحوادث المتجددة، </w:t>
      </w:r>
      <w:r>
        <w:rPr>
          <w:rFonts w:hint="cs"/>
          <w:rtl/>
        </w:rPr>
        <w:t>والاجتهاد</w:t>
      </w:r>
      <w:r>
        <w:rPr>
          <w:rtl/>
        </w:rPr>
        <w:t xml:space="preserve"> وسيلة السياسة الشرعية</w:t>
      </w:r>
      <w:r w:rsidRPr="00DA75F8">
        <w:rPr>
          <w:rFonts w:hint="cs"/>
          <w:rtl/>
        </w:rPr>
        <w:t>،</w:t>
      </w:r>
      <w:r w:rsidRPr="00DA75F8">
        <w:rPr>
          <w:rtl/>
        </w:rPr>
        <w:t xml:space="preserve"> فكلاهما – القياس والسياسة الشرعية -  يصل الى حكم امرٍ غير منصوص عليه (فالقياس لا نص يكون لما فيه فيلحق بما فيه نص، ودائمًا يوصِل إلى حكم غير منصوص عليه، أما السي</w:t>
      </w:r>
      <w:r w:rsidRPr="00DA75F8">
        <w:rPr>
          <w:rFonts w:hint="cs"/>
          <w:rtl/>
        </w:rPr>
        <w:t>اسة</w:t>
      </w:r>
      <w:r w:rsidRPr="00DA75F8">
        <w:rPr>
          <w:rtl/>
        </w:rPr>
        <w:t xml:space="preserve"> الشرعية فيتوصل بها إلى حكم منصوص عليه وغير منصوص عليه)، ومن المعروف إن السياسة الشرعية هي تدبير شؤون الرعية، وشؤون الأمة المتجددة والمتغيرة ومعظمها غير منصوص عليه، ويحتاج إلى الاجتهاد ليحكم عليهم، إذن الاجتهاد يربط بينهما، وقال مصطفى الزرقا: " أن نصوص الكتاب والسنة محدودة متناهية، والحوادثَ الواقعة المتوقَّعة غير متناهية. فلا سبيل إلى إعطاء الحوادث والمعاملات جديدة المنازلها وأحكامها في فقه الشريعة إلا عن طريق الاجتهاد بالرأي الذي رأسه القياس"</w:t>
      </w:r>
      <w:r w:rsidRPr="00DA75F8">
        <w:rPr>
          <w:vertAlign w:val="superscript"/>
          <w:rtl/>
        </w:rPr>
        <w:t>(</w:t>
      </w:r>
      <w:r w:rsidRPr="00DA75F8">
        <w:rPr>
          <w:rStyle w:val="FootnoteReference"/>
          <w:rFonts w:cs="Arabic Transparent"/>
          <w:rtl/>
        </w:rPr>
        <w:footnoteReference w:id="210"/>
      </w:r>
      <w:r w:rsidRPr="00DA75F8">
        <w:rPr>
          <w:vertAlign w:val="superscript"/>
          <w:rtl/>
        </w:rPr>
        <w:t>)</w:t>
      </w:r>
      <w:r w:rsidRPr="00DA75F8">
        <w:rPr>
          <w:rFonts w:hint="cs"/>
          <w:rtl/>
        </w:rPr>
        <w:t>،</w:t>
      </w:r>
      <w:r w:rsidRPr="00DA75F8">
        <w:rPr>
          <w:rtl/>
        </w:rPr>
        <w:t xml:space="preserve"> وقال: " فإنّ معظم الأحكام الفقهية في النوازل الجديدة إنما ثَبَت ويثبتُ بطريق القياس. مما تقدم يتضح ما للقياس من شأن عظيم في إثبات الأحكام واستنباطها. فهو طريق ضروري هام لتوسيع دائرة النصوص المحدودة حتى تشمل ما لايتناهي من الحوادث الجديدة"</w:t>
      </w:r>
      <w:r w:rsidRPr="00DA75F8">
        <w:rPr>
          <w:vertAlign w:val="superscript"/>
          <w:rtl/>
        </w:rPr>
        <w:t>(</w:t>
      </w:r>
      <w:r w:rsidRPr="00DA75F8">
        <w:rPr>
          <w:rStyle w:val="FootnoteReference"/>
          <w:rFonts w:cs="Arabic Transparent"/>
          <w:rtl/>
        </w:rPr>
        <w:footnoteReference w:id="211"/>
      </w:r>
      <w:r w:rsidRPr="00DA75F8">
        <w:rPr>
          <w:vertAlign w:val="superscript"/>
          <w:rtl/>
        </w:rPr>
        <w:t>)</w:t>
      </w:r>
      <w:r w:rsidRPr="00DA75F8">
        <w:rPr>
          <w:rtl/>
        </w:rPr>
        <w:t>.</w:t>
      </w:r>
      <w:r>
        <w:rPr>
          <w:rtl/>
        </w:rPr>
        <w:t xml:space="preserve"> وقالت الرفاعي: " قد نعتبر القياس من أدلة السياسة الشرعية لأن القياس من أهم طرق الاجتهاد في إثبات الأحكام للوقائع والحوادث المتجددة، وعليه فإن له دور في تدبير شؤون الرعية والأمة، وبه خروج من المآزق وحل للمشكلات التي لم يرد بها نص، و</w:t>
      </w:r>
      <w:r>
        <w:rPr>
          <w:rFonts w:hint="cs"/>
          <w:rtl/>
        </w:rPr>
        <w:t>عليه</w:t>
      </w:r>
      <w:r>
        <w:rPr>
          <w:rtl/>
        </w:rPr>
        <w:t xml:space="preserve"> فإن القياس طريق شرعي ضروري لتوسيع دائرة النصوص المحدودة"</w:t>
      </w:r>
      <w:r>
        <w:rPr>
          <w:rStyle w:val="FootnoteReference"/>
          <w:rFonts w:cs="Arabic Transparent"/>
          <w:rtl/>
        </w:rPr>
        <w:footnoteReference w:id="212"/>
      </w:r>
      <w:r w:rsidRPr="00DA75F8">
        <w:rPr>
          <w:rtl/>
        </w:rPr>
        <w:t xml:space="preserve"> وكل هذا يشير إلي أ</w:t>
      </w:r>
      <w:r>
        <w:rPr>
          <w:rFonts w:hint="cs"/>
          <w:rtl/>
        </w:rPr>
        <w:t>ن</w:t>
      </w:r>
      <w:r>
        <w:rPr>
          <w:rtl/>
        </w:rPr>
        <w:t xml:space="preserve"> القياس من طرق السياسة الشرعية من ناحية الاجتهاد، وقد أخذ ابن عابدين القياس في مجالات مختلفة، واستخدمها ليحكم في مسائل الفرعية، وأنه يقول عن القي</w:t>
      </w:r>
      <w:r>
        <w:rPr>
          <w:rFonts w:hint="cs"/>
          <w:rtl/>
        </w:rPr>
        <w:t>اس</w:t>
      </w:r>
      <w:r>
        <w:rPr>
          <w:rtl/>
        </w:rPr>
        <w:t xml:space="preserve"> أنه حجة</w:t>
      </w:r>
      <w:r>
        <w:rPr>
          <w:vertAlign w:val="superscript"/>
          <w:rtl/>
        </w:rPr>
        <w:t>(</w:t>
      </w:r>
      <w:r>
        <w:rPr>
          <w:rStyle w:val="FootnoteReference"/>
          <w:rFonts w:cs="Arabic Transparent"/>
          <w:rtl/>
        </w:rPr>
        <w:footnoteReference w:id="213"/>
      </w:r>
      <w:r>
        <w:rPr>
          <w:vertAlign w:val="superscript"/>
          <w:rtl/>
        </w:rPr>
        <w:t>)</w:t>
      </w:r>
      <w:r>
        <w:rPr>
          <w:rtl/>
        </w:rPr>
        <w:t>.</w:t>
      </w:r>
    </w:p>
    <w:p w:rsidR="005F44B2" w:rsidRPr="00DA75F8" w:rsidRDefault="005F44B2" w:rsidP="004001E6">
      <w:pPr>
        <w:pStyle w:val="a0"/>
        <w:rPr>
          <w:rtl/>
        </w:rPr>
      </w:pPr>
      <w:r w:rsidRPr="00DA75F8">
        <w:rPr>
          <w:rFonts w:hint="cs"/>
          <w:rtl/>
        </w:rPr>
        <w:t>وس</w:t>
      </w:r>
      <w:r>
        <w:rPr>
          <w:rFonts w:hint="cs"/>
          <w:rtl/>
        </w:rPr>
        <w:t>ي</w:t>
      </w:r>
      <w:r w:rsidRPr="00DA75F8">
        <w:rPr>
          <w:rFonts w:hint="cs"/>
          <w:rtl/>
        </w:rPr>
        <w:t>وضح</w:t>
      </w:r>
      <w:r>
        <w:rPr>
          <w:rtl/>
        </w:rPr>
        <w:t xml:space="preserve"> الباحث العلاقة القياس بالسياسة الشرعية</w:t>
      </w:r>
      <w:r w:rsidRPr="00DA75F8">
        <w:rPr>
          <w:rFonts w:hint="cs"/>
          <w:rtl/>
        </w:rPr>
        <w:t>بأمثلة</w:t>
      </w:r>
      <w:r w:rsidRPr="00DA75F8">
        <w:rPr>
          <w:rtl/>
        </w:rPr>
        <w:t xml:space="preserve"> معروفة:</w:t>
      </w:r>
    </w:p>
    <w:p w:rsidR="005F44B2" w:rsidRPr="00DA75F8" w:rsidRDefault="005F44B2" w:rsidP="007B6769">
      <w:pPr>
        <w:pStyle w:val="a0"/>
        <w:rPr>
          <w:rtl/>
        </w:rPr>
      </w:pPr>
      <w:r w:rsidRPr="00DA75F8">
        <w:rPr>
          <w:rFonts w:hint="cs"/>
          <w:rtl/>
        </w:rPr>
        <w:t>فمثلًا</w:t>
      </w:r>
      <w:r w:rsidRPr="00DA75F8">
        <w:rPr>
          <w:rtl/>
        </w:rPr>
        <w:t xml:space="preserve"> قياس المخدرات على الخمر؛إذ من المعروف أن شرب الخمر حرام بآيات القرآن</w:t>
      </w:r>
      <w:r w:rsidRPr="00DA75F8">
        <w:rPr>
          <w:vertAlign w:val="superscript"/>
          <w:rtl/>
        </w:rPr>
        <w:t>(</w:t>
      </w:r>
      <w:r w:rsidRPr="00DA75F8">
        <w:rPr>
          <w:rStyle w:val="FootnoteReference"/>
          <w:rFonts w:cs="Arabic Transparent"/>
          <w:rtl/>
        </w:rPr>
        <w:footnoteReference w:id="214"/>
      </w:r>
      <w:r w:rsidRPr="00DA75F8">
        <w:rPr>
          <w:vertAlign w:val="superscript"/>
          <w:rtl/>
        </w:rPr>
        <w:t>)</w:t>
      </w:r>
      <w:r w:rsidRPr="00DA75F8">
        <w:rPr>
          <w:rFonts w:hint="cs"/>
          <w:rtl/>
        </w:rPr>
        <w:t>،</w:t>
      </w:r>
      <w:r w:rsidRPr="00DA75F8">
        <w:rPr>
          <w:rtl/>
        </w:rPr>
        <w:t xml:space="preserve"> قيست الخمر على المخدرات لعلة مشتركة بينهما، وهي فقدان العقل والإسكار.</w:t>
      </w:r>
    </w:p>
    <w:p w:rsidR="005F44B2" w:rsidRPr="00DA75F8" w:rsidRDefault="005F44B2" w:rsidP="001317B5">
      <w:pPr>
        <w:pStyle w:val="a0"/>
        <w:rPr>
          <w:rtl/>
        </w:rPr>
      </w:pPr>
      <w:r w:rsidRPr="00DA75F8">
        <w:rPr>
          <w:rFonts w:hint="cs"/>
          <w:rtl/>
        </w:rPr>
        <w:t>والمخدرات</w:t>
      </w:r>
      <w:r w:rsidRPr="00DA75F8">
        <w:rPr>
          <w:rtl/>
        </w:rPr>
        <w:t xml:space="preserve"> متنوعة ويدخل تحتها مواد كثيرة، حيث تظهر مادة جديدة كل يوم، وكل هذه المواد كانت غير موجودة في زمن نبينا محمد – صلى الله عليه وسلم – ل</w:t>
      </w:r>
      <w:r w:rsidRPr="00DA75F8">
        <w:rPr>
          <w:rFonts w:hint="cs"/>
          <w:rtl/>
        </w:rPr>
        <w:t>ذا</w:t>
      </w:r>
      <w:r w:rsidRPr="00DA75F8">
        <w:rPr>
          <w:rtl/>
        </w:rPr>
        <w:t xml:space="preserve"> فهي غير منصوص عليها، وهذا يوجّهنا إلى القياس لنحكم عليها، وهكذا نصل إلى حكم المسألة الجديدة بناء على فكرة أن الضرر ممنوع فكل أنواع المخدرات حرام، وفي ذلك تدبير شؤون الأمة بما يصلحها وهذا يكونباتّخاذ إجراء بالمنع أو جزاءٍ عقوبةً وهو من السياسة الشرعية، ف</w:t>
      </w:r>
      <w:r>
        <w:rPr>
          <w:rFonts w:hint="cs"/>
          <w:rtl/>
        </w:rPr>
        <w:t>ت</w:t>
      </w:r>
      <w:r w:rsidRPr="00DA75F8">
        <w:rPr>
          <w:rFonts w:hint="cs"/>
          <w:rtl/>
        </w:rPr>
        <w:t>كون</w:t>
      </w:r>
      <w:r w:rsidRPr="00DA75F8">
        <w:rPr>
          <w:rtl/>
        </w:rPr>
        <w:t xml:space="preserve"> </w:t>
      </w:r>
      <w:r>
        <w:rPr>
          <w:rFonts w:hint="cs"/>
          <w:rtl/>
        </w:rPr>
        <w:t>نتيجة</w:t>
      </w:r>
      <w:r w:rsidRPr="00DA75F8">
        <w:rPr>
          <w:rFonts w:hint="cs"/>
          <w:rtl/>
        </w:rPr>
        <w:t>القياسسياسة</w:t>
      </w:r>
      <w:r w:rsidRPr="00DA75F8">
        <w:rPr>
          <w:rtl/>
        </w:rPr>
        <w:t xml:space="preserve"> شرعية.</w:t>
      </w:r>
    </w:p>
    <w:p w:rsidR="005F44B2" w:rsidRPr="00DA75F8" w:rsidRDefault="005F44B2" w:rsidP="008171A1">
      <w:pPr>
        <w:pStyle w:val="NoSpacing"/>
        <w:rPr>
          <w:rtl/>
        </w:rPr>
      </w:pPr>
      <w:r w:rsidRPr="00DA75F8">
        <w:rPr>
          <w:rFonts w:hint="cs"/>
          <w:rtl/>
        </w:rPr>
        <w:t>ثانيًا</w:t>
      </w:r>
      <w:r w:rsidRPr="00DA75F8">
        <w:rPr>
          <w:rtl/>
        </w:rPr>
        <w:t>: المصلحة المرسلة</w:t>
      </w:r>
    </w:p>
    <w:p w:rsidR="005F44B2" w:rsidRPr="00DA75F8" w:rsidRDefault="005F44B2" w:rsidP="008171A1">
      <w:pPr>
        <w:pStyle w:val="NoSpacing"/>
        <w:rPr>
          <w:rtl/>
        </w:rPr>
      </w:pPr>
      <w:r w:rsidRPr="00DA75F8">
        <w:rPr>
          <w:rFonts w:hint="cs"/>
          <w:rtl/>
        </w:rPr>
        <w:t>لغةً</w:t>
      </w:r>
      <w:r w:rsidRPr="00DA75F8">
        <w:rPr>
          <w:rtl/>
        </w:rPr>
        <w:t>:</w:t>
      </w:r>
    </w:p>
    <w:p w:rsidR="005F44B2" w:rsidRPr="00DA75F8" w:rsidRDefault="005F44B2" w:rsidP="00C94C10">
      <w:pPr>
        <w:pStyle w:val="a0"/>
        <w:rPr>
          <w:rtl/>
        </w:rPr>
      </w:pPr>
      <w:r w:rsidRPr="00DA75F8">
        <w:rPr>
          <w:rFonts w:hint="cs"/>
          <w:rtl/>
        </w:rPr>
        <w:t>صَلَحَ</w:t>
      </w:r>
      <w:r w:rsidRPr="00DA75F8">
        <w:rPr>
          <w:rtl/>
        </w:rPr>
        <w:t>: الصَّلاح: ضِدُّ الْفَسَادِ؛ صَلَح يَصْلَحُ ويَصْلُح صَلاحاً وصُلُوحاً...وَالْجَمْعُ صُلَحاءُ وصُلُوحٌ... والإِصلاح: نَقِيضُ الإِفساد. والمَصْلَحة: الصَّلاحُ. والمَصلَحة وَاحِدَةُ الْمَصَالِحِ. والاسْتِصْلاح: نَقِيضُ الِاسْتِفْسَادِ. وأَصْلَح الشيءَ بَعْدَ فَسَادِهِ : أَقامه... والصُّلْحُ: تَصالُح الْقَوْمِ بَيْنَه</w:t>
      </w:r>
      <w:r w:rsidRPr="00DA75F8">
        <w:rPr>
          <w:rFonts w:hint="cs"/>
          <w:rtl/>
        </w:rPr>
        <w:t>ُمْ</w:t>
      </w:r>
      <w:r w:rsidRPr="00DA75F8">
        <w:rPr>
          <w:rtl/>
        </w:rPr>
        <w:t>. والصُّلْحُ: السِّلْ</w:t>
      </w:r>
      <w:r w:rsidRPr="00DA75F8">
        <w:rPr>
          <w:rFonts w:hint="cs"/>
          <w:rtl/>
        </w:rPr>
        <w:t>م</w:t>
      </w:r>
      <w:r w:rsidRPr="00DA75F8">
        <w:rPr>
          <w:vertAlign w:val="superscript"/>
          <w:rtl/>
        </w:rPr>
        <w:t>(</w:t>
      </w:r>
      <w:r w:rsidRPr="00DA75F8">
        <w:rPr>
          <w:rStyle w:val="FootnoteReference"/>
          <w:rFonts w:cs="Arabic Transparent"/>
          <w:rtl/>
        </w:rPr>
        <w:footnoteReference w:id="215"/>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اصطلاحًا</w:t>
      </w:r>
      <w:r w:rsidRPr="00DA75F8">
        <w:rPr>
          <w:rtl/>
        </w:rPr>
        <w:t>:</w:t>
      </w:r>
    </w:p>
    <w:p w:rsidR="005F44B2" w:rsidRPr="00DA75F8" w:rsidRDefault="005F44B2" w:rsidP="00DA2A99">
      <w:pPr>
        <w:pStyle w:val="a0"/>
        <w:rPr>
          <w:rtl/>
        </w:rPr>
      </w:pPr>
      <w:r w:rsidRPr="00DA75F8">
        <w:rPr>
          <w:rtl/>
        </w:rPr>
        <w:t>" قال ابن ب</w:t>
      </w:r>
      <w:r>
        <w:rPr>
          <w:rFonts w:hint="cs"/>
          <w:rtl/>
        </w:rPr>
        <w:t>َ</w:t>
      </w:r>
      <w:r w:rsidRPr="00DA75F8">
        <w:rPr>
          <w:rFonts w:hint="cs"/>
          <w:rtl/>
        </w:rPr>
        <w:t>رهان</w:t>
      </w:r>
      <w:r>
        <w:rPr>
          <w:vertAlign w:val="superscript"/>
          <w:rtl/>
        </w:rPr>
        <w:t>(</w:t>
      </w:r>
      <w:r>
        <w:rPr>
          <w:rStyle w:val="FootnoteReference"/>
          <w:rFonts w:cs="Arabic Transparent"/>
          <w:rtl/>
        </w:rPr>
        <w:footnoteReference w:id="216"/>
      </w:r>
      <w:r>
        <w:rPr>
          <w:vertAlign w:val="superscript"/>
          <w:rtl/>
        </w:rPr>
        <w:t>)</w:t>
      </w:r>
      <w:r w:rsidRPr="00DA75F8">
        <w:rPr>
          <w:rtl/>
        </w:rPr>
        <w:t>: هي ما لا تستند إلى أصل كلي ولا جزئي "</w:t>
      </w:r>
      <w:r w:rsidRPr="00DA75F8">
        <w:rPr>
          <w:vertAlign w:val="superscript"/>
          <w:rtl/>
        </w:rPr>
        <w:t>(</w:t>
      </w:r>
      <w:r w:rsidRPr="00DA75F8">
        <w:rPr>
          <w:rStyle w:val="FootnoteReference"/>
          <w:rFonts w:cs="Arabic Transparent"/>
          <w:rtl/>
        </w:rPr>
        <w:footnoteReference w:id="217"/>
      </w:r>
      <w:r w:rsidRPr="00DA75F8">
        <w:rPr>
          <w:vertAlign w:val="superscript"/>
          <w:rtl/>
        </w:rPr>
        <w:t>)</w:t>
      </w:r>
      <w:r w:rsidRPr="00DA75F8">
        <w:rPr>
          <w:rtl/>
        </w:rPr>
        <w:t>.</w:t>
      </w:r>
    </w:p>
    <w:p w:rsidR="005F44B2" w:rsidRPr="00DA75F8" w:rsidRDefault="005F44B2" w:rsidP="007B6769">
      <w:pPr>
        <w:pStyle w:val="a0"/>
      </w:pPr>
      <w:r w:rsidRPr="00DA75F8">
        <w:rPr>
          <w:rFonts w:hint="cs"/>
          <w:rtl/>
        </w:rPr>
        <w:t>عرّفها</w:t>
      </w:r>
      <w:r w:rsidRPr="00DA75F8">
        <w:rPr>
          <w:rtl/>
        </w:rPr>
        <w:t xml:space="preserve"> الغزالي بأنها: " جلب المنفعة أو دفع المضرة"</w:t>
      </w:r>
      <w:r w:rsidRPr="00DA75F8">
        <w:rPr>
          <w:vertAlign w:val="superscript"/>
          <w:rtl/>
        </w:rPr>
        <w:t>(</w:t>
      </w:r>
      <w:r w:rsidRPr="00DA75F8">
        <w:rPr>
          <w:rStyle w:val="FootnoteReference"/>
          <w:rFonts w:cs="Arabic Transparent"/>
          <w:rtl/>
        </w:rPr>
        <w:footnoteReference w:id="21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عرّفها</w:t>
      </w:r>
      <w:r w:rsidRPr="00DA75F8">
        <w:rPr>
          <w:rtl/>
        </w:rPr>
        <w:t xml:space="preserve"> الآمدي بأنها : " ما لم يشهد له أصل من أصول الشريعة بالاعتبار بطر</w:t>
      </w:r>
      <w:r w:rsidRPr="00DA75F8">
        <w:rPr>
          <w:rFonts w:hint="cs"/>
          <w:rtl/>
        </w:rPr>
        <w:t>يق</w:t>
      </w:r>
      <w:r w:rsidRPr="00DA75F8">
        <w:rPr>
          <w:rtl/>
        </w:rPr>
        <w:t xml:space="preserve"> من الطرق المذكورة ولا </w:t>
      </w:r>
      <w:r w:rsidRPr="00DA75F8">
        <w:rPr>
          <w:rFonts w:hint="cs"/>
          <w:rtl/>
        </w:rPr>
        <w:t>ظهر</w:t>
      </w:r>
      <w:r w:rsidRPr="00DA75F8">
        <w:rPr>
          <w:rtl/>
        </w:rPr>
        <w:t xml:space="preserve"> إلغاؤه في صورة "</w:t>
      </w:r>
      <w:r w:rsidRPr="00DA75F8">
        <w:rPr>
          <w:vertAlign w:val="superscript"/>
          <w:rtl/>
        </w:rPr>
        <w:t>(</w:t>
      </w:r>
      <w:r w:rsidRPr="00DA75F8">
        <w:rPr>
          <w:rStyle w:val="FootnoteReference"/>
          <w:rFonts w:cs="Arabic Transparent"/>
          <w:rtl/>
        </w:rPr>
        <w:footnoteReference w:id="219"/>
      </w:r>
      <w:r w:rsidRPr="00DA75F8">
        <w:rPr>
          <w:vertAlign w:val="superscript"/>
          <w:rtl/>
        </w:rPr>
        <w:t>)</w:t>
      </w:r>
      <w:r w:rsidRPr="00DA75F8">
        <w:rPr>
          <w:rtl/>
        </w:rPr>
        <w:t xml:space="preserve"> ولكن عبرعنها بالمناسب المرسل.</w:t>
      </w:r>
    </w:p>
    <w:p w:rsidR="005F44B2" w:rsidRPr="00DA75F8" w:rsidRDefault="005F44B2" w:rsidP="007B6769">
      <w:pPr>
        <w:pStyle w:val="a0"/>
        <w:rPr>
          <w:rtl/>
        </w:rPr>
      </w:pPr>
      <w:r w:rsidRPr="00DA75F8">
        <w:rPr>
          <w:rFonts w:hint="cs"/>
          <w:rtl/>
        </w:rPr>
        <w:t>وقد</w:t>
      </w:r>
      <w:r w:rsidRPr="00DA75F8">
        <w:rPr>
          <w:rtl/>
        </w:rPr>
        <w:t xml:space="preserve"> ورد في نصوص ابن عابدين ما يشير إلى أنه حكم بالمصلحة في مسائل كثيرة ومختلفة، كما لُوحِظعندهربطُ بين </w:t>
      </w:r>
      <w:r w:rsidRPr="00DA75F8">
        <w:rPr>
          <w:rFonts w:hint="cs"/>
          <w:rtl/>
        </w:rPr>
        <w:t>المصلحة</w:t>
      </w:r>
      <w:r w:rsidRPr="00DA75F8">
        <w:rPr>
          <w:rtl/>
        </w:rPr>
        <w:t xml:space="preserve"> والسياسة، وكان ربطه كما يلي:</w:t>
      </w:r>
    </w:p>
    <w:p w:rsidR="005F44B2" w:rsidRPr="00DA75F8" w:rsidRDefault="005F44B2" w:rsidP="007B6769">
      <w:pPr>
        <w:pStyle w:val="a0"/>
        <w:rPr>
          <w:rtl/>
        </w:rPr>
      </w:pPr>
      <w:r w:rsidRPr="00DA75F8">
        <w:rPr>
          <w:rFonts w:hint="cs"/>
          <w:rtl/>
        </w:rPr>
        <w:t>ذكر</w:t>
      </w:r>
      <w:r w:rsidRPr="00DA75F8">
        <w:rPr>
          <w:rtl/>
        </w:rPr>
        <w:t xml:space="preserve"> ابن عابدين في حاشيته أن الإمام إذا رأى المصلحة في الحد،فله الحق أن يزيد على الحد المقدّر حتى أنه منالممكن أن يقتل الفاعل بسبب المصلحة، وسُمي هذا القتل ((القتل سياسةً))</w:t>
      </w:r>
      <w:r w:rsidRPr="00DA75F8">
        <w:rPr>
          <w:vertAlign w:val="superscript"/>
          <w:rtl/>
        </w:rPr>
        <w:t>(</w:t>
      </w:r>
      <w:r w:rsidRPr="00DA75F8">
        <w:rPr>
          <w:rStyle w:val="FootnoteReference"/>
          <w:rFonts w:cs="Arabic Transparent"/>
          <w:rtl/>
        </w:rPr>
        <w:footnoteReference w:id="22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مثال</w:t>
      </w:r>
      <w:r w:rsidRPr="00DA75F8">
        <w:rPr>
          <w:rtl/>
        </w:rPr>
        <w:t xml:space="preserve"> آخر وهو رواية عن عمر – رضي الله عنه –</w:t>
      </w:r>
      <w:r w:rsidRPr="00DA75F8">
        <w:rPr>
          <w:rFonts w:hint="cs"/>
          <w:rtl/>
        </w:rPr>
        <w:t>أنه</w:t>
      </w:r>
      <w:r w:rsidRPr="00DA75F8">
        <w:rPr>
          <w:rtl/>
        </w:rPr>
        <w:t xml:space="preserve"> قال عن شاهد الزور يُسخَّم</w:t>
      </w:r>
      <w:r>
        <w:rPr>
          <w:vertAlign w:val="superscript"/>
          <w:rtl/>
        </w:rPr>
        <w:t>(</w:t>
      </w:r>
      <w:r>
        <w:rPr>
          <w:rStyle w:val="FootnoteReference"/>
          <w:rFonts w:cs="Arabic Transparent"/>
          <w:rtl/>
        </w:rPr>
        <w:footnoteReference w:id="221"/>
      </w:r>
      <w:r>
        <w:rPr>
          <w:vertAlign w:val="superscript"/>
          <w:rtl/>
        </w:rPr>
        <w:t>)</w:t>
      </w:r>
      <w:r w:rsidRPr="00DA75F8">
        <w:rPr>
          <w:rtl/>
        </w:rPr>
        <w:t xml:space="preserve"> وجهه، وبيان هذا القول أن هذا التسخيم من باب السياسة إذا رأى المصلحة</w:t>
      </w:r>
      <w:r w:rsidRPr="00DA75F8">
        <w:rPr>
          <w:vertAlign w:val="superscript"/>
          <w:rtl/>
        </w:rPr>
        <w:t>(</w:t>
      </w:r>
      <w:r w:rsidRPr="00DA75F8">
        <w:rPr>
          <w:rStyle w:val="FootnoteReference"/>
          <w:rFonts w:cs="Arabic Transparent"/>
          <w:rtl/>
        </w:rPr>
        <w:footnoteReference w:id="222"/>
      </w:r>
      <w:r w:rsidRPr="00DA75F8">
        <w:rPr>
          <w:vertAlign w:val="superscript"/>
          <w:rtl/>
        </w:rPr>
        <w:t>)</w:t>
      </w:r>
      <w:r w:rsidRPr="00DA75F8">
        <w:rPr>
          <w:rtl/>
        </w:rPr>
        <w:t>.</w:t>
      </w:r>
    </w:p>
    <w:p w:rsidR="005F44B2" w:rsidRPr="00DA75F8" w:rsidRDefault="005F44B2" w:rsidP="007B6769">
      <w:pPr>
        <w:pStyle w:val="a0"/>
      </w:pPr>
      <w:r w:rsidRPr="00DA75F8">
        <w:rPr>
          <w:rFonts w:hint="cs"/>
          <w:rtl/>
        </w:rPr>
        <w:t>ويلاحظ</w:t>
      </w:r>
      <w:r w:rsidRPr="00DA75F8">
        <w:rPr>
          <w:rtl/>
        </w:rPr>
        <w:t xml:space="preserve"> من المثالين السابقين أن ابن عابدين قد أقام علاقةً بين المصلحة والسياسة، وسيبين الباحث هذين المثالين في الفصل الثالث وسيضربأمثلة</w:t>
      </w:r>
      <w:r>
        <w:rPr>
          <w:rtl/>
        </w:rPr>
        <w:t xml:space="preserve"> أكثر إن شاء الله.</w:t>
      </w:r>
    </w:p>
    <w:p w:rsidR="005F44B2" w:rsidRPr="00DA75F8" w:rsidRDefault="005F44B2" w:rsidP="008171A1">
      <w:pPr>
        <w:pStyle w:val="NoSpacing"/>
        <w:rPr>
          <w:rtl/>
        </w:rPr>
      </w:pPr>
      <w:r w:rsidRPr="00DA75F8">
        <w:rPr>
          <w:rFonts w:hint="cs"/>
          <w:rtl/>
        </w:rPr>
        <w:t>ثالثًا</w:t>
      </w:r>
      <w:r w:rsidRPr="00DA75F8">
        <w:rPr>
          <w:rtl/>
        </w:rPr>
        <w:t>: سد الذرائع</w:t>
      </w:r>
    </w:p>
    <w:p w:rsidR="005F44B2" w:rsidRPr="00DA75F8" w:rsidRDefault="005F44B2" w:rsidP="008171A1">
      <w:pPr>
        <w:pStyle w:val="NoSpacing"/>
        <w:rPr>
          <w:rtl/>
        </w:rPr>
      </w:pPr>
      <w:r w:rsidRPr="00DA75F8">
        <w:rPr>
          <w:rFonts w:hint="cs"/>
          <w:rtl/>
        </w:rPr>
        <w:t>لغة</w:t>
      </w:r>
      <w:r w:rsidRPr="00DA75F8">
        <w:rPr>
          <w:rtl/>
        </w:rPr>
        <w:t>:</w:t>
      </w:r>
    </w:p>
    <w:p w:rsidR="005F44B2" w:rsidRPr="00DA75F8" w:rsidRDefault="005F44B2" w:rsidP="007B6769">
      <w:pPr>
        <w:pStyle w:val="a0"/>
        <w:rPr>
          <w:rtl/>
        </w:rPr>
      </w:pPr>
      <w:r w:rsidRPr="00DA75F8">
        <w:rPr>
          <w:rFonts w:hint="cs"/>
          <w:rtl/>
        </w:rPr>
        <w:t>السَّدُّ</w:t>
      </w:r>
      <w:r w:rsidRPr="00DA75F8">
        <w:rPr>
          <w:rtl/>
        </w:rPr>
        <w:t xml:space="preserve"> إِغلاق الخَلَلِ ورَدْمُ الثَّلْمِ سَدَّه يَسُدُّه سَدّاً فانسدّ واستدّ وسدّده أَصلحه وأَوثقه والاسم السُّدُّ... السَّدُّ مصدر قولك سَدَدْتُ الشيء سَدّاً والسَّدُّ والسُّدّ الجبل والحاجز</w:t>
      </w:r>
      <w:r w:rsidRPr="00DA75F8">
        <w:rPr>
          <w:vertAlign w:val="superscript"/>
          <w:rtl/>
        </w:rPr>
        <w:t>(</w:t>
      </w:r>
      <w:r w:rsidRPr="00DA75F8">
        <w:rPr>
          <w:rStyle w:val="FootnoteReference"/>
          <w:rFonts w:cs="Arabic Transparent"/>
          <w:rtl/>
        </w:rPr>
        <w:footnoteReference w:id="22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الذريعة</w:t>
      </w:r>
      <w:r w:rsidRPr="00DA75F8">
        <w:rPr>
          <w:rtl/>
        </w:rPr>
        <w:t xml:space="preserve"> لغة: " الوسيلة وقد تَذَرَّع فلان بذَريعةٍ أَي توسَّل والجمع الذرائعُ... الذريعةُ السبَبُ إِلى الشيء وأَصله من ذلك الجمل يقال فلان ذَرِيعتي إِليك أَي سَبَبي ووُصْلَتي الذي أَتسبب به إ</w:t>
      </w:r>
      <w:r w:rsidRPr="00DA75F8">
        <w:rPr>
          <w:rFonts w:hint="cs"/>
          <w:rtl/>
        </w:rPr>
        <w:t>ِليك</w:t>
      </w:r>
      <w:r w:rsidRPr="00DA75F8">
        <w:rPr>
          <w:rtl/>
        </w:rPr>
        <w:t>"</w:t>
      </w:r>
      <w:r w:rsidRPr="00DA75F8">
        <w:rPr>
          <w:vertAlign w:val="superscript"/>
          <w:rtl/>
        </w:rPr>
        <w:t>(</w:t>
      </w:r>
      <w:r w:rsidRPr="00DA75F8">
        <w:rPr>
          <w:rStyle w:val="FootnoteReference"/>
          <w:rFonts w:cs="Arabic Transparent"/>
          <w:rtl/>
        </w:rPr>
        <w:footnoteReference w:id="224"/>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اصطلاحًا</w:t>
      </w:r>
      <w:r w:rsidRPr="00DA75F8">
        <w:rPr>
          <w:rtl/>
        </w:rPr>
        <w:t>:</w:t>
      </w:r>
    </w:p>
    <w:p w:rsidR="005F44B2" w:rsidRPr="00DA75F8" w:rsidRDefault="005F44B2" w:rsidP="007B6769">
      <w:pPr>
        <w:pStyle w:val="a0"/>
      </w:pPr>
      <w:r w:rsidRPr="00DA75F8">
        <w:rPr>
          <w:rFonts w:hint="cs"/>
          <w:rtl/>
        </w:rPr>
        <w:t>كان</w:t>
      </w:r>
      <w:r w:rsidRPr="00DA75F8">
        <w:rPr>
          <w:rtl/>
        </w:rPr>
        <w:t xml:space="preserve"> تعريف الشاطبي ل</w:t>
      </w:r>
      <w:r w:rsidRPr="00DA75F8">
        <w:rPr>
          <w:rFonts w:hint="cs"/>
          <w:rtl/>
        </w:rPr>
        <w:t>لذريعة</w:t>
      </w:r>
      <w:r w:rsidRPr="00DA75F8">
        <w:rPr>
          <w:rtl/>
        </w:rPr>
        <w:t xml:space="preserve"> هو: " التوسل بما هو مصلحة إلى مفسدة"</w:t>
      </w:r>
      <w:r w:rsidRPr="00DA75F8">
        <w:rPr>
          <w:vertAlign w:val="superscript"/>
          <w:rtl/>
        </w:rPr>
        <w:t>(</w:t>
      </w:r>
      <w:r w:rsidRPr="00DA75F8">
        <w:rPr>
          <w:rStyle w:val="FootnoteReference"/>
          <w:rFonts w:cs="Arabic Transparent"/>
          <w:rtl/>
        </w:rPr>
        <w:footnoteReference w:id="22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وقال</w:t>
      </w:r>
      <w:r w:rsidRPr="00DA75F8">
        <w:rPr>
          <w:rtl/>
        </w:rPr>
        <w:t xml:space="preserve"> الإمام القرافي: " ومعناه حسم مادة وسائل الفساد دفعا لها فمتى كان الفعل السالم عن المفسدة وسيلة للمفسدة منع مالك من ذلك الفعل في كثير من الصور"</w:t>
      </w:r>
      <w:r w:rsidRPr="00DA75F8">
        <w:rPr>
          <w:vertAlign w:val="superscript"/>
          <w:rtl/>
        </w:rPr>
        <w:t>(</w:t>
      </w:r>
      <w:r w:rsidRPr="00DA75F8">
        <w:rPr>
          <w:rStyle w:val="FootnoteReference"/>
          <w:rFonts w:cs="Arabic Transparent"/>
          <w:rtl/>
        </w:rPr>
        <w:footnoteReference w:id="22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عرفها</w:t>
      </w:r>
      <w:r w:rsidRPr="00DA75F8">
        <w:rPr>
          <w:rtl/>
        </w:rPr>
        <w:t xml:space="preserve"> ا</w:t>
      </w:r>
      <w:r w:rsidRPr="00DA75F8">
        <w:rPr>
          <w:rFonts w:hint="cs"/>
          <w:rtl/>
        </w:rPr>
        <w:t>بن</w:t>
      </w:r>
      <w:r w:rsidRPr="00DA75F8">
        <w:rPr>
          <w:rtl/>
        </w:rPr>
        <w:t xml:space="preserve"> القيم: " أن الله تعال</w:t>
      </w:r>
      <w:r w:rsidRPr="00DA75F8">
        <w:rPr>
          <w:rFonts w:hint="cs"/>
          <w:rtl/>
        </w:rPr>
        <w:t>ى</w:t>
      </w:r>
      <w:r w:rsidRPr="00DA75F8">
        <w:rPr>
          <w:rtl/>
        </w:rPr>
        <w:t xml:space="preserve"> ورسوله سد الذرائع المفضية إلى المحارم بأن حرمها ونهى عنها، والذريعة: ما كان وسيلة وطريقا إلى الشيء"</w:t>
      </w:r>
      <w:r w:rsidRPr="00DA75F8">
        <w:rPr>
          <w:vertAlign w:val="superscript"/>
          <w:rtl/>
        </w:rPr>
        <w:t>(</w:t>
      </w:r>
      <w:r w:rsidRPr="00DA75F8">
        <w:rPr>
          <w:rStyle w:val="FootnoteReference"/>
          <w:rFonts w:cs="Arabic Transparent"/>
          <w:rtl/>
        </w:rPr>
        <w:footnoteReference w:id="227"/>
      </w:r>
      <w:r w:rsidRPr="00DA75F8">
        <w:rPr>
          <w:vertAlign w:val="superscript"/>
          <w:rtl/>
        </w:rPr>
        <w:t>)</w:t>
      </w:r>
      <w:r w:rsidRPr="00DA75F8">
        <w:rPr>
          <w:rtl/>
        </w:rPr>
        <w:t>.</w:t>
      </w:r>
    </w:p>
    <w:p w:rsidR="005F44B2" w:rsidRPr="00DA75F8" w:rsidRDefault="005F44B2" w:rsidP="00C92183">
      <w:pPr>
        <w:pStyle w:val="a0"/>
        <w:rPr>
          <w:rtl/>
        </w:rPr>
      </w:pPr>
      <w:r w:rsidRPr="00DA75F8">
        <w:rPr>
          <w:rFonts w:hint="cs"/>
          <w:rtl/>
        </w:rPr>
        <w:t>أما</w:t>
      </w:r>
      <w:r w:rsidRPr="00DA75F8">
        <w:rPr>
          <w:rtl/>
        </w:rPr>
        <w:t xml:space="preserve"> الشوكاني فعرفها بكونها: " المسألة التي ظاهرها الإباحة، ويتوصل بها إلى فعل المحظور"</w:t>
      </w:r>
      <w:r w:rsidRPr="00DA75F8">
        <w:rPr>
          <w:vertAlign w:val="superscript"/>
          <w:rtl/>
        </w:rPr>
        <w:t>(</w:t>
      </w:r>
      <w:r w:rsidRPr="00DA75F8">
        <w:rPr>
          <w:rStyle w:val="FootnoteReference"/>
          <w:rFonts w:cs="Arabic Transparent"/>
          <w:rtl/>
        </w:rPr>
        <w:footnoteReference w:id="228"/>
      </w:r>
      <w:r w:rsidRPr="00DA75F8">
        <w:rPr>
          <w:vertAlign w:val="superscript"/>
          <w:rtl/>
        </w:rPr>
        <w:t>)</w:t>
      </w:r>
      <w:r w:rsidRPr="00DA75F8">
        <w:rPr>
          <w:rtl/>
        </w:rPr>
        <w:t>.</w:t>
      </w:r>
    </w:p>
    <w:p w:rsidR="005F44B2" w:rsidRPr="00DA75F8" w:rsidRDefault="005F44B2" w:rsidP="007B6769">
      <w:pPr>
        <w:pStyle w:val="a0"/>
      </w:pPr>
      <w:r w:rsidRPr="00DA75F8">
        <w:rPr>
          <w:rFonts w:hint="cs"/>
          <w:rtl/>
        </w:rPr>
        <w:t>ومن</w:t>
      </w:r>
      <w:r w:rsidRPr="00DA75F8">
        <w:rPr>
          <w:rtl/>
        </w:rPr>
        <w:t xml:space="preserve"> أمثلة سد الذرائع عند ابن عابدين أنه يرى حرمة إحداث الخلوات في </w:t>
      </w:r>
      <w:r w:rsidRPr="00DA75F8">
        <w:rPr>
          <w:rFonts w:hint="cs"/>
          <w:rtl/>
        </w:rPr>
        <w:t>المساجد</w:t>
      </w:r>
      <w:r w:rsidRPr="00DA75F8">
        <w:rPr>
          <w:rtl/>
        </w:rPr>
        <w:t xml:space="preserve"> مع أن إحداث الخلوات مسموح، وقد أشار إلى أن سبب حرمتها هو تقذير المسجد بسبب الطبخ أو الغسل أو غير ذلك وقال: " رأيت تأليفًا مستقلًا في المنع من ذلك"</w:t>
      </w:r>
      <w:r w:rsidRPr="00DA75F8">
        <w:rPr>
          <w:vertAlign w:val="superscript"/>
          <w:rtl/>
        </w:rPr>
        <w:t>(</w:t>
      </w:r>
      <w:r w:rsidRPr="00DA75F8">
        <w:rPr>
          <w:rStyle w:val="FootnoteReference"/>
          <w:rFonts w:cs="Arabic Transparent"/>
          <w:rtl/>
        </w:rPr>
        <w:footnoteReference w:id="229"/>
      </w:r>
      <w:r w:rsidRPr="00DA75F8">
        <w:rPr>
          <w:vertAlign w:val="superscript"/>
          <w:rtl/>
        </w:rPr>
        <w:t>)</w:t>
      </w:r>
      <w:r w:rsidRPr="00DA75F8">
        <w:rPr>
          <w:rtl/>
        </w:rPr>
        <w:t>.</w:t>
      </w:r>
    </w:p>
    <w:p w:rsidR="005F44B2" w:rsidRPr="00DA75F8" w:rsidRDefault="005F44B2" w:rsidP="007B6769">
      <w:pPr>
        <w:pStyle w:val="a0"/>
        <w:rPr>
          <w:rtl/>
        </w:rPr>
      </w:pPr>
      <w:r>
        <w:rPr>
          <w:rFonts w:hint="cs"/>
          <w:rtl/>
        </w:rPr>
        <w:t>و</w:t>
      </w:r>
      <w:r w:rsidRPr="00DA75F8">
        <w:rPr>
          <w:rFonts w:hint="cs"/>
          <w:rtl/>
        </w:rPr>
        <w:t>تجد</w:t>
      </w:r>
      <w:r w:rsidRPr="00DA75F8">
        <w:rPr>
          <w:rtl/>
        </w:rPr>
        <w:t xml:space="preserve"> الإشارة إلى العلاقة التي ذكرهافتحي الدريني بين سد الذرائع والسياسة الشرعية حيث قال: " فكل من معيار سد الذرائع والمصالح المرسلة إذن هو أساس معظم النظم والتشريعات التي تقوم عليها سياسة التشريع في الدولة، فيما خلا ما وردت فهي النصوص الخاصة أو اتفق عليه الإجماع أو شهدت بأحكامها الأقيسة الصحيحة"</w:t>
      </w:r>
      <w:r w:rsidRPr="00DA75F8">
        <w:rPr>
          <w:vertAlign w:val="superscript"/>
          <w:rtl/>
        </w:rPr>
        <w:t>(</w:t>
      </w:r>
      <w:r w:rsidRPr="00DA75F8">
        <w:rPr>
          <w:rStyle w:val="FootnoteReference"/>
          <w:rFonts w:cs="Arabic Transparent"/>
          <w:rtl/>
        </w:rPr>
        <w:footnoteReference w:id="23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إذن</w:t>
      </w:r>
      <w:r w:rsidRPr="00DA75F8">
        <w:rPr>
          <w:rtl/>
        </w:rPr>
        <w:t xml:space="preserve"> فسدّ الذرائع هو أحد الخطط التشريعيّة التي يستند إليها العمل بالسياسة الشرعية.</w:t>
      </w:r>
    </w:p>
    <w:p w:rsidR="005F44B2" w:rsidRPr="00DA75F8" w:rsidRDefault="005F44B2" w:rsidP="008171A1">
      <w:pPr>
        <w:pStyle w:val="NoSpacing"/>
        <w:rPr>
          <w:rtl/>
        </w:rPr>
      </w:pPr>
      <w:r w:rsidRPr="00DA75F8">
        <w:rPr>
          <w:rFonts w:hint="cs"/>
          <w:rtl/>
        </w:rPr>
        <w:t>رابعًا</w:t>
      </w:r>
      <w:r w:rsidRPr="00DA75F8">
        <w:rPr>
          <w:rtl/>
        </w:rPr>
        <w:t xml:space="preserve">: </w:t>
      </w:r>
      <w:r>
        <w:rPr>
          <w:rFonts w:hint="cs"/>
          <w:rtl/>
        </w:rPr>
        <w:t>الا</w:t>
      </w:r>
      <w:r w:rsidRPr="00DA75F8">
        <w:rPr>
          <w:rFonts w:hint="cs"/>
          <w:rtl/>
        </w:rPr>
        <w:t>ستحسان</w:t>
      </w:r>
    </w:p>
    <w:p w:rsidR="005F44B2" w:rsidRPr="00DA75F8" w:rsidRDefault="005F44B2" w:rsidP="008171A1">
      <w:pPr>
        <w:pStyle w:val="NoSpacing"/>
        <w:rPr>
          <w:rtl/>
        </w:rPr>
      </w:pPr>
      <w:r w:rsidRPr="00DA75F8">
        <w:rPr>
          <w:rFonts w:hint="cs"/>
          <w:rtl/>
        </w:rPr>
        <w:t>لغة</w:t>
      </w:r>
      <w:r w:rsidRPr="00DA75F8">
        <w:rPr>
          <w:rtl/>
        </w:rPr>
        <w:t xml:space="preserve">: </w:t>
      </w:r>
    </w:p>
    <w:p w:rsidR="005F44B2" w:rsidRPr="00DA75F8" w:rsidRDefault="005F44B2" w:rsidP="007B6769">
      <w:pPr>
        <w:pStyle w:val="a0"/>
        <w:rPr>
          <w:rtl/>
        </w:rPr>
      </w:pPr>
      <w:r w:rsidRPr="00DA75F8">
        <w:rPr>
          <w:rFonts w:hint="cs"/>
          <w:rtl/>
        </w:rPr>
        <w:t>الحُسْنُ</w:t>
      </w:r>
      <w:r w:rsidRPr="00DA75F8">
        <w:rPr>
          <w:rtl/>
        </w:rPr>
        <w:t xml:space="preserve"> ضدُّ القُبْح ونقيضه</w:t>
      </w:r>
      <w:r w:rsidRPr="00DA75F8">
        <w:rPr>
          <w:vertAlign w:val="superscript"/>
          <w:rtl/>
        </w:rPr>
        <w:t>(</w:t>
      </w:r>
      <w:r w:rsidRPr="00DA75F8">
        <w:rPr>
          <w:rStyle w:val="FootnoteReference"/>
          <w:rFonts w:cs="Arabic Transparent"/>
          <w:rtl/>
        </w:rPr>
        <w:footnoteReference w:id="231"/>
      </w:r>
      <w:r w:rsidRPr="00DA75F8">
        <w:rPr>
          <w:vertAlign w:val="superscript"/>
          <w:rtl/>
        </w:rPr>
        <w:t>)</w:t>
      </w:r>
      <w:r w:rsidRPr="00DA75F8">
        <w:rPr>
          <w:rtl/>
        </w:rPr>
        <w:t>... استفعال من الحسن</w:t>
      </w:r>
      <w:r w:rsidRPr="00DA75F8">
        <w:rPr>
          <w:vertAlign w:val="superscript"/>
          <w:rtl/>
        </w:rPr>
        <w:t>(</w:t>
      </w:r>
      <w:r w:rsidRPr="00DA75F8">
        <w:rPr>
          <w:rStyle w:val="FootnoteReference"/>
          <w:rFonts w:cs="Arabic Transparent"/>
          <w:rtl/>
        </w:rPr>
        <w:footnoteReference w:id="232"/>
      </w:r>
      <w:r w:rsidRPr="00DA75F8">
        <w:rPr>
          <w:vertAlign w:val="superscript"/>
          <w:rtl/>
        </w:rPr>
        <w:t>)</w:t>
      </w:r>
      <w:r w:rsidRPr="00DA75F8">
        <w:rPr>
          <w:rtl/>
        </w:rPr>
        <w:t xml:space="preserve">... وجود الشيء حسنا يقول الرجل استحسنت كذا أي اعتقدته حسنا على ضد </w:t>
      </w:r>
      <w:r w:rsidRPr="00DA75F8">
        <w:rPr>
          <w:rFonts w:hint="cs"/>
          <w:rtl/>
        </w:rPr>
        <w:t>الاستقباح</w:t>
      </w:r>
      <w:r w:rsidRPr="00DA75F8">
        <w:rPr>
          <w:rtl/>
        </w:rPr>
        <w:t xml:space="preserve"> أو معناه طلب ا</w:t>
      </w:r>
      <w:r w:rsidRPr="00DA75F8">
        <w:rPr>
          <w:rFonts w:hint="cs"/>
          <w:rtl/>
        </w:rPr>
        <w:t>لأحسن</w:t>
      </w:r>
      <w:r w:rsidRPr="00DA75F8">
        <w:rPr>
          <w:rtl/>
        </w:rPr>
        <w:t xml:space="preserve"> للاتباع الذي هو مأمور به</w:t>
      </w:r>
      <w:r w:rsidRPr="00DA75F8">
        <w:rPr>
          <w:vertAlign w:val="superscript"/>
          <w:rtl/>
        </w:rPr>
        <w:t>(</w:t>
      </w:r>
      <w:r w:rsidRPr="00DA75F8">
        <w:rPr>
          <w:rStyle w:val="FootnoteReference"/>
          <w:rFonts w:cs="Arabic Transparent"/>
          <w:rtl/>
        </w:rPr>
        <w:footnoteReference w:id="233"/>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اصطلاحًا</w:t>
      </w:r>
      <w:r w:rsidRPr="00DA75F8">
        <w:rPr>
          <w:rtl/>
        </w:rPr>
        <w:t>:</w:t>
      </w:r>
    </w:p>
    <w:p w:rsidR="005F44B2" w:rsidRPr="00DA75F8" w:rsidRDefault="005F44B2" w:rsidP="007B6769">
      <w:pPr>
        <w:pStyle w:val="a0"/>
        <w:rPr>
          <w:rtl/>
        </w:rPr>
      </w:pPr>
      <w:r w:rsidRPr="00DA75F8">
        <w:rPr>
          <w:rFonts w:hint="cs"/>
          <w:rtl/>
        </w:rPr>
        <w:t>قد</w:t>
      </w:r>
      <w:r w:rsidRPr="00DA75F8">
        <w:rPr>
          <w:rtl/>
        </w:rPr>
        <w:t xml:space="preserve"> عرف العلماء الاستحسان اصطلاحا بتعاريف عدة وكثر الاختلاف بينهم في ذلك، ونذكر هنا بعضًا من تلك التعاريف:</w:t>
      </w:r>
    </w:p>
    <w:p w:rsidR="005F44B2" w:rsidRDefault="005F44B2" w:rsidP="00C955C7">
      <w:pPr>
        <w:pStyle w:val="a0"/>
        <w:rPr>
          <w:rtl/>
        </w:rPr>
      </w:pPr>
      <w:r w:rsidRPr="00DA75F8">
        <w:rPr>
          <w:rFonts w:hint="cs"/>
          <w:rtl/>
        </w:rPr>
        <w:t>عرف</w:t>
      </w:r>
      <w:r w:rsidRPr="00DA75F8">
        <w:rPr>
          <w:rtl/>
        </w:rPr>
        <w:t xml:space="preserve"> حسن الكرخي الاستحسان بأنه : " الاستحسان هو العدول في مسألة عن مثل ما حكم به في نظائرها إلى خلافه لوجه هو أقوى"</w:t>
      </w:r>
      <w:r w:rsidRPr="00DA75F8">
        <w:rPr>
          <w:vertAlign w:val="superscript"/>
          <w:rtl/>
        </w:rPr>
        <w:t>(</w:t>
      </w:r>
      <w:r w:rsidRPr="00DA75F8">
        <w:rPr>
          <w:rStyle w:val="FootnoteReference"/>
          <w:rFonts w:cs="Arabic Transparent"/>
          <w:rtl/>
        </w:rPr>
        <w:footnoteReference w:id="234"/>
      </w:r>
      <w:r w:rsidRPr="00DA75F8">
        <w:rPr>
          <w:vertAlign w:val="superscript"/>
          <w:rtl/>
        </w:rPr>
        <w:t>)</w:t>
      </w:r>
      <w:r w:rsidRPr="00DA75F8">
        <w:rPr>
          <w:rtl/>
        </w:rPr>
        <w:t>.</w:t>
      </w:r>
    </w:p>
    <w:p w:rsidR="005F44B2" w:rsidRPr="00DA75F8" w:rsidRDefault="005F44B2" w:rsidP="00C955C7">
      <w:pPr>
        <w:pStyle w:val="a0"/>
        <w:rPr>
          <w:rtl/>
        </w:rPr>
      </w:pPr>
      <w:r w:rsidRPr="00DA75F8">
        <w:rPr>
          <w:rFonts w:hint="cs"/>
          <w:rtl/>
        </w:rPr>
        <w:t>وقال</w:t>
      </w:r>
      <w:r w:rsidRPr="00DA75F8">
        <w:rPr>
          <w:rtl/>
        </w:rPr>
        <w:t xml:space="preserve"> بعض الحنفية: " الاستحسان هو القياس الخفي"</w:t>
      </w:r>
      <w:r w:rsidRPr="00DA75F8">
        <w:rPr>
          <w:vertAlign w:val="superscript"/>
          <w:rtl/>
        </w:rPr>
        <w:t>(</w:t>
      </w:r>
      <w:r w:rsidRPr="00DA75F8">
        <w:rPr>
          <w:rStyle w:val="FootnoteReference"/>
          <w:rFonts w:cs="Arabic Transparent"/>
          <w:rtl/>
        </w:rPr>
        <w:footnoteReference w:id="23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w:t>
      </w:r>
      <w:r w:rsidRPr="00DA75F8">
        <w:rPr>
          <w:rtl/>
        </w:rPr>
        <w:t xml:space="preserve"> ابن قدامة بأنه: " العدول بحكم المسألة عن نظائرها لدليل خاص من كتاب أو سنة"</w:t>
      </w:r>
      <w:r w:rsidRPr="00DA75F8">
        <w:rPr>
          <w:vertAlign w:val="superscript"/>
          <w:rtl/>
        </w:rPr>
        <w:t>(</w:t>
      </w:r>
      <w:r w:rsidRPr="00DA75F8">
        <w:rPr>
          <w:rStyle w:val="FootnoteReference"/>
          <w:rFonts w:cs="Arabic Transparent"/>
          <w:rtl/>
        </w:rPr>
        <w:footnoteReference w:id="23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ونقل</w:t>
      </w:r>
      <w:r w:rsidRPr="00DA75F8">
        <w:rPr>
          <w:rtl/>
        </w:rPr>
        <w:t xml:space="preserve"> التفت</w:t>
      </w:r>
      <w:r>
        <w:rPr>
          <w:rFonts w:hint="cs"/>
          <w:rtl/>
        </w:rPr>
        <w:t>ا</w:t>
      </w:r>
      <w:r w:rsidRPr="00DA75F8">
        <w:rPr>
          <w:rFonts w:hint="cs"/>
          <w:rtl/>
        </w:rPr>
        <w:t>زاني</w:t>
      </w:r>
      <w:r w:rsidRPr="00DA75F8">
        <w:rPr>
          <w:rtl/>
        </w:rPr>
        <w:t xml:space="preserve"> تعريفًا فقال: " قيل هو دليل ينقدح في نفس المجتهد يعسر عليه التعبير عنه</w:t>
      </w:r>
      <w:r>
        <w:rPr>
          <w:rFonts w:hint="cs"/>
          <w:rtl/>
        </w:rPr>
        <w:t>،</w:t>
      </w:r>
      <w:r w:rsidRPr="00DA75F8">
        <w:rPr>
          <w:rFonts w:hint="cs"/>
          <w:rtl/>
        </w:rPr>
        <w:t>وقيل</w:t>
      </w:r>
      <w:r w:rsidRPr="00DA75F8">
        <w:rPr>
          <w:rtl/>
        </w:rPr>
        <w:t xml:space="preserve"> هو العدول عن ق</w:t>
      </w:r>
      <w:r w:rsidRPr="00DA75F8">
        <w:rPr>
          <w:rFonts w:hint="cs"/>
          <w:rtl/>
        </w:rPr>
        <w:t>ياس</w:t>
      </w:r>
      <w:r w:rsidRPr="00DA75F8">
        <w:rPr>
          <w:rtl/>
        </w:rPr>
        <w:t xml:space="preserve"> إلى قياس أقوى"</w:t>
      </w:r>
      <w:r w:rsidRPr="00DA75F8">
        <w:rPr>
          <w:vertAlign w:val="superscript"/>
          <w:rtl/>
        </w:rPr>
        <w:t>(</w:t>
      </w:r>
      <w:r w:rsidRPr="00DA75F8">
        <w:rPr>
          <w:rStyle w:val="FootnoteReference"/>
          <w:rFonts w:cs="Arabic Transparent"/>
          <w:rtl/>
        </w:rPr>
        <w:footnoteReference w:id="237"/>
      </w:r>
      <w:r w:rsidRPr="00DA75F8">
        <w:rPr>
          <w:vertAlign w:val="superscript"/>
          <w:rtl/>
        </w:rPr>
        <w:t>)</w:t>
      </w:r>
      <w:r w:rsidRPr="00DA75F8">
        <w:rPr>
          <w:rtl/>
        </w:rPr>
        <w:t>.</w:t>
      </w:r>
    </w:p>
    <w:p w:rsidR="005F44B2" w:rsidRPr="00DA75F8" w:rsidRDefault="005F44B2" w:rsidP="007B6769">
      <w:pPr>
        <w:pStyle w:val="a0"/>
        <w:rPr>
          <w:rtl/>
        </w:rPr>
      </w:pPr>
      <w:r w:rsidRPr="00DA75F8">
        <w:rPr>
          <w:rtl/>
        </w:rPr>
        <w:t>"وقال بعضهم: هو تخصيص قياس بدليل أقوى منه"</w:t>
      </w:r>
      <w:r w:rsidRPr="00DA75F8">
        <w:rPr>
          <w:vertAlign w:val="superscript"/>
          <w:rtl/>
        </w:rPr>
        <w:t>(</w:t>
      </w:r>
      <w:r w:rsidRPr="00DA75F8">
        <w:rPr>
          <w:rStyle w:val="FootnoteReference"/>
          <w:rFonts w:cs="Arabic Transparent"/>
          <w:rtl/>
        </w:rPr>
        <w:footnoteReference w:id="238"/>
      </w:r>
      <w:r w:rsidRPr="00DA75F8">
        <w:rPr>
          <w:vertAlign w:val="superscript"/>
          <w:rtl/>
        </w:rPr>
        <w:t>)</w:t>
      </w:r>
      <w:r w:rsidRPr="00DA75F8">
        <w:rPr>
          <w:rtl/>
        </w:rPr>
        <w:t>.</w:t>
      </w:r>
    </w:p>
    <w:p w:rsidR="005F44B2" w:rsidRDefault="005F44B2" w:rsidP="007B6769">
      <w:pPr>
        <w:pStyle w:val="a0"/>
        <w:rPr>
          <w:rtl/>
        </w:rPr>
      </w:pPr>
      <w:r w:rsidRPr="00DA75F8">
        <w:rPr>
          <w:rFonts w:hint="cs"/>
          <w:rtl/>
        </w:rPr>
        <w:t>وقال</w:t>
      </w:r>
      <w:r w:rsidRPr="00DA75F8">
        <w:rPr>
          <w:rtl/>
        </w:rPr>
        <w:t xml:space="preserve"> ابن عابدين : " الاستحسان كما قال الكرخي: قطع المسألة عن نظائرها لما هو أقوى، وذلك الأقو</w:t>
      </w:r>
      <w:r w:rsidRPr="00DA75F8">
        <w:rPr>
          <w:rFonts w:hint="cs"/>
          <w:rtl/>
        </w:rPr>
        <w:t>ى</w:t>
      </w:r>
      <w:r w:rsidRPr="00DA75F8">
        <w:rPr>
          <w:rtl/>
        </w:rPr>
        <w:t xml:space="preserve"> هو دليل يقابل القياس الجلي الذي تسبق إليه أفهام المجتهدين نصا كان أو إجماعا أو قياسا خفيا"</w:t>
      </w:r>
      <w:r w:rsidRPr="00DA75F8">
        <w:rPr>
          <w:vertAlign w:val="superscript"/>
          <w:rtl/>
        </w:rPr>
        <w:t>(</w:t>
      </w:r>
      <w:r w:rsidRPr="00DA75F8">
        <w:rPr>
          <w:rStyle w:val="FootnoteReference"/>
          <w:rFonts w:cs="Arabic Transparent"/>
          <w:rtl/>
        </w:rPr>
        <w:footnoteReference w:id="239"/>
      </w:r>
      <w:r w:rsidRPr="00DA75F8">
        <w:rPr>
          <w:vertAlign w:val="superscript"/>
          <w:rtl/>
        </w:rPr>
        <w:t>)</w:t>
      </w:r>
      <w:r w:rsidRPr="00DA75F8">
        <w:rPr>
          <w:rtl/>
        </w:rPr>
        <w:t>.</w:t>
      </w:r>
    </w:p>
    <w:p w:rsidR="005F44B2" w:rsidRPr="00F71988" w:rsidRDefault="005F44B2" w:rsidP="003606CA">
      <w:pPr>
        <w:pStyle w:val="a0"/>
        <w:rPr>
          <w:rtl/>
        </w:rPr>
      </w:pPr>
      <w:r>
        <w:rPr>
          <w:rFonts w:hint="cs"/>
          <w:rtl/>
        </w:rPr>
        <w:t>ويُلحظ</w:t>
      </w:r>
      <w:r>
        <w:rPr>
          <w:rtl/>
        </w:rPr>
        <w:t xml:space="preserve"> من التعريفات أنّ الاستحسان يُستخدم لعدول من الحكم الذي وُصل إليه بالقياس بسبب وجود دليل أقوى منه، وهدف من الاستحسان هو وصول إلى نتيجة صحيحة من ناحية الشرع في المسألة، ويقول عبد الرحمن الكيلاني عن عدول في الاستحسان "العدول حفاظاً على مقصود الشارع في تحقيق مصالحالناس ودفع الفساد والحرج عنهم"</w:t>
      </w:r>
      <w:r>
        <w:rPr>
          <w:vertAlign w:val="superscript"/>
          <w:rtl/>
        </w:rPr>
        <w:t>(</w:t>
      </w:r>
      <w:r>
        <w:rPr>
          <w:rStyle w:val="FootnoteReference"/>
          <w:rFonts w:cs="Arabic Transparent"/>
          <w:rtl/>
        </w:rPr>
        <w:footnoteReference w:id="240"/>
      </w:r>
      <w:r>
        <w:rPr>
          <w:vertAlign w:val="superscript"/>
          <w:rtl/>
        </w:rPr>
        <w:t>)</w:t>
      </w:r>
      <w:r>
        <w:rPr>
          <w:rFonts w:hint="cs"/>
          <w:rtl/>
        </w:rPr>
        <w:t>،</w:t>
      </w:r>
      <w:r>
        <w:rPr>
          <w:rtl/>
        </w:rPr>
        <w:t xml:space="preserve"> ونتيجة من ذلكقد عرفنا أ</w:t>
      </w:r>
      <w:r>
        <w:rPr>
          <w:rFonts w:hint="cs"/>
          <w:rtl/>
        </w:rPr>
        <w:t>ن</w:t>
      </w:r>
      <w:r>
        <w:rPr>
          <w:rtl/>
        </w:rPr>
        <w:t xml:space="preserve"> مصلحة الأمة، ودفع الحرج والفساد عنهم من مرتكزات السياسة الشرعية، إذن أن الاستحسان من طرق السياسة الشرعية.</w:t>
      </w:r>
    </w:p>
    <w:p w:rsidR="005F44B2" w:rsidRPr="00DA75F8" w:rsidRDefault="005F44B2" w:rsidP="006319FF">
      <w:pPr>
        <w:pStyle w:val="NoSpacing"/>
        <w:keepNext/>
        <w:rPr>
          <w:rtl/>
        </w:rPr>
      </w:pPr>
      <w:r w:rsidRPr="00DA75F8">
        <w:rPr>
          <w:rFonts w:hint="cs"/>
          <w:rtl/>
        </w:rPr>
        <w:t>خامسًا</w:t>
      </w:r>
      <w:r w:rsidRPr="00DA75F8">
        <w:rPr>
          <w:rtl/>
        </w:rPr>
        <w:t>: العرف</w:t>
      </w:r>
    </w:p>
    <w:p w:rsidR="005F44B2" w:rsidRPr="00DA75F8" w:rsidRDefault="005F44B2" w:rsidP="007B6769">
      <w:pPr>
        <w:pStyle w:val="a0"/>
        <w:rPr>
          <w:rtl/>
        </w:rPr>
      </w:pPr>
      <w:r w:rsidRPr="00DA75F8">
        <w:rPr>
          <w:rFonts w:hint="cs"/>
          <w:rtl/>
        </w:rPr>
        <w:t>وقد</w:t>
      </w:r>
      <w:r w:rsidRPr="00DA75F8">
        <w:rPr>
          <w:rtl/>
        </w:rPr>
        <w:t xml:space="preserve"> وردت فيه تعريفات متعددة، وسنذكر بعضاً منها وسنقدّم لكم آراء ابن عابدين حول العرف من رسالته التي نُشرت باسم " </w:t>
      </w:r>
      <w:r w:rsidRPr="00DA75F8">
        <w:rPr>
          <w:rFonts w:ascii="Calibri" w:hAnsi="Calibri" w:hint="cs"/>
          <w:rtl/>
        </w:rPr>
        <w:t>نشر</w:t>
      </w:r>
      <w:r w:rsidRPr="00DA75F8">
        <w:rPr>
          <w:rFonts w:ascii="Calibri" w:hAnsi="Calibri"/>
          <w:rtl/>
        </w:rPr>
        <w:t xml:space="preserve"> </w:t>
      </w:r>
      <w:r w:rsidRPr="00DA75F8">
        <w:rPr>
          <w:rFonts w:ascii="Calibri" w:hAnsi="Calibri" w:hint="cs"/>
          <w:rtl/>
        </w:rPr>
        <w:t>العرف</w:t>
      </w:r>
      <w:r w:rsidRPr="00DA75F8">
        <w:rPr>
          <w:rFonts w:ascii="Calibri" w:hAnsi="Calibri"/>
          <w:rtl/>
        </w:rPr>
        <w:t xml:space="preserve"> </w:t>
      </w:r>
      <w:r w:rsidRPr="00DA75F8">
        <w:rPr>
          <w:rFonts w:ascii="Calibri" w:hAnsi="Calibri" w:hint="cs"/>
          <w:rtl/>
        </w:rPr>
        <w:t>في</w:t>
      </w:r>
      <w:r w:rsidRPr="00DA75F8">
        <w:rPr>
          <w:rFonts w:ascii="Calibri" w:hAnsi="Calibri"/>
          <w:rtl/>
        </w:rPr>
        <w:t xml:space="preserve"> </w:t>
      </w:r>
      <w:r w:rsidRPr="00DA75F8">
        <w:rPr>
          <w:rFonts w:ascii="Calibri" w:hAnsi="Calibri" w:hint="cs"/>
          <w:rtl/>
        </w:rPr>
        <w:t>بناء</w:t>
      </w:r>
      <w:r w:rsidRPr="00DA75F8">
        <w:rPr>
          <w:rFonts w:ascii="Calibri" w:hAnsi="Calibri"/>
          <w:rtl/>
        </w:rPr>
        <w:t xml:space="preserve"> </w:t>
      </w:r>
      <w:r w:rsidRPr="00DA75F8">
        <w:rPr>
          <w:rFonts w:ascii="Calibri" w:hAnsi="Calibri" w:hint="cs"/>
          <w:rtl/>
        </w:rPr>
        <w:t>بعض</w:t>
      </w:r>
      <w:r w:rsidRPr="00DA75F8">
        <w:rPr>
          <w:rFonts w:ascii="Calibri" w:hAnsi="Calibri"/>
          <w:rtl/>
        </w:rPr>
        <w:t xml:space="preserve"> </w:t>
      </w:r>
      <w:r w:rsidRPr="00DA75F8">
        <w:rPr>
          <w:rFonts w:ascii="Calibri" w:hAnsi="Calibri" w:hint="cs"/>
          <w:rtl/>
        </w:rPr>
        <w:t>الأحكام</w:t>
      </w:r>
      <w:r w:rsidRPr="00DA75F8">
        <w:rPr>
          <w:rFonts w:ascii="Calibri" w:hAnsi="Calibri"/>
          <w:rtl/>
        </w:rPr>
        <w:t xml:space="preserve"> </w:t>
      </w:r>
      <w:r w:rsidRPr="00DA75F8">
        <w:rPr>
          <w:rFonts w:ascii="Calibri" w:hAnsi="Calibri" w:hint="cs"/>
          <w:rtl/>
        </w:rPr>
        <w:t>على</w:t>
      </w:r>
      <w:r w:rsidRPr="00DA75F8">
        <w:rPr>
          <w:rFonts w:ascii="Calibri" w:hAnsi="Calibri"/>
          <w:rtl/>
        </w:rPr>
        <w:t xml:space="preserve"> </w:t>
      </w:r>
      <w:r w:rsidRPr="00DA75F8">
        <w:rPr>
          <w:rFonts w:ascii="Calibri" w:hAnsi="Calibri" w:hint="cs"/>
          <w:rtl/>
        </w:rPr>
        <w:t>العرف</w:t>
      </w:r>
      <w:r w:rsidRPr="00DA75F8">
        <w:rPr>
          <w:rFonts w:ascii="Calibri" w:hAnsi="Calibri"/>
          <w:rtl/>
        </w:rPr>
        <w:t xml:space="preserve"> ".</w:t>
      </w:r>
    </w:p>
    <w:p w:rsidR="005F44B2" w:rsidRPr="00DA75F8" w:rsidRDefault="005F44B2" w:rsidP="007B6769">
      <w:pPr>
        <w:pStyle w:val="a0"/>
        <w:rPr>
          <w:rtl/>
        </w:rPr>
      </w:pPr>
      <w:r w:rsidRPr="00DA75F8">
        <w:rPr>
          <w:rFonts w:hint="cs"/>
          <w:rtl/>
        </w:rPr>
        <w:t>وقد</w:t>
      </w:r>
      <w:r w:rsidRPr="00DA75F8">
        <w:rPr>
          <w:rtl/>
        </w:rPr>
        <w:t xml:space="preserve"> ذُكر في الأشباه والنظائر أن الصفي الهندي عرّف العادة بأنها: " عمّا يستقر في النفوس من الأمور المتكررة المعقول عند الطباع السليمة" </w:t>
      </w:r>
      <w:r w:rsidRPr="00DA75F8">
        <w:rPr>
          <w:vertAlign w:val="superscript"/>
          <w:rtl/>
        </w:rPr>
        <w:t>(</w:t>
      </w:r>
      <w:r w:rsidRPr="00DA75F8">
        <w:rPr>
          <w:rStyle w:val="FootnoteReference"/>
          <w:rFonts w:cs="Arabic Transparent"/>
          <w:rtl/>
        </w:rPr>
        <w:footnoteReference w:id="241"/>
      </w:r>
      <w:r w:rsidRPr="00DA75F8">
        <w:rPr>
          <w:vertAlign w:val="superscript"/>
          <w:rtl/>
        </w:rPr>
        <w:t>)</w:t>
      </w:r>
      <w:r w:rsidRPr="00DA75F8">
        <w:rPr>
          <w:rtl/>
        </w:rPr>
        <w:t>.</w:t>
      </w:r>
    </w:p>
    <w:p w:rsidR="005F44B2" w:rsidRPr="00DA75F8" w:rsidRDefault="005F44B2" w:rsidP="007B6769">
      <w:pPr>
        <w:pStyle w:val="a0"/>
        <w:rPr>
          <w:rtl/>
        </w:rPr>
      </w:pPr>
      <w:r w:rsidRPr="00DA75F8">
        <w:rPr>
          <w:rtl/>
        </w:rPr>
        <w:t>" وفي شرح الأشباه للبيري عن المستصفى: العادة والعرف مااستقر في النفوس من جهة العقول وتلقته الطباع السليمة بالقبول"</w:t>
      </w:r>
      <w:r w:rsidRPr="00DA75F8">
        <w:rPr>
          <w:vertAlign w:val="superscript"/>
          <w:rtl/>
        </w:rPr>
        <w:t>(</w:t>
      </w:r>
      <w:r w:rsidRPr="00DA75F8">
        <w:rPr>
          <w:rStyle w:val="FootnoteReference"/>
          <w:rFonts w:cs="Arabic Transparent"/>
          <w:rtl/>
        </w:rPr>
        <w:footnoteReference w:id="24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وعرّفها</w:t>
      </w:r>
      <w:r w:rsidRPr="00DA75F8">
        <w:rPr>
          <w:rtl/>
        </w:rPr>
        <w:t xml:space="preserve"> ابن عابدين بأنها: "بيانه أن العادة مأخوذة من المعاودة فهي بتكررها ومعاودتها مرة بعد أخرى صارت معروفة مستقرة في النفوس والعقول متلقاة بالقبول من غير علاقة ولاقرينة حتى صارت حقيقة عرفية"</w:t>
      </w:r>
      <w:r w:rsidRPr="00DA75F8">
        <w:rPr>
          <w:vertAlign w:val="superscript"/>
          <w:rtl/>
        </w:rPr>
        <w:t>(</w:t>
      </w:r>
      <w:r w:rsidRPr="00DA75F8">
        <w:rPr>
          <w:rStyle w:val="FootnoteReference"/>
          <w:rFonts w:cs="Arabic Transparent"/>
          <w:rtl/>
        </w:rPr>
        <w:footnoteReference w:id="243"/>
      </w:r>
      <w:r w:rsidRPr="00DA75F8">
        <w:rPr>
          <w:vertAlign w:val="superscript"/>
          <w:rtl/>
        </w:rPr>
        <w:t>)</w:t>
      </w:r>
      <w:r w:rsidRPr="00DA75F8">
        <w:rPr>
          <w:rtl/>
        </w:rPr>
        <w:t>.</w:t>
      </w:r>
    </w:p>
    <w:p w:rsidR="005F44B2" w:rsidRDefault="005F44B2" w:rsidP="00477179">
      <w:pPr>
        <w:pStyle w:val="a0"/>
        <w:rPr>
          <w:rtl/>
        </w:rPr>
      </w:pPr>
      <w:r w:rsidRPr="00DA75F8">
        <w:rPr>
          <w:rFonts w:hint="cs"/>
          <w:rtl/>
        </w:rPr>
        <w:t>وقال</w:t>
      </w:r>
      <w:r w:rsidRPr="00DA75F8">
        <w:rPr>
          <w:rtl/>
        </w:rPr>
        <w:t xml:space="preserve"> عن العرف والعادة: " فالعادة والعرف بمعنى واحد من حيث الما صدق وإن اختلفا من حيث المفهوم"</w:t>
      </w:r>
      <w:r w:rsidRPr="00DA75F8">
        <w:rPr>
          <w:vertAlign w:val="superscript"/>
          <w:rtl/>
        </w:rPr>
        <w:t>(</w:t>
      </w:r>
      <w:r w:rsidRPr="00DA75F8">
        <w:rPr>
          <w:rStyle w:val="FootnoteReference"/>
          <w:rFonts w:cs="Arabic Transparent"/>
          <w:rtl/>
        </w:rPr>
        <w:footnoteReference w:id="244"/>
      </w:r>
      <w:r w:rsidRPr="00DA75F8">
        <w:rPr>
          <w:vertAlign w:val="superscript"/>
          <w:rtl/>
        </w:rPr>
        <w:t>)</w:t>
      </w:r>
      <w:r w:rsidRPr="00DA75F8">
        <w:rPr>
          <w:rtl/>
        </w:rPr>
        <w:t>.</w:t>
      </w:r>
    </w:p>
    <w:p w:rsidR="005F44B2" w:rsidRPr="00DA75F8" w:rsidRDefault="005F44B2" w:rsidP="00477179">
      <w:pPr>
        <w:pStyle w:val="a0"/>
        <w:rPr>
          <w:rtl/>
        </w:rPr>
      </w:pPr>
      <w:r w:rsidRPr="00DA75F8">
        <w:rPr>
          <w:rFonts w:hint="cs"/>
          <w:rtl/>
        </w:rPr>
        <w:t>وفي</w:t>
      </w:r>
      <w:r w:rsidRPr="00DA75F8">
        <w:rPr>
          <w:rtl/>
        </w:rPr>
        <w:t xml:space="preserve"> شرح التحرير " العادة هي الامر المتكرر من غير علاقة عقلية"</w:t>
      </w:r>
      <w:r w:rsidRPr="00DA75F8">
        <w:rPr>
          <w:vertAlign w:val="superscript"/>
          <w:rtl/>
        </w:rPr>
        <w:t>(</w:t>
      </w:r>
      <w:r w:rsidRPr="00DA75F8">
        <w:rPr>
          <w:rStyle w:val="FootnoteReference"/>
          <w:rFonts w:cs="Arabic Transparent"/>
          <w:rtl/>
        </w:rPr>
        <w:footnoteReference w:id="245"/>
      </w:r>
      <w:r w:rsidRPr="00DA75F8">
        <w:rPr>
          <w:vertAlign w:val="superscript"/>
          <w:rtl/>
        </w:rPr>
        <w:t>)</w:t>
      </w:r>
      <w:r w:rsidRPr="00DA75F8">
        <w:rPr>
          <w:rtl/>
        </w:rPr>
        <w:t>.</w:t>
      </w:r>
    </w:p>
    <w:p w:rsidR="005F44B2" w:rsidRPr="00DA75F8" w:rsidRDefault="005F44B2" w:rsidP="007B6769">
      <w:pPr>
        <w:pStyle w:val="a0"/>
        <w:rPr>
          <w:rtl/>
        </w:rPr>
      </w:pPr>
      <w:r>
        <w:rPr>
          <w:rFonts w:hint="cs"/>
          <w:rtl/>
        </w:rPr>
        <w:t>قد</w:t>
      </w:r>
      <w:r w:rsidRPr="00DA75F8">
        <w:rPr>
          <w:rtl/>
        </w:rPr>
        <w:t xml:space="preserve"> أشار</w:t>
      </w:r>
      <w:r>
        <w:rPr>
          <w:rtl/>
        </w:rPr>
        <w:t xml:space="preserve"> ابن عابدين بعد تعريف العرف</w:t>
      </w:r>
      <w:r w:rsidRPr="00DA75F8">
        <w:rPr>
          <w:rtl/>
        </w:rPr>
        <w:t xml:space="preserve"> إلى أهمية العرف في قوله: " قال في القنية ليس للمفتي ولا للقاضي أن يحكما على ظاهر المذهب ويتركا العرف"</w:t>
      </w:r>
      <w:r w:rsidRPr="00DA75F8">
        <w:rPr>
          <w:vertAlign w:val="superscript"/>
          <w:rtl/>
        </w:rPr>
        <w:t>(</w:t>
      </w:r>
      <w:r w:rsidRPr="00DA75F8">
        <w:rPr>
          <w:rStyle w:val="FootnoteReference"/>
          <w:rFonts w:cs="Arabic Transparent"/>
          <w:rtl/>
        </w:rPr>
        <w:footnoteReference w:id="24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وبعد</w:t>
      </w:r>
      <w:r w:rsidRPr="00DA75F8">
        <w:rPr>
          <w:rtl/>
        </w:rPr>
        <w:t xml:space="preserve"> ذلك تحدّث عن نوعي العرف العام والخاص قائلاً: " أن العرف نوعان خاص وعام وكل منهما إما أن يوافق الدليل الشرعي والمنصوص عليه في كتب ظاهر الرواية أو لا فان وافقهما فلا كلام وإلا فإن يخالف الدليل الشرعي أو المنصوص عليه في المذهب فنذكر في بابين"</w:t>
      </w:r>
      <w:r w:rsidRPr="00DA75F8">
        <w:rPr>
          <w:vertAlign w:val="superscript"/>
          <w:rtl/>
        </w:rPr>
        <w:t>(</w:t>
      </w:r>
      <w:r w:rsidRPr="00DA75F8">
        <w:rPr>
          <w:rStyle w:val="FootnoteReference"/>
          <w:rFonts w:cs="Arabic Transparent"/>
          <w:rtl/>
        </w:rPr>
        <w:footnoteReference w:id="247"/>
      </w:r>
      <w:r w:rsidRPr="00DA75F8">
        <w:rPr>
          <w:vertAlign w:val="superscript"/>
          <w:rtl/>
        </w:rPr>
        <w:t>)</w:t>
      </w:r>
      <w:r w:rsidRPr="00DA75F8">
        <w:rPr>
          <w:rtl/>
        </w:rPr>
        <w:t>.</w:t>
      </w:r>
    </w:p>
    <w:p w:rsidR="005F44B2" w:rsidRPr="00DA75F8" w:rsidRDefault="005F44B2" w:rsidP="00EB437F">
      <w:pPr>
        <w:pStyle w:val="a0"/>
        <w:rPr>
          <w:rtl/>
        </w:rPr>
      </w:pPr>
      <w:r w:rsidRPr="00DA75F8">
        <w:rPr>
          <w:rFonts w:hint="cs"/>
          <w:rtl/>
        </w:rPr>
        <w:t>كما</w:t>
      </w:r>
      <w:r w:rsidRPr="00DA75F8">
        <w:rPr>
          <w:rtl/>
        </w:rPr>
        <w:t xml:space="preserve"> أنه تحدّث عن حجية العرف، وبيّن مفهوم تعارض العرف مع الشرع أو ظاهر الرواية بالأمثلة، </w:t>
      </w:r>
      <w:r>
        <w:rPr>
          <w:rFonts w:hint="cs"/>
          <w:rtl/>
        </w:rPr>
        <w:t>و</w:t>
      </w:r>
      <w:r w:rsidRPr="00DA75F8">
        <w:rPr>
          <w:rFonts w:hint="cs"/>
          <w:rtl/>
        </w:rPr>
        <w:t>ذكر</w:t>
      </w:r>
      <w:r w:rsidRPr="00DA75F8">
        <w:rPr>
          <w:rtl/>
        </w:rPr>
        <w:t xml:space="preserve"> تغيّر العرف بتغير الزمان وأحوال الناس وما ينبني عليه من تغير الحكم الذي بني على العرف، </w:t>
      </w:r>
      <w:r>
        <w:rPr>
          <w:rFonts w:hint="cs"/>
          <w:rtl/>
        </w:rPr>
        <w:t>و</w:t>
      </w:r>
      <w:r w:rsidRPr="00DA75F8">
        <w:rPr>
          <w:rFonts w:hint="cs"/>
          <w:rtl/>
        </w:rPr>
        <w:t>ذكر</w:t>
      </w:r>
      <w:r w:rsidRPr="00DA75F8">
        <w:rPr>
          <w:rtl/>
        </w:rPr>
        <w:t xml:space="preserve"> تعامل المف</w:t>
      </w:r>
      <w:r w:rsidRPr="00DA75F8">
        <w:rPr>
          <w:rFonts w:hint="cs"/>
          <w:rtl/>
        </w:rPr>
        <w:t>تي</w:t>
      </w:r>
      <w:r w:rsidRPr="00DA75F8">
        <w:rPr>
          <w:rtl/>
        </w:rPr>
        <w:t xml:space="preserve"> والقاضي والسلطان مع ا</w:t>
      </w:r>
      <w:r w:rsidRPr="00DA75F8">
        <w:rPr>
          <w:rFonts w:hint="cs"/>
          <w:rtl/>
        </w:rPr>
        <w:t>لعرف</w:t>
      </w:r>
      <w:r w:rsidRPr="00DA75F8">
        <w:rPr>
          <w:rtl/>
        </w:rPr>
        <w:t xml:space="preserve"> وضرب الأمثلة على كل منها مع التوضيح، وكما أورد آراء العلماء وأخيرا ذكر بعض الفروع المبنية على العرف.</w:t>
      </w:r>
    </w:p>
    <w:p w:rsidR="005F44B2" w:rsidRPr="00DA75F8" w:rsidRDefault="005F44B2" w:rsidP="007B6769">
      <w:pPr>
        <w:pStyle w:val="a0"/>
        <w:rPr>
          <w:rtl/>
        </w:rPr>
      </w:pPr>
      <w:r w:rsidRPr="00DA75F8">
        <w:rPr>
          <w:rFonts w:hint="cs"/>
          <w:rtl/>
        </w:rPr>
        <w:t>أماعمل</w:t>
      </w:r>
      <w:r w:rsidRPr="00DA75F8">
        <w:rPr>
          <w:rtl/>
        </w:rPr>
        <w:t xml:space="preserve"> العرف في السياسة الشرعية فتقول الرفاعي : " من القواعد التي تقوم عليها السياسة الشرعية قاعدة العرف، إذ يتم بالعرف تنظيم أمور الناس وحياتهم، فالشريعة لم تنص على الحوادث، إنما أتت بقواعد عا</w:t>
      </w:r>
      <w:r w:rsidRPr="00DA75F8">
        <w:rPr>
          <w:rFonts w:hint="cs"/>
          <w:rtl/>
        </w:rPr>
        <w:t>مة</w:t>
      </w:r>
      <w:r w:rsidRPr="00DA75F8">
        <w:rPr>
          <w:rtl/>
        </w:rPr>
        <w:t xml:space="preserve"> ينطلق منها العلماء والمجتهدون في التعرف على أحكام الوقائع الجديدة"</w:t>
      </w:r>
      <w:r w:rsidRPr="00DA75F8">
        <w:rPr>
          <w:vertAlign w:val="superscript"/>
          <w:rtl/>
        </w:rPr>
        <w:t>(</w:t>
      </w:r>
      <w:r w:rsidRPr="00DA75F8">
        <w:rPr>
          <w:rStyle w:val="FootnoteReference"/>
          <w:rFonts w:cs="Arabic Transparent"/>
          <w:rtl/>
        </w:rPr>
        <w:footnoteReference w:id="24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وقال</w:t>
      </w:r>
      <w:r w:rsidRPr="00DA75F8">
        <w:rPr>
          <w:rtl/>
        </w:rPr>
        <w:t xml:space="preserve"> أحمد عطوة: " مما تقدم يتبين لنا أن العرف من المصادر الخصبة </w:t>
      </w:r>
      <w:r w:rsidRPr="00DA75F8">
        <w:rPr>
          <w:rFonts w:hint="cs"/>
          <w:rtl/>
        </w:rPr>
        <w:t>التي</w:t>
      </w:r>
      <w:r w:rsidRPr="00DA75F8">
        <w:rPr>
          <w:rtl/>
        </w:rPr>
        <w:t xml:space="preserve"> تقوم عليها الأحكام السياسية، وفي هذا دليل ناصع على مسايرة السياسة الشرعية لركب الحياة، ووفائها بكل ما تتطلبه الأمة من أحكام فيما يجدُّ لها من وقائع وحوادث لم تكن معروفة لها في الأزمنة الماضية، ببنائها على العرف الذي تحققت فيه شروط اعتباره التي قدمنا الكلام عليها"</w:t>
      </w:r>
      <w:r w:rsidRPr="00DA75F8">
        <w:rPr>
          <w:vertAlign w:val="superscript"/>
          <w:rtl/>
        </w:rPr>
        <w:t>(</w:t>
      </w:r>
      <w:r w:rsidRPr="00DA75F8">
        <w:rPr>
          <w:rStyle w:val="FootnoteReference"/>
          <w:rFonts w:cs="Arabic Transparent"/>
          <w:rtl/>
        </w:rPr>
        <w:footnoteReference w:id="24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إن</w:t>
      </w:r>
      <w:r w:rsidRPr="00DA75F8">
        <w:rPr>
          <w:rtl/>
        </w:rPr>
        <w:t xml:space="preserve"> تصرفات الناس ومعيشتهم تتغير وتتجدد بحسب أزمانهم وأعرافهم ومن المعروف عن طرق المعيشة أن العرف يلعب دورا مهما فيه وفي بعض المناطق أناس يهتمون به كثيرا وبه ترتبط تصرفاتهم، كما أنهم يحلون مشاكلهم الظاهرة بالعرف وهذا يُبيّن لنا أن العرف أساس حياة الناس، ومن ناحية أخرى تُظهر تطبيقات العرف لنا أن العرف وُضع لمصلحة الناس، وقول الرفاعي  يؤيد هذه الكلام حيث قالت: " أن العرف يستند </w:t>
      </w:r>
      <w:r w:rsidRPr="00DA75F8">
        <w:rPr>
          <w:rFonts w:hint="cs"/>
          <w:rtl/>
        </w:rPr>
        <w:t>إلى</w:t>
      </w:r>
      <w:r w:rsidRPr="00DA75F8">
        <w:rPr>
          <w:rtl/>
        </w:rPr>
        <w:t xml:space="preserve"> المصلحة المرسلة، وال</w:t>
      </w:r>
      <w:r w:rsidRPr="00DA75F8">
        <w:rPr>
          <w:rFonts w:hint="cs"/>
          <w:rtl/>
        </w:rPr>
        <w:t>عرف</w:t>
      </w:r>
      <w:r w:rsidRPr="00DA75F8">
        <w:rPr>
          <w:rtl/>
        </w:rPr>
        <w:t xml:space="preserve"> يتم به تنظيم حياة الناس، وهذا يتفق مع غاية السياسة، وهو ما تنادي به السياسة الشرعية"</w:t>
      </w:r>
      <w:r w:rsidRPr="00DA75F8">
        <w:rPr>
          <w:vertAlign w:val="superscript"/>
          <w:rtl/>
        </w:rPr>
        <w:t>(</w:t>
      </w:r>
      <w:r w:rsidRPr="00DA75F8">
        <w:rPr>
          <w:rStyle w:val="FootnoteReference"/>
          <w:rFonts w:cs="Arabic Transparent"/>
          <w:rtl/>
        </w:rPr>
        <w:footnoteReference w:id="25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وقال</w:t>
      </w:r>
      <w:r w:rsidRPr="00DA75F8">
        <w:rPr>
          <w:rtl/>
        </w:rPr>
        <w:t xml:space="preserve"> ابراهيم عبد الرح</w:t>
      </w:r>
      <w:r w:rsidRPr="00DA75F8">
        <w:rPr>
          <w:rFonts w:hint="cs"/>
          <w:rtl/>
        </w:rPr>
        <w:t>يم</w:t>
      </w:r>
      <w:r w:rsidRPr="00DA75F8">
        <w:rPr>
          <w:rtl/>
        </w:rPr>
        <w:t>: " وعلى أية حال فإن س</w:t>
      </w:r>
      <w:r w:rsidRPr="00DA75F8">
        <w:rPr>
          <w:rFonts w:hint="cs"/>
          <w:rtl/>
        </w:rPr>
        <w:t>ياسة</w:t>
      </w:r>
      <w:r w:rsidRPr="00DA75F8">
        <w:rPr>
          <w:rtl/>
        </w:rPr>
        <w:t xml:space="preserve"> الأمة تنضبط بكل تأكيد بمراعاة ولي الأمر للعرف في الأمور المندرجة تحته، أو التي يكون للعرف القول الفصل فيها، فيلزم ولي الأمر أن يعتبره فيها عند تحقق شروطه، ولا شك أن مجاله رحب، ولاسيما في فقه المعاملات بين المسلمين، بل حتى مع غيرهم، كالألفاظ والتصرفات التي جرى العرف المعتبر أو الصحيح بها في التعامل الدولي، من معاهدات وحصانات وغيرها، فالعرف يُرجع إليه في كثير من أمور السياست، ومن ثم وجب على ولي الأمر أو الحاكم المسلم أن يراعي الأعراف اللغوية والسلوكية في تشريع الأحكام الوضعية أو استصدار ما يك</w:t>
      </w:r>
      <w:r w:rsidRPr="00DA75F8">
        <w:rPr>
          <w:rFonts w:hint="cs"/>
          <w:rtl/>
        </w:rPr>
        <w:t>ون</w:t>
      </w:r>
      <w:r w:rsidRPr="00DA75F8">
        <w:rPr>
          <w:rtl/>
        </w:rPr>
        <w:t xml:space="preserve"> قانونًا عامًّا ترجع إليه الأمة في أمورها وتصرفاتها بما يحقق مصالحها، والغرض من هذه التشريعات التي تحكمها"</w:t>
      </w:r>
      <w:r w:rsidRPr="00DA75F8">
        <w:rPr>
          <w:vertAlign w:val="superscript"/>
          <w:rtl/>
        </w:rPr>
        <w:t>(</w:t>
      </w:r>
      <w:r w:rsidRPr="00DA75F8">
        <w:rPr>
          <w:rStyle w:val="FootnoteReference"/>
          <w:rFonts w:cs="Arabic Transparent"/>
          <w:rtl/>
        </w:rPr>
        <w:footnoteReference w:id="251"/>
      </w:r>
      <w:r w:rsidRPr="00DA75F8">
        <w:rPr>
          <w:vertAlign w:val="superscript"/>
          <w:rtl/>
        </w:rPr>
        <w:t>)</w:t>
      </w:r>
      <w:r w:rsidRPr="00DA75F8">
        <w:rPr>
          <w:rtl/>
        </w:rPr>
        <w:t>.</w:t>
      </w:r>
    </w:p>
    <w:p w:rsidR="005F44B2" w:rsidRPr="00DA75F8" w:rsidRDefault="005F44B2" w:rsidP="00EB437F">
      <w:pPr>
        <w:pStyle w:val="a0"/>
        <w:rPr>
          <w:rtl/>
        </w:rPr>
      </w:pPr>
      <w:r w:rsidRPr="00DA75F8">
        <w:rPr>
          <w:rFonts w:hint="cs"/>
          <w:rtl/>
        </w:rPr>
        <w:t>ومن</w:t>
      </w:r>
      <w:r w:rsidRPr="00DA75F8">
        <w:rPr>
          <w:rtl/>
        </w:rPr>
        <w:t xml:space="preserve"> الأمثلة التي ذكرها ابن عابدين في رسالته: مثال يتعلّق بصيغة الحا</w:t>
      </w:r>
      <w:r>
        <w:rPr>
          <w:rFonts w:hint="cs"/>
          <w:rtl/>
        </w:rPr>
        <w:t>ل</w:t>
      </w:r>
      <w:r w:rsidRPr="00DA75F8">
        <w:rPr>
          <w:rFonts w:hint="cs"/>
          <w:rtl/>
        </w:rPr>
        <w:t>ف،</w:t>
      </w:r>
      <w:r w:rsidRPr="00DA75F8">
        <w:rPr>
          <w:rtl/>
        </w:rPr>
        <w:t xml:space="preserve"> حيث قال: " قالوا الحلف بالعربية في الفعل المضارع المثبت لايكون الابحرف التأكيد وهو اللام والنون كقوله والله لأفعلن كذا حتى لو قال والله أفعل ك</w:t>
      </w:r>
      <w:r w:rsidRPr="00DA75F8">
        <w:rPr>
          <w:rFonts w:hint="cs"/>
          <w:rtl/>
        </w:rPr>
        <w:t>ذا</w:t>
      </w:r>
      <w:r w:rsidRPr="00DA75F8">
        <w:rPr>
          <w:rtl/>
        </w:rPr>
        <w:t xml:space="preserve"> كانت يمينه على النفي و</w:t>
      </w:r>
      <w:r w:rsidRPr="00DA75F8">
        <w:rPr>
          <w:rFonts w:hint="cs"/>
          <w:rtl/>
        </w:rPr>
        <w:t>تكون</w:t>
      </w:r>
      <w:r w:rsidRPr="00DA75F8">
        <w:rPr>
          <w:rtl/>
        </w:rPr>
        <w:t xml:space="preserve"> لامضمرة كما في (تالله تفتأُ تذكر يوسف) فكأنه قال والله لا أفعل لامتناع حذف حرف التوكيد في الإثبات بخلاف حرف النفي قال شيخ الاسلام العلامة المحقق الشيخ على مقدسي في شرحه على نظم الكنز:(فعلى هذا أكثر ما يقع من العوامّ لايكون يمينا لعدم اللام والنون فلا كفارة عليهم فيها انتهى) أي لايكون يمينا على الإثبات فلا كفارة عليهم إذا تركوا ذلك الشئ. ثم قال لكن ينبغي أن تلزمهم لتعارف الحلف بذلك. ويؤيده مانقلناه عن الظهيرية أنه لوسكن الهاء أورفع أو نصب بالله يكون يمينا مع أنّ العرب مانطقت بغير الجر"</w:t>
      </w:r>
      <w:r w:rsidRPr="00DA75F8">
        <w:rPr>
          <w:vertAlign w:val="superscript"/>
          <w:rtl/>
        </w:rPr>
        <w:t>(</w:t>
      </w:r>
      <w:r w:rsidRPr="00DA75F8">
        <w:rPr>
          <w:rStyle w:val="FootnoteReference"/>
          <w:rFonts w:cs="Arabic Transparent"/>
          <w:rtl/>
        </w:rPr>
        <w:footnoteReference w:id="25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نلاحظ</w:t>
      </w:r>
      <w:r w:rsidRPr="00DA75F8">
        <w:rPr>
          <w:rtl/>
        </w:rPr>
        <w:t xml:space="preserve"> من هذا المثال تحقق الحلف أو اليمين رغم الغلط الفاحش في قواعد اللغة العربية أثناء القول إذا أصبح هذا الغلط عرفا عند الناس.</w:t>
      </w:r>
    </w:p>
    <w:p w:rsidR="005F44B2" w:rsidRPr="00DA75F8" w:rsidRDefault="005F44B2" w:rsidP="00291400">
      <w:pPr>
        <w:pStyle w:val="a0"/>
        <w:rPr>
          <w:rtl/>
        </w:rPr>
      </w:pPr>
      <w:r w:rsidRPr="00DA75F8">
        <w:rPr>
          <w:rFonts w:hint="cs"/>
          <w:rtl/>
        </w:rPr>
        <w:t>ومن</w:t>
      </w:r>
      <w:r w:rsidRPr="00DA75F8">
        <w:rPr>
          <w:rtl/>
        </w:rPr>
        <w:t xml:space="preserve"> الأمثلة التي ذكرها ابن عابدين في رسالته وهي عقد النكاح بلفظ (تجويز) بتقديم الجيم</w:t>
      </w:r>
      <w:r>
        <w:rPr>
          <w:rFonts w:hint="cs"/>
          <w:rtl/>
        </w:rPr>
        <w:t>،</w:t>
      </w:r>
      <w:r w:rsidRPr="00DA75F8">
        <w:rPr>
          <w:rtl/>
        </w:rPr>
        <w:t xml:space="preserve"> حيث النكاح بلفظ التجويز </w:t>
      </w:r>
      <w:r>
        <w:rPr>
          <w:rFonts w:hint="cs"/>
          <w:rtl/>
        </w:rPr>
        <w:t>عند</w:t>
      </w:r>
      <w:r>
        <w:rPr>
          <w:rtl/>
        </w:rPr>
        <w:t xml:space="preserve"> </w:t>
      </w:r>
      <w:r w:rsidRPr="00DA75F8">
        <w:rPr>
          <w:rFonts w:hint="cs"/>
          <w:rtl/>
        </w:rPr>
        <w:t>العلامة</w:t>
      </w:r>
      <w:r w:rsidRPr="00DA75F8">
        <w:rPr>
          <w:rtl/>
        </w:rPr>
        <w:t xml:space="preserve"> الغزى بعدم الانعقاد </w:t>
      </w:r>
      <w:r>
        <w:rPr>
          <w:rFonts w:hint="cs"/>
          <w:rtl/>
        </w:rPr>
        <w:t>ويستدلّ</w:t>
      </w:r>
      <w:r>
        <w:rPr>
          <w:rtl/>
        </w:rPr>
        <w:t xml:space="preserve"> قولَه</w:t>
      </w:r>
      <w:r w:rsidRPr="00DA75F8">
        <w:rPr>
          <w:rtl/>
        </w:rPr>
        <w:t xml:space="preserve"> بما في التلويح للسعد التفتازاني من أن اللفظ اذا صدر </w:t>
      </w:r>
      <w:r>
        <w:rPr>
          <w:rFonts w:hint="cs"/>
          <w:rtl/>
        </w:rPr>
        <w:t>عن</w:t>
      </w:r>
      <w:r>
        <w:rPr>
          <w:rtl/>
        </w:rPr>
        <w:t xml:space="preserve"> عدم</w:t>
      </w:r>
      <w:r w:rsidRPr="00DA75F8">
        <w:rPr>
          <w:rtl/>
        </w:rPr>
        <w:t xml:space="preserve"> قصد صحيح بل عن تصحيف </w:t>
      </w:r>
      <w:r>
        <w:rPr>
          <w:rFonts w:hint="cs"/>
          <w:rtl/>
        </w:rPr>
        <w:t>وتزوير،</w:t>
      </w:r>
      <w:r>
        <w:rPr>
          <w:rtl/>
        </w:rPr>
        <w:t xml:space="preserve"> وبهذا</w:t>
      </w:r>
      <w:r w:rsidRPr="00DA75F8">
        <w:rPr>
          <w:rtl/>
        </w:rPr>
        <w:t xml:space="preserve"> لم يكن حقيقة ولامجازا </w:t>
      </w:r>
      <w:r>
        <w:rPr>
          <w:rFonts w:hint="cs"/>
          <w:rtl/>
        </w:rPr>
        <w:t>بسبب</w:t>
      </w:r>
      <w:r>
        <w:rPr>
          <w:rtl/>
        </w:rPr>
        <w:t xml:space="preserve"> </w:t>
      </w:r>
      <w:r w:rsidRPr="00DA75F8">
        <w:rPr>
          <w:rFonts w:hint="cs"/>
          <w:rtl/>
        </w:rPr>
        <w:t>عدم</w:t>
      </w:r>
      <w:r>
        <w:rPr>
          <w:rtl/>
        </w:rPr>
        <w:t xml:space="preserve"> وجود</w:t>
      </w:r>
      <w:r w:rsidRPr="00DA75F8">
        <w:rPr>
          <w:rtl/>
        </w:rPr>
        <w:t xml:space="preserve"> العلاقة</w:t>
      </w:r>
      <w:r>
        <w:rPr>
          <w:rFonts w:hint="cs"/>
          <w:rtl/>
        </w:rPr>
        <w:t>،يصدر</w:t>
      </w:r>
      <w:r w:rsidRPr="00DA75F8">
        <w:rPr>
          <w:rtl/>
        </w:rPr>
        <w:t xml:space="preserve"> غلطا </w:t>
      </w:r>
      <w:r>
        <w:rPr>
          <w:rFonts w:hint="cs"/>
          <w:rtl/>
        </w:rPr>
        <w:t>لذالا</w:t>
      </w:r>
      <w:r>
        <w:rPr>
          <w:rtl/>
        </w:rPr>
        <w:t xml:space="preserve"> ي</w:t>
      </w:r>
      <w:r w:rsidRPr="00DA75F8">
        <w:rPr>
          <w:rFonts w:hint="cs"/>
          <w:rtl/>
        </w:rPr>
        <w:t>عتب</w:t>
      </w:r>
      <w:r>
        <w:rPr>
          <w:rFonts w:hint="cs"/>
          <w:rtl/>
        </w:rPr>
        <w:t>ر</w:t>
      </w:r>
      <w:r>
        <w:rPr>
          <w:rtl/>
        </w:rPr>
        <w:t xml:space="preserve"> به، وعند</w:t>
      </w:r>
      <w:r w:rsidRPr="00DA75F8">
        <w:rPr>
          <w:rtl/>
        </w:rPr>
        <w:t xml:space="preserve"> الشيخ علاءالدين </w:t>
      </w:r>
      <w:r>
        <w:rPr>
          <w:rFonts w:hint="cs"/>
          <w:rtl/>
        </w:rPr>
        <w:t>صاحب</w:t>
      </w:r>
      <w:r w:rsidRPr="00DA75F8">
        <w:rPr>
          <w:rtl/>
        </w:rPr>
        <w:t xml:space="preserve"> الد</w:t>
      </w:r>
      <w:r w:rsidRPr="00DA75F8">
        <w:rPr>
          <w:rFonts w:hint="cs"/>
          <w:rtl/>
        </w:rPr>
        <w:t>رر</w:t>
      </w:r>
      <w:r w:rsidRPr="00DA75F8">
        <w:rPr>
          <w:rtl/>
        </w:rPr>
        <w:t xml:space="preserve"> المختار</w:t>
      </w:r>
      <w:r>
        <w:rPr>
          <w:rtl/>
        </w:rPr>
        <w:t xml:space="preserve"> ينعدقد النكاح </w:t>
      </w:r>
      <w:r w:rsidRPr="00291400">
        <w:rPr>
          <w:rFonts w:hint="cs"/>
          <w:rtl/>
        </w:rPr>
        <w:t>بلفظ</w:t>
      </w:r>
      <w:r w:rsidRPr="00291400">
        <w:rPr>
          <w:rtl/>
        </w:rPr>
        <w:t xml:space="preserve"> (تجويز) بتقديم الجيم</w:t>
      </w:r>
      <w:r>
        <w:rPr>
          <w:rFonts w:hint="cs"/>
          <w:rtl/>
        </w:rPr>
        <w:t>،</w:t>
      </w:r>
      <w:r>
        <w:rPr>
          <w:rtl/>
        </w:rPr>
        <w:t xml:space="preserve"> بشرط وهو إذا</w:t>
      </w:r>
      <w:r w:rsidRPr="00DA75F8">
        <w:rPr>
          <w:rtl/>
        </w:rPr>
        <w:t xml:space="preserve"> اتفق قوم على ال</w:t>
      </w:r>
      <w:r>
        <w:rPr>
          <w:rFonts w:hint="cs"/>
          <w:rtl/>
        </w:rPr>
        <w:t>تسمية</w:t>
      </w:r>
      <w:r w:rsidRPr="00DA75F8">
        <w:rPr>
          <w:rtl/>
        </w:rPr>
        <w:t xml:space="preserve"> بهذه الغلطة و</w:t>
      </w:r>
      <w:r>
        <w:rPr>
          <w:rFonts w:hint="cs"/>
          <w:rtl/>
        </w:rPr>
        <w:t>تصدر</w:t>
      </w:r>
      <w:r w:rsidRPr="00DA75F8">
        <w:rPr>
          <w:rtl/>
        </w:rPr>
        <w:t xml:space="preserve"> عن قصد</w:t>
      </w:r>
      <w:r>
        <w:rPr>
          <w:rFonts w:hint="cs"/>
          <w:rtl/>
        </w:rPr>
        <w:t>،</w:t>
      </w:r>
      <w:r>
        <w:rPr>
          <w:rtl/>
        </w:rPr>
        <w:t xml:space="preserve"> وبهذه الغلطة يكون</w:t>
      </w:r>
      <w:r w:rsidRPr="00DA75F8">
        <w:rPr>
          <w:rtl/>
        </w:rPr>
        <w:t xml:space="preserve"> وضعا جديدا</w:t>
      </w:r>
      <w:r>
        <w:rPr>
          <w:rFonts w:hint="cs"/>
          <w:rtl/>
        </w:rPr>
        <w:t>،وأيضًا</w:t>
      </w:r>
      <w:r>
        <w:rPr>
          <w:rtl/>
        </w:rPr>
        <w:t xml:space="preserve"> </w:t>
      </w:r>
      <w:r w:rsidRPr="00DA75F8">
        <w:rPr>
          <w:rFonts w:hint="cs"/>
          <w:rtl/>
        </w:rPr>
        <w:t>يصح</w:t>
      </w:r>
      <w:r w:rsidRPr="00DA75F8">
        <w:rPr>
          <w:rtl/>
        </w:rPr>
        <w:t xml:space="preserve"> </w:t>
      </w:r>
      <w:r>
        <w:rPr>
          <w:rFonts w:hint="cs"/>
          <w:rtl/>
        </w:rPr>
        <w:t>عند</w:t>
      </w:r>
      <w:r w:rsidRPr="00DA75F8">
        <w:rPr>
          <w:rFonts w:hint="cs"/>
          <w:rtl/>
        </w:rPr>
        <w:t>أبو</w:t>
      </w:r>
      <w:r w:rsidRPr="00DA75F8">
        <w:rPr>
          <w:rtl/>
        </w:rPr>
        <w:t xml:space="preserve"> السعود</w:t>
      </w:r>
      <w:r w:rsidRPr="00DA75F8">
        <w:rPr>
          <w:vertAlign w:val="superscript"/>
          <w:rtl/>
        </w:rPr>
        <w:t>(</w:t>
      </w:r>
      <w:r w:rsidRPr="00DA75F8">
        <w:rPr>
          <w:rStyle w:val="FootnoteReference"/>
          <w:rFonts w:cs="Arabic Transparent"/>
          <w:rtl/>
        </w:rPr>
        <w:footnoteReference w:id="25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وفيه</w:t>
      </w:r>
      <w:r w:rsidRPr="00DA75F8">
        <w:rPr>
          <w:rtl/>
        </w:rPr>
        <w:t xml:space="preserve"> أمثلة كثيرة لمن أراد أن يستزيد منها فعليه الرجوع الى رسالته.</w:t>
      </w:r>
    </w:p>
    <w:p w:rsidR="005F44B2" w:rsidRPr="00DA75F8" w:rsidRDefault="005F44B2" w:rsidP="005E6A96">
      <w:pPr>
        <w:pStyle w:val="a3"/>
        <w:rPr>
          <w:rtl/>
        </w:rPr>
      </w:pPr>
      <w:bookmarkStart w:id="23" w:name="_Toc447092565"/>
      <w:r w:rsidRPr="00DA75F8">
        <w:rPr>
          <w:rFonts w:hint="cs"/>
          <w:rtl/>
        </w:rPr>
        <w:t>المطلب</w:t>
      </w:r>
      <w:r w:rsidRPr="00DA75F8">
        <w:rPr>
          <w:rtl/>
        </w:rPr>
        <w:t xml:space="preserve"> الثالث: شرو</w:t>
      </w:r>
      <w:r w:rsidRPr="00DA75F8">
        <w:rPr>
          <w:rFonts w:hint="cs"/>
          <w:rtl/>
        </w:rPr>
        <w:t>ط</w:t>
      </w:r>
      <w:r w:rsidRPr="00DA75F8">
        <w:rPr>
          <w:rtl/>
        </w:rPr>
        <w:t xml:space="preserve"> العمل بالسياسة الشرعية</w:t>
      </w:r>
      <w:bookmarkEnd w:id="23"/>
    </w:p>
    <w:p w:rsidR="005F44B2" w:rsidRPr="00DA75F8" w:rsidRDefault="005F44B2" w:rsidP="007B6769">
      <w:pPr>
        <w:pStyle w:val="a0"/>
        <w:rPr>
          <w:rtl/>
        </w:rPr>
      </w:pPr>
      <w:r w:rsidRPr="00DA75F8">
        <w:rPr>
          <w:rFonts w:hint="cs"/>
          <w:rtl/>
        </w:rPr>
        <w:t>عند</w:t>
      </w:r>
      <w:r w:rsidRPr="00DA75F8">
        <w:rPr>
          <w:rtl/>
        </w:rPr>
        <w:t xml:space="preserve"> النظر في كتب مَن بحث السياسة الشرعية، وجدت أن شروط العمل بها لاتخرج عن ثلاثة شروط وهي:</w:t>
      </w:r>
    </w:p>
    <w:p w:rsidR="005F44B2" w:rsidRPr="00DA75F8" w:rsidRDefault="005F44B2" w:rsidP="007B6769">
      <w:pPr>
        <w:pStyle w:val="a"/>
        <w:numPr>
          <w:ilvl w:val="0"/>
          <w:numId w:val="20"/>
        </w:numPr>
      </w:pPr>
      <w:r w:rsidRPr="00DA75F8">
        <w:rPr>
          <w:rFonts w:hint="cs"/>
          <w:rtl/>
        </w:rPr>
        <w:t>أن</w:t>
      </w:r>
      <w:r w:rsidRPr="00DA75F8">
        <w:rPr>
          <w:rtl/>
        </w:rPr>
        <w:t xml:space="preserve"> يكون العمل بها متفقًا مع أحكام الشريعة، أو معتمدًا على أصل من أصولها الكلية أو أصولها العامة.</w:t>
      </w:r>
    </w:p>
    <w:p w:rsidR="005F44B2" w:rsidRPr="00DA75F8" w:rsidRDefault="005F44B2" w:rsidP="007B6769">
      <w:pPr>
        <w:pStyle w:val="a"/>
        <w:numPr>
          <w:ilvl w:val="0"/>
          <w:numId w:val="20"/>
        </w:numPr>
      </w:pPr>
      <w:r w:rsidRPr="00DA75F8">
        <w:rPr>
          <w:rFonts w:hint="cs"/>
          <w:rtl/>
        </w:rPr>
        <w:t>ألا</w:t>
      </w:r>
      <w:r w:rsidRPr="00DA75F8">
        <w:rPr>
          <w:rtl/>
        </w:rPr>
        <w:t xml:space="preserve"> يخالف الحكم دليلاً من الأدلة التفصيلية التي تثبت تشريعًا عامًا دائمًا.</w:t>
      </w:r>
    </w:p>
    <w:p w:rsidR="005F44B2" w:rsidRPr="00DA75F8" w:rsidRDefault="005F44B2" w:rsidP="007B6769">
      <w:pPr>
        <w:pStyle w:val="a"/>
        <w:numPr>
          <w:ilvl w:val="0"/>
          <w:numId w:val="20"/>
        </w:numPr>
      </w:pPr>
      <w:r w:rsidRPr="00DA75F8">
        <w:rPr>
          <w:rtl/>
        </w:rPr>
        <w:t>: أن تكون السياسة معتدلة، فلا إفراط ولا تفريط.</w:t>
      </w:r>
    </w:p>
    <w:p w:rsidR="005F44B2" w:rsidRPr="00DA75F8" w:rsidRDefault="005F44B2" w:rsidP="007B6769">
      <w:pPr>
        <w:pStyle w:val="a0"/>
      </w:pPr>
      <w:r w:rsidRPr="00DA75F8">
        <w:rPr>
          <w:rFonts w:hint="cs"/>
          <w:rtl/>
        </w:rPr>
        <w:t>وهذا</w:t>
      </w:r>
      <w:r w:rsidRPr="00DA75F8">
        <w:rPr>
          <w:rtl/>
        </w:rPr>
        <w:t xml:space="preserve"> بيانٌ لتلك الشروط:</w:t>
      </w:r>
    </w:p>
    <w:p w:rsidR="005F44B2" w:rsidRPr="00DA75F8" w:rsidRDefault="005F44B2" w:rsidP="007B6769">
      <w:pPr>
        <w:pStyle w:val="a0"/>
        <w:rPr>
          <w:rtl/>
        </w:rPr>
      </w:pPr>
    </w:p>
    <w:p w:rsidR="005F44B2" w:rsidRPr="00DA75F8" w:rsidRDefault="005F44B2" w:rsidP="008171A1">
      <w:pPr>
        <w:pStyle w:val="NoSpacing"/>
        <w:rPr>
          <w:rtl/>
        </w:rPr>
      </w:pPr>
      <w:r w:rsidRPr="00DA75F8">
        <w:rPr>
          <w:rFonts w:hint="cs"/>
          <w:rtl/>
        </w:rPr>
        <w:t>الشرط</w:t>
      </w:r>
      <w:r w:rsidRPr="00DA75F8">
        <w:rPr>
          <w:rtl/>
        </w:rPr>
        <w:t xml:space="preserve"> الأول: أن يكون متفقًا مع أحكام الشريعة، أو معتمدًا على أصل من أصول</w:t>
      </w:r>
      <w:r w:rsidRPr="00DA75F8">
        <w:rPr>
          <w:rFonts w:hint="cs"/>
          <w:rtl/>
        </w:rPr>
        <w:t>ها</w:t>
      </w:r>
      <w:r w:rsidRPr="00DA75F8">
        <w:rPr>
          <w:rtl/>
        </w:rPr>
        <w:t xml:space="preserve"> الكلية أو أصولها العامة</w:t>
      </w:r>
      <w:r w:rsidRPr="00DA75F8">
        <w:rPr>
          <w:vertAlign w:val="superscript"/>
          <w:rtl/>
        </w:rPr>
        <w:t>(</w:t>
      </w:r>
      <w:r w:rsidRPr="00DA75F8">
        <w:rPr>
          <w:rStyle w:val="FootnoteReference"/>
          <w:rFonts w:cs="Arabic Transparent"/>
          <w:rtl/>
        </w:rPr>
        <w:footnoteReference w:id="254"/>
      </w:r>
      <w:r w:rsidRPr="00DA75F8">
        <w:rPr>
          <w:vertAlign w:val="superscript"/>
          <w:rtl/>
        </w:rPr>
        <w:t>)</w:t>
      </w:r>
      <w:r w:rsidRPr="00DA75F8">
        <w:rPr>
          <w:rtl/>
        </w:rPr>
        <w:t>.</w:t>
      </w:r>
    </w:p>
    <w:p w:rsidR="005F44B2" w:rsidRPr="00DA75F8" w:rsidRDefault="005F44B2" w:rsidP="007B6769">
      <w:pPr>
        <w:pStyle w:val="a0"/>
        <w:rPr>
          <w:rtl/>
        </w:rPr>
      </w:pPr>
      <w:r w:rsidRPr="00DA75F8">
        <w:rPr>
          <w:rtl/>
        </w:rPr>
        <w:t>"ونعني بأصول الشريعة الكلية – أو العامة - : قواعدها الأساسية التي يبنى عليها الكثير من الأحكام، وتعتبر أصلا ودليلا لها، مثل: سد الذرائع، والعرف، والشورى، ورفع الحرج، ونفي الضرر، والعدالة، والحرية، والمساواة، والرجوع في معضلات الأمور إلى أهل الذكر والرأي والخبرة... إلى غير ذلك من القواعد العامة التي لا يشذ عنها قانون يراد به إصلاح الأمة"</w:t>
      </w:r>
      <w:r w:rsidRPr="00DA75F8">
        <w:rPr>
          <w:vertAlign w:val="superscript"/>
          <w:rtl/>
        </w:rPr>
        <w:t>(</w:t>
      </w:r>
      <w:r w:rsidRPr="00DA75F8">
        <w:rPr>
          <w:rStyle w:val="FootnoteReference"/>
          <w:rFonts w:cs="Arabic Transparent"/>
          <w:rtl/>
        </w:rPr>
        <w:footnoteReference w:id="255"/>
      </w:r>
      <w:r w:rsidRPr="00DA75F8">
        <w:rPr>
          <w:vertAlign w:val="superscript"/>
          <w:rtl/>
        </w:rPr>
        <w:t>)</w:t>
      </w:r>
      <w:r w:rsidRPr="00DA75F8">
        <w:rPr>
          <w:rtl/>
        </w:rPr>
        <w:t>.</w:t>
      </w:r>
    </w:p>
    <w:p w:rsidR="005F44B2" w:rsidRPr="00DA75F8" w:rsidRDefault="005F44B2" w:rsidP="007B6769">
      <w:pPr>
        <w:pStyle w:val="a0"/>
        <w:rPr>
          <w:rtl/>
        </w:rPr>
      </w:pPr>
      <w:r w:rsidRPr="00DA75F8">
        <w:rPr>
          <w:rtl/>
        </w:rPr>
        <w:t>" كما نعني بأحكام الشريعة: ما تهدف وتقصد إليه في جميع أحكامها التي جاءت بها، من جلب المصالح للفرد والمجتمع، ودرء المفاسد والضرر عنهما، وهذه المصالح هي المعروفة باسم: المصالح الضرورية، أو المقاصد الضرورية"</w:t>
      </w:r>
      <w:r w:rsidRPr="00DA75F8">
        <w:rPr>
          <w:vertAlign w:val="superscript"/>
          <w:rtl/>
        </w:rPr>
        <w:t>(</w:t>
      </w:r>
      <w:r w:rsidRPr="00DA75F8">
        <w:rPr>
          <w:rStyle w:val="FootnoteReference"/>
          <w:rFonts w:cs="Arabic Transparent"/>
          <w:rtl/>
        </w:rPr>
        <w:footnoteReference w:id="256"/>
      </w:r>
      <w:r w:rsidRPr="00DA75F8">
        <w:rPr>
          <w:vertAlign w:val="superscript"/>
          <w:rtl/>
        </w:rPr>
        <w:t>)</w:t>
      </w:r>
      <w:r w:rsidRPr="00DA75F8">
        <w:rPr>
          <w:rtl/>
        </w:rPr>
        <w:t>. ومن المعروف أن هذه المقاصد خمسةٌ، وهي: حفظ الدين، وحفظ النفس، وحفظ العقل، وحفظ النسل، وحفظ المال.</w:t>
      </w:r>
    </w:p>
    <w:p w:rsidR="005F44B2" w:rsidRPr="00DA75F8" w:rsidRDefault="005F44B2" w:rsidP="00A43858">
      <w:pPr>
        <w:pStyle w:val="a0"/>
        <w:rPr>
          <w:rtl/>
        </w:rPr>
      </w:pPr>
      <w:r w:rsidRPr="00DA75F8">
        <w:rPr>
          <w:rFonts w:hint="cs"/>
          <w:rtl/>
        </w:rPr>
        <w:t>نلاحظ</w:t>
      </w:r>
      <w:r w:rsidRPr="00DA75F8">
        <w:rPr>
          <w:rtl/>
        </w:rPr>
        <w:t xml:space="preserve"> من هذا الشرح أن أصول الشريعة وأحكام الشريعة تهدف إلى مصلحة الأمة وهو غاية السياسة الشرعية، لذا يجب أن تبنى أو أن تعتمد السياسة الشرعية على أ</w:t>
      </w:r>
      <w:r w:rsidRPr="00DA75F8">
        <w:rPr>
          <w:rFonts w:hint="cs"/>
          <w:rtl/>
        </w:rPr>
        <w:t>صول</w:t>
      </w:r>
      <w:r w:rsidRPr="00DA75F8">
        <w:rPr>
          <w:rtl/>
        </w:rPr>
        <w:t xml:space="preserve"> الشريعة، لأنه يتوصل </w:t>
      </w:r>
      <w:r w:rsidRPr="00DA75F8">
        <w:rPr>
          <w:rFonts w:hint="cs"/>
          <w:rtl/>
        </w:rPr>
        <w:t>بها</w:t>
      </w:r>
      <w:r w:rsidRPr="00DA75F8">
        <w:rPr>
          <w:rtl/>
        </w:rPr>
        <w:t xml:space="preserve"> إلى مصلحة الأمة</w:t>
      </w:r>
      <w:r>
        <w:rPr>
          <w:rFonts w:hint="cs"/>
          <w:rtl/>
        </w:rPr>
        <w:t>،</w:t>
      </w:r>
      <w:r w:rsidRPr="00DA75F8">
        <w:rPr>
          <w:rtl/>
        </w:rPr>
        <w:t xml:space="preserve"> إذا لم تتوفر هذا الشروط فلا تتحقق غاية السياسة الشرعية وهي مصلحة الأمة</w:t>
      </w:r>
      <w:r>
        <w:rPr>
          <w:rFonts w:hint="cs"/>
          <w:rtl/>
        </w:rPr>
        <w:t>،</w:t>
      </w:r>
      <w:r>
        <w:rPr>
          <w:rtl/>
        </w:rPr>
        <w:t xml:space="preserve"> وبالرجوع إلى تطبيقات السياسة الشرعية عند ابن عابدين، أن كل تطبيقات توافقة مع أحكام الشريعة حيث تهدف بها مصلحة الأمة، وسيدرس الباحث هذه التطبيبقات في الفصل الثالث إن شاء الله.</w:t>
      </w:r>
    </w:p>
    <w:p w:rsidR="005F44B2" w:rsidRPr="00DA75F8" w:rsidRDefault="005F44B2" w:rsidP="008171A1">
      <w:pPr>
        <w:pStyle w:val="NoSpacing"/>
        <w:rPr>
          <w:rtl/>
        </w:rPr>
      </w:pPr>
      <w:r w:rsidRPr="00DA75F8">
        <w:rPr>
          <w:rFonts w:hint="cs"/>
          <w:rtl/>
        </w:rPr>
        <w:t>الشرط</w:t>
      </w:r>
      <w:r w:rsidRPr="00DA75F8">
        <w:rPr>
          <w:rtl/>
        </w:rPr>
        <w:t xml:space="preserve"> الثاني: ألا يخالف الحكم دليلاً من الأدلة التفصيلية التي تثبت تشريعًا عامًا دائمًا للناس في كل الأحوال والأزمان والأم</w:t>
      </w:r>
      <w:r>
        <w:rPr>
          <w:rFonts w:hint="cs"/>
          <w:rtl/>
        </w:rPr>
        <w:t>اك</w:t>
      </w:r>
      <w:r w:rsidRPr="00DA75F8">
        <w:rPr>
          <w:rFonts w:hint="cs"/>
          <w:rtl/>
        </w:rPr>
        <w:t>ن</w:t>
      </w:r>
      <w:r w:rsidRPr="00DA75F8">
        <w:rPr>
          <w:rtl/>
        </w:rPr>
        <w:t xml:space="preserve"> والمجتمعات</w:t>
      </w:r>
      <w:r w:rsidRPr="00DA75F8">
        <w:rPr>
          <w:vertAlign w:val="superscript"/>
          <w:rtl/>
        </w:rPr>
        <w:t>(</w:t>
      </w:r>
      <w:r w:rsidRPr="00DA75F8">
        <w:rPr>
          <w:rStyle w:val="FootnoteReference"/>
          <w:rFonts w:cs="Arabic Transparent"/>
          <w:rtl/>
        </w:rPr>
        <w:footnoteReference w:id="257"/>
      </w:r>
      <w:r w:rsidRPr="00DA75F8">
        <w:rPr>
          <w:vertAlign w:val="superscript"/>
          <w:rtl/>
        </w:rPr>
        <w:t>)</w:t>
      </w:r>
      <w:r w:rsidRPr="00DA75F8">
        <w:rPr>
          <w:rtl/>
        </w:rPr>
        <w:t>.</w:t>
      </w:r>
    </w:p>
    <w:p w:rsidR="005F44B2" w:rsidRPr="00DA75F8" w:rsidRDefault="005F44B2" w:rsidP="007B6769">
      <w:pPr>
        <w:pStyle w:val="a0"/>
        <w:rPr>
          <w:rtl/>
        </w:rPr>
      </w:pPr>
      <w:r>
        <w:rPr>
          <w:rFonts w:hint="cs"/>
          <w:rtl/>
        </w:rPr>
        <w:t>ويتحقق</w:t>
      </w:r>
      <w:r>
        <w:rPr>
          <w:rtl/>
        </w:rPr>
        <w:t xml:space="preserve"> هذا الشرط بما يلي:</w:t>
      </w:r>
    </w:p>
    <w:p w:rsidR="005F44B2" w:rsidRPr="00DA75F8" w:rsidRDefault="005F44B2" w:rsidP="007B6769">
      <w:pPr>
        <w:pStyle w:val="a0"/>
        <w:rPr>
          <w:rtl/>
        </w:rPr>
      </w:pPr>
      <w:r w:rsidRPr="00DA75F8">
        <w:rPr>
          <w:rFonts w:hint="cs"/>
          <w:rtl/>
        </w:rPr>
        <w:t>أول</w:t>
      </w:r>
      <w:r>
        <w:rPr>
          <w:rFonts w:hint="cs"/>
          <w:rtl/>
        </w:rPr>
        <w:t>ًا</w:t>
      </w:r>
      <w:r w:rsidRPr="00DA75F8">
        <w:rPr>
          <w:rtl/>
        </w:rPr>
        <w:t xml:space="preserve">: </w:t>
      </w:r>
      <w:r>
        <w:rPr>
          <w:rtl/>
        </w:rPr>
        <w:t>"</w:t>
      </w:r>
      <w:r w:rsidRPr="00DA75F8">
        <w:rPr>
          <w:rFonts w:hint="cs"/>
          <w:rtl/>
        </w:rPr>
        <w:t>عدم</w:t>
      </w:r>
      <w:r w:rsidRPr="00DA75F8">
        <w:rPr>
          <w:rtl/>
        </w:rPr>
        <w:t xml:space="preserve"> وجود دليل تفصيلي خاص في الواقعة أو الحادثة التي هي محل الحكم، وحينئذ لاتوجد مخالفة أصلا لنص أو إجماع أو قياس، فيعتبر الحكم مستنبطًا من باب السياسة الشرعية لعدم المخالفة"</w:t>
      </w:r>
      <w:r w:rsidRPr="00DA75F8">
        <w:rPr>
          <w:vertAlign w:val="superscript"/>
          <w:rtl/>
        </w:rPr>
        <w:t>(</w:t>
      </w:r>
      <w:r w:rsidRPr="00DA75F8">
        <w:rPr>
          <w:rStyle w:val="FootnoteReference"/>
          <w:rFonts w:cs="Arabic Transparent"/>
          <w:rtl/>
        </w:rPr>
        <w:footnoteReference w:id="25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وبه</w:t>
      </w:r>
      <w:r w:rsidRPr="00DA75F8">
        <w:rPr>
          <w:rtl/>
        </w:rPr>
        <w:t xml:space="preserve"> الأمثلة ذلك: جمع أبو بكر – رضي الله عنه – القرآن في مصحف واحد</w:t>
      </w:r>
      <w:r>
        <w:rPr>
          <w:vertAlign w:val="superscript"/>
          <w:rtl/>
        </w:rPr>
        <w:t>(</w:t>
      </w:r>
      <w:r>
        <w:rPr>
          <w:rStyle w:val="FootnoteReference"/>
          <w:rFonts w:cs="Arabic Transparent"/>
          <w:rtl/>
        </w:rPr>
        <w:footnoteReference w:id="259"/>
      </w:r>
      <w:r>
        <w:rPr>
          <w:vertAlign w:val="superscript"/>
          <w:rtl/>
        </w:rPr>
        <w:t>)</w:t>
      </w:r>
      <w:r w:rsidRPr="00DA75F8">
        <w:rPr>
          <w:rtl/>
        </w:rPr>
        <w:t xml:space="preserve"> كان من باب السياسة الشرعية، </w:t>
      </w:r>
      <w:r>
        <w:rPr>
          <w:rFonts w:hint="cs"/>
          <w:rtl/>
        </w:rPr>
        <w:t>و</w:t>
      </w:r>
      <w:r w:rsidRPr="00DA75F8">
        <w:rPr>
          <w:rFonts w:hint="cs"/>
          <w:rtl/>
        </w:rPr>
        <w:t>من</w:t>
      </w:r>
      <w:r w:rsidRPr="00DA75F8">
        <w:rPr>
          <w:rtl/>
        </w:rPr>
        <w:t xml:space="preserve"> باب السياسة الشرعي</w:t>
      </w:r>
      <w:r w:rsidRPr="00DA75F8">
        <w:rPr>
          <w:rFonts w:hint="cs"/>
          <w:rtl/>
        </w:rPr>
        <w:t>ة</w:t>
      </w:r>
      <w:r w:rsidRPr="00DA75F8">
        <w:rPr>
          <w:rtl/>
        </w:rPr>
        <w:t xml:space="preserve"> أيضًا</w:t>
      </w:r>
      <w:r>
        <w:rPr>
          <w:rFonts w:hint="cs"/>
          <w:rtl/>
        </w:rPr>
        <w:t>،</w:t>
      </w:r>
      <w:r w:rsidRPr="00DA75F8">
        <w:rPr>
          <w:rtl/>
        </w:rPr>
        <w:t xml:space="preserve"> إحداث عثمان – رضي الله عنه – أذانًا جديدًا يوم الجمعة</w:t>
      </w:r>
      <w:r>
        <w:rPr>
          <w:vertAlign w:val="superscript"/>
          <w:rtl/>
        </w:rPr>
        <w:t>(</w:t>
      </w:r>
      <w:r>
        <w:rPr>
          <w:rStyle w:val="FootnoteReference"/>
          <w:rFonts w:cs="Arabic Transparent"/>
          <w:rtl/>
        </w:rPr>
        <w:footnoteReference w:id="260"/>
      </w:r>
      <w:r>
        <w:rPr>
          <w:vertAlign w:val="superscript"/>
          <w:rtl/>
        </w:rPr>
        <w:t>)</w:t>
      </w:r>
      <w:r w:rsidRPr="00DA75F8">
        <w:rPr>
          <w:rFonts w:hint="cs"/>
          <w:rtl/>
        </w:rPr>
        <w:t>،</w:t>
      </w:r>
      <w:r w:rsidRPr="00DA75F8">
        <w:rPr>
          <w:rtl/>
        </w:rPr>
        <w:t xml:space="preserve"> فكلا التصرفين كان من باب السياسة لأنهما لم يخالفا نصًا أو إجماعًا، كما أنهما توصلا إلى النتيجة التي أراد بها الشرع وهي مصلحة الأمة</w:t>
      </w:r>
      <w:r w:rsidRPr="00DA75F8">
        <w:rPr>
          <w:vertAlign w:val="superscript"/>
          <w:rtl/>
        </w:rPr>
        <w:t>(</w:t>
      </w:r>
      <w:r w:rsidRPr="00DA75F8">
        <w:rPr>
          <w:rStyle w:val="FootnoteReference"/>
          <w:rFonts w:cs="Arabic Transparent"/>
          <w:rtl/>
        </w:rPr>
        <w:footnoteReference w:id="26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الثاني</w:t>
      </w:r>
      <w:r w:rsidRPr="00DA75F8">
        <w:rPr>
          <w:rtl/>
        </w:rPr>
        <w:t xml:space="preserve">: " وجود دليل تفصيلي خاص في الواقعة يخالف الحكم مخالفة ظاهرية لا حقيقية، بأن علم أنّ ما دلّ عليه الدليل التفصيلي لم يقصد بالحكم أن يكون شريعة دائمة، بل قصد به أن يكون شريعة مؤقتة، بأن كان مقيدًا بوقت معين أو بسبب خاص أو حالة خاصة، أو مرتبطا بمصلحة معينة، أو كان معللا بعلة غائية، أو مجاريا لعرف موجود وقت </w:t>
      </w:r>
      <w:r w:rsidRPr="00DA75F8">
        <w:rPr>
          <w:rFonts w:hint="cs"/>
          <w:rtl/>
        </w:rPr>
        <w:t>نزول</w:t>
      </w:r>
      <w:r w:rsidRPr="00DA75F8">
        <w:rPr>
          <w:rtl/>
        </w:rPr>
        <w:t xml:space="preserve"> التشريع.</w:t>
      </w:r>
    </w:p>
    <w:p w:rsidR="005F44B2" w:rsidRPr="00DA75F8" w:rsidRDefault="005F44B2" w:rsidP="007B6769">
      <w:pPr>
        <w:pStyle w:val="a0"/>
        <w:rPr>
          <w:rtl/>
        </w:rPr>
      </w:pPr>
      <w:r w:rsidRPr="00DA75F8">
        <w:rPr>
          <w:rFonts w:hint="cs"/>
          <w:rtl/>
        </w:rPr>
        <w:t>فإذا</w:t>
      </w:r>
      <w:r w:rsidRPr="00DA75F8">
        <w:rPr>
          <w:rtl/>
        </w:rPr>
        <w:t xml:space="preserve"> وجد هذا الدليل فإن الحكم المخالف له إذا وجد ما يقتضيه عند انتهاء الوقت، أو تغير الأسباب والأحوال، أو انتهاء المصلحة، أو انتهاء العلة إلى غايتها، أو حدوث ظرف جديد طارىء، لا يعتبر مخالفا لأدلة الشرع وأحكام الإسلام مخالفة حقيقية في الواقع ونفس الأمر، وإنما هي مخالفة ظاهرية فقط، دل عليها تغير ما تقيد به النص من وقت أو سبب أو حال أو مصلحة أو علة أو غيرها"</w:t>
      </w:r>
      <w:r w:rsidRPr="00DA75F8">
        <w:rPr>
          <w:vertAlign w:val="superscript"/>
          <w:rtl/>
        </w:rPr>
        <w:t>(</w:t>
      </w:r>
      <w:r w:rsidRPr="00DA75F8">
        <w:rPr>
          <w:rStyle w:val="FootnoteReference"/>
          <w:rFonts w:cs="Arabic Transparent"/>
          <w:rtl/>
        </w:rPr>
        <w:footnoteReference w:id="26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يُلاحظ</w:t>
      </w:r>
      <w:r w:rsidRPr="00DA75F8">
        <w:rPr>
          <w:rtl/>
        </w:rPr>
        <w:t xml:space="preserve"> أن الحكم لم يكن م</w:t>
      </w:r>
      <w:r>
        <w:rPr>
          <w:rFonts w:hint="cs"/>
          <w:rtl/>
        </w:rPr>
        <w:t>خال</w:t>
      </w:r>
      <w:r w:rsidRPr="00DA75F8">
        <w:rPr>
          <w:rFonts w:hint="cs"/>
          <w:rtl/>
        </w:rPr>
        <w:t>فًا</w:t>
      </w:r>
      <w:r w:rsidRPr="00DA75F8">
        <w:rPr>
          <w:rtl/>
        </w:rPr>
        <w:t xml:space="preserve"> للدليل التفصيلي مخالفة حقيقيةً لذا يمكن اعتباره من باب السياسة الشرعية، ومثاله فعل عمر – رضي الله عنه –</w:t>
      </w:r>
      <w:r w:rsidRPr="00DA75F8">
        <w:rPr>
          <w:rFonts w:hint="cs"/>
          <w:rtl/>
        </w:rPr>
        <w:t>عندما</w:t>
      </w:r>
      <w:r w:rsidRPr="00DA75F8">
        <w:rPr>
          <w:rtl/>
        </w:rPr>
        <w:t xml:space="preserve"> منع سهم المؤلفة قلوب</w:t>
      </w:r>
      <w:r w:rsidRPr="00DA75F8">
        <w:rPr>
          <w:rFonts w:hint="cs"/>
          <w:rtl/>
        </w:rPr>
        <w:t>هم</w:t>
      </w:r>
      <w:r w:rsidRPr="00DA75F8">
        <w:rPr>
          <w:rtl/>
        </w:rPr>
        <w:t xml:space="preserve"> من مال الزكاة</w:t>
      </w:r>
      <w:r>
        <w:rPr>
          <w:vertAlign w:val="superscript"/>
          <w:rtl/>
        </w:rPr>
        <w:t>(</w:t>
      </w:r>
      <w:r>
        <w:rPr>
          <w:rStyle w:val="FootnoteReference"/>
          <w:rFonts w:cs="Arabic Transparent"/>
          <w:rtl/>
        </w:rPr>
        <w:footnoteReference w:id="263"/>
      </w:r>
      <w:r>
        <w:rPr>
          <w:vertAlign w:val="superscript"/>
          <w:rtl/>
        </w:rPr>
        <w:t>)</w:t>
      </w:r>
      <w:r w:rsidRPr="00DA75F8">
        <w:rPr>
          <w:rFonts w:hint="cs"/>
          <w:rtl/>
        </w:rPr>
        <w:t>،</w:t>
      </w:r>
      <w:r w:rsidRPr="00DA75F8">
        <w:rPr>
          <w:rtl/>
        </w:rPr>
        <w:t xml:space="preserve"> وهذا مخالفٌ</w:t>
      </w:r>
      <w:r>
        <w:rPr>
          <w:rtl/>
        </w:rPr>
        <w:t xml:space="preserve"> ظاهريًا</w:t>
      </w:r>
      <w:r w:rsidRPr="00DA75F8">
        <w:rPr>
          <w:rtl/>
        </w:rPr>
        <w:t xml:space="preserve"> للنص</w:t>
      </w:r>
      <w:r>
        <w:rPr>
          <w:rtl/>
        </w:rPr>
        <w:t xml:space="preserve"> وليس مخالف حقيقيًا </w:t>
      </w:r>
      <w:r w:rsidRPr="00DA75F8">
        <w:rPr>
          <w:rFonts w:hint="cs"/>
          <w:rtl/>
        </w:rPr>
        <w:t>و</w:t>
      </w:r>
      <w:r>
        <w:rPr>
          <w:rtl/>
        </w:rPr>
        <w:t xml:space="preserve"> النص </w:t>
      </w:r>
      <w:r w:rsidRPr="00DA75F8">
        <w:rPr>
          <w:rFonts w:hint="cs"/>
          <w:rtl/>
        </w:rPr>
        <w:t>هو</w:t>
      </w:r>
      <w:r w:rsidRPr="00DA75F8">
        <w:rPr>
          <w:rtl/>
        </w:rPr>
        <w:t xml:space="preserve"> قوله تعالى: " إِنَّمَا الصَّدَقَاتُ لِلْفُقَرَاءِ وَالْمَسَاكِينِ وَالْعَامِلِينَ عَلَيْهَا وَالْمُؤَلَّفَةِ قُلُوبُهُمْ وَفِي الرِّقَابِ وَالْغَارِمِينَ وَفِي سَبِيلِ اللَّهِ وَابْنِ السَّبِيلِ  فَرِيضَةً مِنَ اللَّهِ  وَاللَّهُ عَلِيمٌ حَكِيمٌ"</w:t>
      </w:r>
      <w:r w:rsidRPr="00DA75F8">
        <w:rPr>
          <w:vertAlign w:val="superscript"/>
          <w:rtl/>
        </w:rPr>
        <w:t>(</w:t>
      </w:r>
      <w:r w:rsidRPr="00DA75F8">
        <w:rPr>
          <w:rStyle w:val="FootnoteReference"/>
          <w:rFonts w:cs="Arabic Transparent"/>
          <w:rtl/>
        </w:rPr>
        <w:footnoteReference w:id="26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وبيّن</w:t>
      </w:r>
      <w:r w:rsidRPr="00DA75F8">
        <w:rPr>
          <w:rtl/>
        </w:rPr>
        <w:t xml:space="preserve"> ابن عابدين منع عمر – رضي الله عنه – سهمهم حيث قال : " لما منعهم عمر - رضي الله تعالى عنهما - وانعقد عليه إجماع الصحابة، نعم على القول بأنه لا إجماع إلا عن مستند يجب علمهم بدليل أفاد نسخ ذلك قبل وفاته - صلى الله عليه وسلم - أو تقييد الحكم بحياته أو كونه حكما م</w:t>
      </w:r>
      <w:r>
        <w:rPr>
          <w:rFonts w:hint="cs"/>
          <w:rtl/>
        </w:rPr>
        <w:t>ُ</w:t>
      </w:r>
      <w:r w:rsidRPr="00DA75F8">
        <w:rPr>
          <w:rFonts w:hint="cs"/>
          <w:rtl/>
        </w:rPr>
        <w:t>غ</w:t>
      </w:r>
      <w:r>
        <w:rPr>
          <w:rFonts w:hint="cs"/>
          <w:rtl/>
        </w:rPr>
        <w:t>َ</w:t>
      </w:r>
      <w:r w:rsidRPr="00DA75F8">
        <w:rPr>
          <w:rFonts w:hint="cs"/>
          <w:rtl/>
        </w:rPr>
        <w:t>ي</w:t>
      </w:r>
      <w:r>
        <w:rPr>
          <w:rFonts w:hint="cs"/>
          <w:rtl/>
        </w:rPr>
        <w:t>ًّ</w:t>
      </w:r>
      <w:r w:rsidRPr="00DA75F8">
        <w:rPr>
          <w:rFonts w:hint="cs"/>
          <w:rtl/>
        </w:rPr>
        <w:t>ا</w:t>
      </w:r>
      <w:r w:rsidRPr="00DA75F8">
        <w:rPr>
          <w:rtl/>
        </w:rPr>
        <w:t xml:space="preserve"> بانتهاء علته وقد اتفق بعد وفاته وتمامه في الفتح لكن لا يجب علمنا نحن بدليل الإجماع كما هو مقرر في محله.</w:t>
      </w:r>
    </w:p>
    <w:p w:rsidR="005F44B2" w:rsidRDefault="005F44B2" w:rsidP="007B6769">
      <w:pPr>
        <w:pStyle w:val="a0"/>
        <w:rPr>
          <w:rtl/>
        </w:rPr>
      </w:pPr>
      <w:r w:rsidRPr="00DA75F8">
        <w:rPr>
          <w:rtl/>
        </w:rPr>
        <w:t xml:space="preserve">(قوله: إما بزوال العلة) هي إعزاز الدين فهو من قبيل انتهاء الحكم لانتهاء علته الغائية التي كان لأجلها الدفع، فإن </w:t>
      </w:r>
      <w:r w:rsidRPr="00DA75F8">
        <w:rPr>
          <w:rFonts w:hint="cs"/>
          <w:rtl/>
        </w:rPr>
        <w:t>الدفع</w:t>
      </w:r>
      <w:r w:rsidRPr="00DA75F8">
        <w:rPr>
          <w:rtl/>
        </w:rPr>
        <w:t xml:space="preserve"> كان للإعزاز وقد أعز الله الإسلام وأغنى عنهم بحر لكن مجرد التعليل بكونه معللا بعلة انتهت لا يصلح دليلا على نفي الحكم المعلل؛ لأن الحكم لا يحتاج في بقائه إلى بقاء علته"</w:t>
      </w:r>
      <w:r w:rsidRPr="00DA75F8">
        <w:rPr>
          <w:vertAlign w:val="superscript"/>
          <w:rtl/>
        </w:rPr>
        <w:t>(</w:t>
      </w:r>
      <w:r w:rsidRPr="00DA75F8">
        <w:rPr>
          <w:rStyle w:val="FootnoteReference"/>
          <w:rFonts w:cs="Arabic Transparent"/>
          <w:rtl/>
        </w:rPr>
        <w:footnoteReference w:id="265"/>
      </w:r>
      <w:r w:rsidRPr="00DA75F8">
        <w:rPr>
          <w:vertAlign w:val="superscript"/>
          <w:rtl/>
        </w:rPr>
        <w:t>)</w:t>
      </w:r>
      <w:r w:rsidRPr="00DA75F8">
        <w:rPr>
          <w:rtl/>
        </w:rPr>
        <w:t>.</w:t>
      </w:r>
    </w:p>
    <w:p w:rsidR="005F44B2" w:rsidRPr="00DA75F8" w:rsidRDefault="005F44B2" w:rsidP="00D3604D">
      <w:pPr>
        <w:pStyle w:val="a0"/>
        <w:rPr>
          <w:rtl/>
        </w:rPr>
      </w:pPr>
      <w:r>
        <w:rPr>
          <w:rFonts w:hint="cs"/>
          <w:rtl/>
        </w:rPr>
        <w:t>قد</w:t>
      </w:r>
      <w:r>
        <w:rPr>
          <w:rtl/>
        </w:rPr>
        <w:t xml:space="preserve"> أشار ابن عابدين هنا إلى علة الحكم لبيان منع</w:t>
      </w:r>
      <w:r w:rsidRPr="00DA75F8">
        <w:rPr>
          <w:rtl/>
        </w:rPr>
        <w:t xml:space="preserve"> عمر – رضي الله عنه –</w:t>
      </w:r>
      <w:r>
        <w:rPr>
          <w:rtl/>
        </w:rPr>
        <w:t xml:space="preserve"> سهم مؤلفة قلوب، حيث علة الحكم في اعطاء ال</w:t>
      </w:r>
      <w:r>
        <w:rPr>
          <w:rFonts w:hint="cs"/>
          <w:rtl/>
        </w:rPr>
        <w:t>سهم</w:t>
      </w:r>
      <w:r>
        <w:rPr>
          <w:rtl/>
        </w:rPr>
        <w:t xml:space="preserve"> هي إعزاز الدين في بد</w:t>
      </w:r>
      <w:r>
        <w:rPr>
          <w:rFonts w:hint="cs"/>
          <w:rtl/>
        </w:rPr>
        <w:t>اية</w:t>
      </w:r>
      <w:r>
        <w:rPr>
          <w:rtl/>
        </w:rPr>
        <w:t xml:space="preserve"> الإسلام، قد زالت العلة باعزاز الله تعالى الإسلامَ، ونتيجة من ذلك انتهى الحكم بانتهاء علته. </w:t>
      </w:r>
    </w:p>
    <w:p w:rsidR="005F44B2" w:rsidRPr="00DA75F8" w:rsidRDefault="005F44B2" w:rsidP="006B6878">
      <w:pPr>
        <w:pStyle w:val="a0"/>
        <w:rPr>
          <w:rtl/>
        </w:rPr>
      </w:pPr>
      <w:r w:rsidRPr="00DA75F8">
        <w:rPr>
          <w:rFonts w:hint="cs"/>
          <w:rtl/>
        </w:rPr>
        <w:t>ومن</w:t>
      </w:r>
      <w:r w:rsidRPr="00DA75F8">
        <w:rPr>
          <w:rtl/>
        </w:rPr>
        <w:t xml:space="preserve"> هنا </w:t>
      </w:r>
      <w:r>
        <w:rPr>
          <w:rFonts w:hint="cs"/>
          <w:rtl/>
        </w:rPr>
        <w:t>يُفهم</w:t>
      </w:r>
      <w:r>
        <w:rPr>
          <w:rtl/>
        </w:rPr>
        <w:t xml:space="preserve"> من كلام ابن عابدين</w:t>
      </w:r>
      <w:r w:rsidRPr="00DA75F8">
        <w:rPr>
          <w:rtl/>
        </w:rPr>
        <w:t xml:space="preserve"> أن فعل عمر – رضي الله </w:t>
      </w:r>
      <w:r>
        <w:rPr>
          <w:rFonts w:hint="cs"/>
          <w:rtl/>
        </w:rPr>
        <w:t>ع</w:t>
      </w:r>
      <w:r w:rsidRPr="00DA75F8">
        <w:rPr>
          <w:rFonts w:hint="cs"/>
          <w:rtl/>
        </w:rPr>
        <w:t>نه</w:t>
      </w:r>
      <w:r w:rsidRPr="00DA75F8">
        <w:rPr>
          <w:rtl/>
        </w:rPr>
        <w:t xml:space="preserve"> – ليس مخالفا للشرع لأن النص ليس عامًا ولا يُعمل به في كل زمان ومكان وهذا حكم ملغي بسبب انتهاء علته وهي إعزاز الدين، إذن فعل عمر – رضي الله عنه – ليس مخالفةً حقيقيةً بل ظاهريةً لذا فعله من باب السياسة الشرعية.</w:t>
      </w:r>
      <w:r>
        <w:rPr>
          <w:rtl/>
        </w:rPr>
        <w:t xml:space="preserve"> ومع ذلك ظهر وجودية هذا الشرط عند ابن عابددين.</w:t>
      </w:r>
    </w:p>
    <w:p w:rsidR="005F44B2" w:rsidRPr="00DA75F8" w:rsidRDefault="005F44B2" w:rsidP="008171A1">
      <w:pPr>
        <w:pStyle w:val="NoSpacing"/>
        <w:rPr>
          <w:rtl/>
        </w:rPr>
      </w:pPr>
      <w:r w:rsidRPr="00DA75F8">
        <w:rPr>
          <w:rFonts w:hint="cs"/>
          <w:rtl/>
        </w:rPr>
        <w:t>الشرط</w:t>
      </w:r>
      <w:r w:rsidRPr="00DA75F8">
        <w:rPr>
          <w:rtl/>
        </w:rPr>
        <w:t xml:space="preserve"> الثالث: أن تكون السياسة معتدلة، فلا إفراط ولا تفريط</w:t>
      </w:r>
      <w:r w:rsidRPr="00DA75F8">
        <w:rPr>
          <w:vertAlign w:val="superscript"/>
          <w:rtl/>
        </w:rPr>
        <w:t>(</w:t>
      </w:r>
      <w:r w:rsidRPr="00DA75F8">
        <w:rPr>
          <w:rStyle w:val="FootnoteReference"/>
          <w:rFonts w:cs="Arabic Transparent"/>
          <w:rtl/>
        </w:rPr>
        <w:footnoteReference w:id="266"/>
      </w:r>
      <w:r w:rsidRPr="00DA75F8">
        <w:rPr>
          <w:vertAlign w:val="superscript"/>
          <w:rtl/>
        </w:rPr>
        <w:t>)</w:t>
      </w:r>
      <w:r w:rsidRPr="00DA75F8">
        <w:rPr>
          <w:rtl/>
        </w:rPr>
        <w:t>.</w:t>
      </w:r>
    </w:p>
    <w:p w:rsidR="005F44B2" w:rsidRPr="00DA75F8" w:rsidRDefault="005F44B2" w:rsidP="00412CD4">
      <w:pPr>
        <w:pStyle w:val="a0"/>
        <w:rPr>
          <w:rtl/>
        </w:rPr>
      </w:pPr>
      <w:r w:rsidRPr="00DA75F8">
        <w:rPr>
          <w:rFonts w:hint="cs"/>
          <w:rtl/>
        </w:rPr>
        <w:t>أن</w:t>
      </w:r>
      <w:r w:rsidRPr="00DA75F8">
        <w:rPr>
          <w:rtl/>
        </w:rPr>
        <w:t xml:space="preserve"> السياسة نوعان هما السياسة العادلة والسياسة الظالمة،</w:t>
      </w:r>
      <w:r>
        <w:rPr>
          <w:rtl/>
        </w:rPr>
        <w:t xml:space="preserve"> حيث</w:t>
      </w:r>
      <w:r w:rsidRPr="00DA75F8">
        <w:rPr>
          <w:rtl/>
        </w:rPr>
        <w:t xml:space="preserve"> أشار إلى </w:t>
      </w:r>
      <w:r>
        <w:rPr>
          <w:rFonts w:hint="cs"/>
          <w:rtl/>
        </w:rPr>
        <w:t>ذلك</w:t>
      </w:r>
      <w:r w:rsidRPr="00DA75F8">
        <w:rPr>
          <w:rtl/>
        </w:rPr>
        <w:t xml:space="preserve"> ابن عابدين </w:t>
      </w:r>
      <w:r>
        <w:rPr>
          <w:rFonts w:hint="cs"/>
          <w:rtl/>
        </w:rPr>
        <w:t>و</w:t>
      </w:r>
      <w:r w:rsidRPr="00DA75F8">
        <w:rPr>
          <w:rFonts w:hint="cs"/>
          <w:rtl/>
        </w:rPr>
        <w:t>قال</w:t>
      </w:r>
      <w:r w:rsidRPr="00DA75F8">
        <w:rPr>
          <w:rtl/>
        </w:rPr>
        <w:t xml:space="preserve"> " وهي نوعان: سياسة ظالمة فالشريعة تحرمها، وسياسة عادلة تخرج الحق من الظالم، وتدفع كثيرا من المظالم، وتردع أهل الفساد، وتوصل إلى المقاصد الشرعية فالشريعة توجب المصير إليها والاعتماد في إظهار الحق عليها، وهي باب واسع، فمن أراد تفصيلها فعليه بمراجعة كتاب معين الحكام للقاضي علاء الدين الأسود الطرابلسي الحنفي"</w:t>
      </w:r>
      <w:r w:rsidRPr="00DA75F8">
        <w:rPr>
          <w:vertAlign w:val="superscript"/>
          <w:rtl/>
        </w:rPr>
        <w:t>(</w:t>
      </w:r>
      <w:r w:rsidRPr="00DA75F8">
        <w:rPr>
          <w:rStyle w:val="FootnoteReference"/>
          <w:rFonts w:cs="Arabic Transparent"/>
          <w:rtl/>
        </w:rPr>
        <w:footnoteReference w:id="267"/>
      </w:r>
      <w:r w:rsidRPr="00DA75F8">
        <w:rPr>
          <w:vertAlign w:val="superscript"/>
          <w:rtl/>
        </w:rPr>
        <w:t>)</w:t>
      </w:r>
      <w:r w:rsidRPr="00DA75F8">
        <w:rPr>
          <w:rtl/>
        </w:rPr>
        <w:t>.</w:t>
      </w:r>
    </w:p>
    <w:p w:rsidR="005F44B2" w:rsidRPr="00DA75F8" w:rsidRDefault="005F44B2" w:rsidP="00270117">
      <w:pPr>
        <w:pStyle w:val="a0"/>
        <w:rPr>
          <w:rtl/>
        </w:rPr>
      </w:pPr>
      <w:r w:rsidRPr="00DA75F8">
        <w:rPr>
          <w:rFonts w:hint="cs"/>
          <w:rtl/>
        </w:rPr>
        <w:t>وإذا</w:t>
      </w:r>
      <w:r w:rsidRPr="00DA75F8">
        <w:rPr>
          <w:rtl/>
        </w:rPr>
        <w:t xml:space="preserve"> رجعنا إلى كتاب الطرابلسي نرى أنه بيّن لنا</w:t>
      </w:r>
      <w:r>
        <w:rPr>
          <w:rtl/>
        </w:rPr>
        <w:t xml:space="preserve"> أن السياسةقد </w:t>
      </w:r>
      <w:r w:rsidRPr="00DA75F8">
        <w:rPr>
          <w:rFonts w:hint="cs"/>
          <w:rtl/>
        </w:rPr>
        <w:t>يكون</w:t>
      </w:r>
      <w:r>
        <w:rPr>
          <w:rtl/>
        </w:rPr>
        <w:t xml:space="preserve"> فيها</w:t>
      </w:r>
      <w:r w:rsidRPr="00DA75F8">
        <w:rPr>
          <w:rFonts w:hint="cs"/>
          <w:rtl/>
        </w:rPr>
        <w:t>إفراط</w:t>
      </w:r>
      <w:r>
        <w:rPr>
          <w:rtl/>
        </w:rPr>
        <w:t xml:space="preserve"> و</w:t>
      </w:r>
      <w:r w:rsidRPr="00DA75F8">
        <w:rPr>
          <w:rFonts w:hint="cs"/>
          <w:rtl/>
        </w:rPr>
        <w:t>تفريط</w:t>
      </w:r>
      <w:r w:rsidRPr="00DA75F8">
        <w:rPr>
          <w:rtl/>
        </w:rPr>
        <w:t xml:space="preserve"> في السياسة، حيث قال: " وهي باب واسع تضل فيه الأفهام وتزل فيه الأقدام، وإهماله يضيع الحقوق ويعطل الحدود ويُجزئِ أهل الفساد ويُعين أهل العناد، والتوسعُ فيه </w:t>
      </w:r>
      <w:r w:rsidRPr="00DA75F8">
        <w:rPr>
          <w:rFonts w:hint="cs"/>
          <w:rtl/>
        </w:rPr>
        <w:t>يَفتَح</w:t>
      </w:r>
      <w:r w:rsidRPr="00DA75F8">
        <w:rPr>
          <w:rtl/>
        </w:rPr>
        <w:t xml:space="preserve"> أبواب المظالم الش</w:t>
      </w:r>
      <w:r w:rsidRPr="00DA75F8">
        <w:rPr>
          <w:rFonts w:hint="cs"/>
          <w:rtl/>
        </w:rPr>
        <w:t>نيعة</w:t>
      </w:r>
      <w:r w:rsidRPr="00DA75F8">
        <w:rPr>
          <w:rtl/>
        </w:rPr>
        <w:t xml:space="preserve"> ويوجب سفك الدماء وأخذ الأموال غير الشرعية، ولهذا سلك فيه طائفة مسلك التفريط المذموم فقطعوا النظر عن هذا الباب إلا فيما قل ظنا منهم أن تعاطي ذلك مناف للقواعد الشرعية، فسدوا من طرق الحق سبلًا واضحة، وعدلوا إلى طريق من العناد فاضحة؛ لأن في إنكار السياسة الشرعية ردا للنصوص الشرعية وتغليطا للخلفاء الراشدين.</w:t>
      </w:r>
    </w:p>
    <w:p w:rsidR="005F44B2" w:rsidRPr="00DA75F8" w:rsidRDefault="005F44B2" w:rsidP="007B6769">
      <w:pPr>
        <w:pStyle w:val="a0"/>
        <w:rPr>
          <w:rtl/>
        </w:rPr>
      </w:pPr>
      <w:r w:rsidRPr="00DA75F8">
        <w:rPr>
          <w:rFonts w:hint="cs"/>
          <w:rtl/>
        </w:rPr>
        <w:t>وطائفة</w:t>
      </w:r>
      <w:r w:rsidRPr="00DA75F8">
        <w:rPr>
          <w:rtl/>
        </w:rPr>
        <w:t xml:space="preserve"> سلكت في هذا الباب مسلك الإفراط فتعدوا حدود الله وخرجوا عن قانون الشرع إلى أنواع من الظلم والبدع السياسية، وتوهموا أن السياسة الشرعية قاصرة عن سياسة الحق ومصلحة الأمة، وهو جهل وغلط فاحش، فقد قال عز من قائل «اليوم أكملت لكم دينكم»</w:t>
      </w:r>
      <w:r>
        <w:rPr>
          <w:vertAlign w:val="superscript"/>
          <w:rtl/>
        </w:rPr>
        <w:t>(</w:t>
      </w:r>
      <w:r>
        <w:rPr>
          <w:rStyle w:val="FootnoteReference"/>
          <w:rFonts w:cs="Arabic Transparent"/>
          <w:rtl/>
        </w:rPr>
        <w:footnoteReference w:id="268"/>
      </w:r>
      <w:r>
        <w:rPr>
          <w:vertAlign w:val="superscript"/>
          <w:rtl/>
        </w:rPr>
        <w:t>)</w:t>
      </w:r>
      <w:r w:rsidRPr="00DA75F8">
        <w:rPr>
          <w:rtl/>
        </w:rPr>
        <w:t xml:space="preserve"> فدخل في هذا جميع مصالح العباد الدينية والدنيوية على وجه الكمال.</w:t>
      </w:r>
    </w:p>
    <w:p w:rsidR="005F44B2" w:rsidRPr="00DA75F8" w:rsidRDefault="005F44B2" w:rsidP="007B6769">
      <w:pPr>
        <w:pStyle w:val="a0"/>
        <w:rPr>
          <w:rtl/>
        </w:rPr>
      </w:pPr>
      <w:r w:rsidRPr="00DA75F8">
        <w:rPr>
          <w:rFonts w:hint="cs"/>
          <w:rtl/>
        </w:rPr>
        <w:t>وقال</w:t>
      </w:r>
      <w:r w:rsidRPr="00DA75F8">
        <w:rPr>
          <w:rtl/>
        </w:rPr>
        <w:t xml:space="preserve"> - صلى الله عليه وسلم - «تركت فيكم ما إن تمسكتم به لن تضلوا: كتاب الله، وسنتي»</w:t>
      </w:r>
      <w:r w:rsidRPr="00DA75F8">
        <w:rPr>
          <w:vertAlign w:val="superscript"/>
          <w:rtl/>
        </w:rPr>
        <w:t>(</w:t>
      </w:r>
      <w:r w:rsidRPr="00DA75F8">
        <w:rPr>
          <w:rStyle w:val="FootnoteReference"/>
          <w:rFonts w:cs="Arabic Transparent"/>
          <w:rtl/>
        </w:rPr>
        <w:footnoteReference w:id="269"/>
      </w:r>
      <w:r w:rsidRPr="00DA75F8">
        <w:rPr>
          <w:vertAlign w:val="superscript"/>
          <w:rtl/>
        </w:rPr>
        <w:t>)</w:t>
      </w:r>
      <w:r w:rsidRPr="00DA75F8">
        <w:rPr>
          <w:rtl/>
        </w:rPr>
        <w:t xml:space="preserve"> وطائفة توسطت وسلكت فيه مسلك الحق وجمعوا بين السياسة والشرع فقمعوا الباطل ودحضوه ونصبوا الشرع ونصروه، والله يهدي من يشاء إلى صراط مستقيم"</w:t>
      </w:r>
      <w:r w:rsidRPr="00DA75F8">
        <w:rPr>
          <w:vertAlign w:val="superscript"/>
          <w:rtl/>
        </w:rPr>
        <w:t>(</w:t>
      </w:r>
      <w:r w:rsidRPr="00DA75F8">
        <w:rPr>
          <w:rStyle w:val="FootnoteReference"/>
          <w:rFonts w:cs="Arabic Transparent"/>
          <w:rtl/>
        </w:rPr>
        <w:footnoteReference w:id="270"/>
      </w:r>
      <w:r w:rsidRPr="00DA75F8">
        <w:rPr>
          <w:vertAlign w:val="superscript"/>
          <w:rtl/>
        </w:rPr>
        <w:t>)</w:t>
      </w:r>
      <w:r w:rsidRPr="00DA75F8">
        <w:rPr>
          <w:rtl/>
        </w:rPr>
        <w:t>.</w:t>
      </w:r>
    </w:p>
    <w:p w:rsidR="005F44B2" w:rsidRDefault="005F44B2" w:rsidP="007B6769">
      <w:pPr>
        <w:pStyle w:val="a0"/>
        <w:rPr>
          <w:rtl/>
        </w:rPr>
      </w:pPr>
      <w:r w:rsidRPr="00DA75F8">
        <w:rPr>
          <w:rFonts w:hint="cs"/>
          <w:rtl/>
        </w:rPr>
        <w:t>لاحظنا</w:t>
      </w:r>
      <w:r w:rsidRPr="00DA75F8">
        <w:rPr>
          <w:rtl/>
        </w:rPr>
        <w:t xml:space="preserve"> أن الإفراط والتفريط يمنعان وصول السياسة الشرعية إلى غايتها وهي مصلحة الأمة، وعند اتباع سلوك التفريط أو الإفراط في السياسة الشرعية تضيع مصلحة الأمة، التي هي أساس السياسة الشرعية وغايتها، لذا فالاعتدال شرط في السياسة الشرعية.</w:t>
      </w:r>
    </w:p>
    <w:p w:rsidR="005F44B2" w:rsidRPr="00DA75F8" w:rsidRDefault="005F44B2" w:rsidP="00334923">
      <w:pPr>
        <w:pStyle w:val="a0"/>
        <w:rPr>
          <w:rtl/>
        </w:rPr>
      </w:pPr>
      <w:r>
        <w:rPr>
          <w:rFonts w:hint="cs"/>
          <w:rtl/>
        </w:rPr>
        <w:t>تظهر</w:t>
      </w:r>
      <w:r>
        <w:rPr>
          <w:rtl/>
        </w:rPr>
        <w:t xml:space="preserve"> هذا الشرط في ابن عابدن عند الن</w:t>
      </w:r>
      <w:r>
        <w:rPr>
          <w:rFonts w:hint="cs"/>
          <w:rtl/>
        </w:rPr>
        <w:t>ظر</w:t>
      </w:r>
      <w:r>
        <w:rPr>
          <w:rtl/>
        </w:rPr>
        <w:t xml:space="preserve"> إلى تطبيقاته في السيا</w:t>
      </w:r>
      <w:r>
        <w:rPr>
          <w:rFonts w:hint="cs"/>
          <w:rtl/>
        </w:rPr>
        <w:t>سة</w:t>
      </w:r>
      <w:r>
        <w:rPr>
          <w:rtl/>
        </w:rPr>
        <w:t xml:space="preserve"> الشرعية، حيث أنه لم يتبع سلوك التفريط أو الإفراط في السياسة الشرعية، فمثلًا قتل المبتدع سياسة، فابن عابدين يحكم على قتله بآخر الطريقة، حيث عقوبة</w:t>
      </w:r>
      <w:r w:rsidRPr="00DA75F8">
        <w:rPr>
          <w:rFonts w:hint="cs"/>
          <w:rtl/>
        </w:rPr>
        <w:t>البدعة</w:t>
      </w:r>
      <w:r w:rsidRPr="00DA75F8">
        <w:rPr>
          <w:rtl/>
        </w:rPr>
        <w:t xml:space="preserve"> التي لاتوجب الكفر تعزير</w:t>
      </w:r>
      <w:r>
        <w:rPr>
          <w:rtl/>
        </w:rPr>
        <w:t xml:space="preserve"> عنده</w:t>
      </w:r>
      <w:r w:rsidRPr="00DA75F8">
        <w:rPr>
          <w:rFonts w:hint="cs"/>
          <w:rtl/>
        </w:rPr>
        <w:t>،</w:t>
      </w:r>
      <w:r w:rsidRPr="00DA75F8">
        <w:rPr>
          <w:rtl/>
        </w:rPr>
        <w:t xml:space="preserve"> وهذا التعزير يمنع البدعة، إذا لم تُمنَع البدعة في الوجه الأول، وتُزاد عقوبة في التعزير، أي يعاقب المبتدع بوجه يمكن منعه من بدعته، مثلا إن لم يمكن إلابحبس وضرب فيجوز حبسه وضربه، وأيضًا لو لم يمكن المنع إلا بقتل فيجوز قتل المبتدع وقتله سياسة</w:t>
      </w:r>
      <w:r w:rsidRPr="00DA75F8">
        <w:rPr>
          <w:vertAlign w:val="superscript"/>
          <w:rtl/>
        </w:rPr>
        <w:t>(</w:t>
      </w:r>
      <w:r w:rsidRPr="00DA75F8">
        <w:rPr>
          <w:rStyle w:val="FootnoteReference"/>
          <w:rFonts w:cs="Arabic Transparent"/>
          <w:rtl/>
        </w:rPr>
        <w:footnoteReference w:id="271"/>
      </w:r>
      <w:r w:rsidRPr="00DA75F8">
        <w:rPr>
          <w:vertAlign w:val="superscript"/>
          <w:rtl/>
        </w:rPr>
        <w:t>)</w:t>
      </w:r>
      <w:r>
        <w:rPr>
          <w:rFonts w:hint="cs"/>
          <w:rtl/>
        </w:rPr>
        <w:t>،</w:t>
      </w:r>
      <w:r>
        <w:rPr>
          <w:rtl/>
        </w:rPr>
        <w:t xml:space="preserve"> وهذه المثال بيّنت أن ابن عابدين لم يتبع سلوك التفري</w:t>
      </w:r>
      <w:r>
        <w:rPr>
          <w:rFonts w:hint="cs"/>
          <w:rtl/>
        </w:rPr>
        <w:t>ط</w:t>
      </w:r>
      <w:r>
        <w:rPr>
          <w:rtl/>
        </w:rPr>
        <w:t xml:space="preserve"> أو الإفراط، بل حكم على قتله في الأخير ليمنعه من البدعة، وفيه أمثلة أخرى التي سيتحدث الباحث عنها في الفصل الثالث. ومن نتيجة ذلك من الممكن للباحث أن يقول أنّ ابن عابدين يرى هذه الشرط من شروط السياسة الشرعية.</w:t>
      </w:r>
    </w:p>
    <w:p w:rsidR="005F44B2" w:rsidRPr="00DA75F8" w:rsidRDefault="005F44B2" w:rsidP="005E6A96">
      <w:pPr>
        <w:pStyle w:val="a2"/>
        <w:jc w:val="left"/>
        <w:rPr>
          <w:noProof/>
        </w:rPr>
      </w:pPr>
      <w:bookmarkStart w:id="24" w:name="_Toc447092566"/>
      <w:r w:rsidRPr="00DA75F8">
        <w:rPr>
          <w:rFonts w:hint="cs"/>
          <w:noProof/>
          <w:rtl/>
        </w:rPr>
        <w:t>المبحث</w:t>
      </w:r>
      <w:r w:rsidRPr="00DA75F8">
        <w:rPr>
          <w:noProof/>
          <w:rtl/>
        </w:rPr>
        <w:t xml:space="preserve"> الثالث: قواعد التنظيمات ومدى تأثرها بآراء ابن عابدين</w:t>
      </w:r>
      <w:bookmarkEnd w:id="24"/>
    </w:p>
    <w:p w:rsidR="005F44B2" w:rsidRPr="00DA75F8" w:rsidRDefault="005F44B2" w:rsidP="007B6769">
      <w:pPr>
        <w:pStyle w:val="a0"/>
        <w:rPr>
          <w:rtl/>
        </w:rPr>
      </w:pPr>
      <w:r w:rsidRPr="00DA75F8">
        <w:rPr>
          <w:rFonts w:hint="cs"/>
          <w:rtl/>
        </w:rPr>
        <w:t>يتكون</w:t>
      </w:r>
      <w:r w:rsidRPr="00DA75F8">
        <w:rPr>
          <w:rtl/>
        </w:rPr>
        <w:t xml:space="preserve"> هذا المبحث من مطلبين، المطلب الأول: معنى قواعد التنظيمات، وأورد فيها معلومات عن الدولة العثمانية ومجلة الأحكام العدلية، وبعد ذلكأُنهي المطلب بذكر ما لابن عابدين من أثر في قواعد مجلة الأحكام العدلية.</w:t>
      </w:r>
    </w:p>
    <w:p w:rsidR="005F44B2" w:rsidRPr="00DA75F8" w:rsidRDefault="005F44B2" w:rsidP="005E6A96">
      <w:pPr>
        <w:pStyle w:val="a3"/>
        <w:rPr>
          <w:rtl/>
        </w:rPr>
      </w:pPr>
      <w:bookmarkStart w:id="25" w:name="_Toc447092567"/>
      <w:r w:rsidRPr="00DA75F8">
        <w:rPr>
          <w:rFonts w:hint="cs"/>
          <w:rtl/>
        </w:rPr>
        <w:t>المطلب</w:t>
      </w:r>
      <w:r w:rsidRPr="00DA75F8">
        <w:rPr>
          <w:rtl/>
        </w:rPr>
        <w:t xml:space="preserve"> الأول:معنى قواعد التنظيمات</w:t>
      </w:r>
      <w:bookmarkEnd w:id="25"/>
    </w:p>
    <w:p w:rsidR="005F44B2" w:rsidRPr="00DA75F8" w:rsidRDefault="005F44B2" w:rsidP="00864336">
      <w:pPr>
        <w:pStyle w:val="a0"/>
        <w:rPr>
          <w:rtl/>
        </w:rPr>
      </w:pPr>
      <w:r w:rsidRPr="00DA75F8">
        <w:rPr>
          <w:rFonts w:hint="cs"/>
          <w:rtl/>
        </w:rPr>
        <w:t>إنّ</w:t>
      </w:r>
      <w:r w:rsidRPr="00DA75F8">
        <w:rPr>
          <w:rtl/>
        </w:rPr>
        <w:t xml:space="preserve"> تناول موضوع عهد التنظيمات في الدولة العثمانية مهم في هذه الرسالة، لأن الدولة في هذا الزمان رتبت بعض القوانين الإصلاحية الجديدة لتوقف كلًا من تخلفها وتدخل الدول الغربية في أمورها الداخلية، ومن هذه التنظيمات؛ مسألة الخدمة العسكرية، وتحصيل قيمة الضرائب، وحدود سلطة الحكام، </w:t>
      </w:r>
      <w:r>
        <w:rPr>
          <w:rFonts w:hint="cs"/>
          <w:rtl/>
        </w:rPr>
        <w:t>حقوق</w:t>
      </w:r>
      <w:r>
        <w:rPr>
          <w:rtl/>
        </w:rPr>
        <w:t xml:space="preserve"> وواجبات</w:t>
      </w:r>
      <w:r w:rsidRPr="00DA75F8">
        <w:rPr>
          <w:rtl/>
        </w:rPr>
        <w:t xml:space="preserve"> غير المسلم في القانون، وغير ذلك. وقد وُضعت ت</w:t>
      </w:r>
      <w:r w:rsidRPr="00DA75F8">
        <w:rPr>
          <w:rFonts w:hint="cs"/>
          <w:rtl/>
        </w:rPr>
        <w:t>شريعا</w:t>
      </w:r>
      <w:r w:rsidRPr="00DA75F8">
        <w:rPr>
          <w:rtl/>
        </w:rPr>
        <w:t xml:space="preserve"> وقوانين جديدة تنظم </w:t>
      </w:r>
      <w:r w:rsidRPr="00DA75F8">
        <w:rPr>
          <w:rFonts w:hint="cs"/>
          <w:rtl/>
        </w:rPr>
        <w:t>هذا</w:t>
      </w:r>
      <w:r w:rsidRPr="00DA75F8">
        <w:rPr>
          <w:rtl/>
        </w:rPr>
        <w:t xml:space="preserve"> الأمور، ولكنّ هذا التشريع لم يُنَفَّذ في كل المناطق بسبب ردة فعل الشعب الرافضة له</w:t>
      </w:r>
      <w:r>
        <w:rPr>
          <w:rFonts w:hint="cs"/>
          <w:rtl/>
        </w:rPr>
        <w:t>،</w:t>
      </w:r>
      <w:r>
        <w:rPr>
          <w:rtl/>
        </w:rPr>
        <w:t xml:space="preserve"> لذ</w:t>
      </w:r>
      <w:r w:rsidRPr="00DA75F8">
        <w:rPr>
          <w:rFonts w:hint="cs"/>
          <w:rtl/>
        </w:rPr>
        <w:t>لك</w:t>
      </w:r>
      <w:r w:rsidRPr="00DA75F8">
        <w:rPr>
          <w:rtl/>
        </w:rPr>
        <w:t xml:space="preserve"> نُفّذ فيمناطق مناسبة</w:t>
      </w:r>
      <w:r>
        <w:rPr>
          <w:rtl/>
        </w:rPr>
        <w:t xml:space="preserve"> أولًا ثمّ انتقل</w:t>
      </w:r>
      <w:r w:rsidRPr="00DA75F8">
        <w:rPr>
          <w:rtl/>
        </w:rPr>
        <w:t xml:space="preserve"> تنفيذه </w:t>
      </w:r>
      <w:r>
        <w:rPr>
          <w:rFonts w:hint="cs"/>
          <w:rtl/>
        </w:rPr>
        <w:t>إلى</w:t>
      </w:r>
      <w:r>
        <w:rPr>
          <w:rtl/>
        </w:rPr>
        <w:t xml:space="preserve"> بقية الدول بالتدريج، وكانت مجلة الأحكام العدلية في القانون التجاري والم</w:t>
      </w:r>
      <w:r>
        <w:rPr>
          <w:rFonts w:hint="cs"/>
          <w:rtl/>
        </w:rPr>
        <w:t>الي</w:t>
      </w:r>
      <w:r>
        <w:rPr>
          <w:rtl/>
        </w:rPr>
        <w:t xml:space="preserve"> والمعاملات المالية.</w:t>
      </w:r>
    </w:p>
    <w:p w:rsidR="005F44B2" w:rsidRPr="00DA75F8" w:rsidRDefault="005F44B2" w:rsidP="007B6769">
      <w:pPr>
        <w:pStyle w:val="a0"/>
      </w:pPr>
      <w:r w:rsidRPr="00DA75F8">
        <w:rPr>
          <w:rFonts w:hint="cs"/>
          <w:rtl/>
        </w:rPr>
        <w:t>وتكتسب</w:t>
      </w:r>
      <w:r w:rsidRPr="00DA75F8">
        <w:rPr>
          <w:rtl/>
        </w:rPr>
        <w:t xml:space="preserve"> مجلة الأحكام العدلية أهمية في هذه الدراسة بسبب وجود علاء الدين عابدين – ولد ابن عابدين – عضوًا فيها أثناء إعداد هذه القوانين، وفي أغلب الظن أنه قدّم آراء أبيه مدة عضويته، فقد كان عضوا من فترة اعداد الكتاب الأول إلى الكتاب الخامس، لكنه بعد ذلك استقال من عضويته ورجع إلى الشام.</w:t>
      </w:r>
    </w:p>
    <w:p w:rsidR="005F44B2" w:rsidRPr="00DA75F8" w:rsidRDefault="005F44B2" w:rsidP="007B6769">
      <w:pPr>
        <w:pStyle w:val="a0"/>
      </w:pPr>
      <w:r w:rsidRPr="00DA75F8">
        <w:rPr>
          <w:rFonts w:hint="cs"/>
          <w:rtl/>
        </w:rPr>
        <w:t>وفي</w:t>
      </w:r>
      <w:r w:rsidRPr="00DA75F8">
        <w:rPr>
          <w:rtl/>
        </w:rPr>
        <w:t xml:space="preserve"> هذا المطلب سيقدّم الباحث أولا معلومات مختصرة عن التنظيمات وبعد ذلك عن مجلة الأحكام العدلية وفيها سيذكر الباحث سيرة أحمد جودت باشا الذي بذل جهده لتشكيل مجلة الأحكام العدلية ومن ثم أصبح أول رئيسٍ لها.</w:t>
      </w:r>
    </w:p>
    <w:p w:rsidR="005F44B2" w:rsidRPr="00DA75F8" w:rsidRDefault="005F44B2" w:rsidP="008171A1">
      <w:pPr>
        <w:pStyle w:val="NoSpacing"/>
        <w:rPr>
          <w:rtl/>
        </w:rPr>
      </w:pPr>
      <w:r w:rsidRPr="00DA75F8">
        <w:rPr>
          <w:rFonts w:hint="cs"/>
          <w:rtl/>
        </w:rPr>
        <w:t>الفرع</w:t>
      </w:r>
      <w:r w:rsidRPr="00DA75F8">
        <w:rPr>
          <w:rtl/>
        </w:rPr>
        <w:t xml:space="preserve"> الأول: التنظيمات</w:t>
      </w:r>
      <w:r w:rsidRPr="00DA75F8">
        <w:rPr>
          <w:vertAlign w:val="superscript"/>
          <w:rtl/>
        </w:rPr>
        <w:t>(</w:t>
      </w:r>
      <w:r w:rsidRPr="00DA75F8">
        <w:rPr>
          <w:rStyle w:val="FootnoteReference"/>
          <w:rFonts w:cs="Arabic Transparent"/>
          <w:rtl/>
        </w:rPr>
        <w:footnoteReference w:id="272"/>
      </w:r>
      <w:r w:rsidRPr="00DA75F8">
        <w:rPr>
          <w:vertAlign w:val="superscript"/>
          <w:rtl/>
        </w:rPr>
        <w:t>)</w:t>
      </w:r>
    </w:p>
    <w:p w:rsidR="005F44B2" w:rsidRPr="00DA75F8" w:rsidRDefault="005F44B2" w:rsidP="007B6769">
      <w:pPr>
        <w:pStyle w:val="a0"/>
      </w:pPr>
      <w:r w:rsidRPr="00DA75F8">
        <w:rPr>
          <w:rFonts w:hint="cs"/>
          <w:rtl/>
        </w:rPr>
        <w:t>توجد</w:t>
      </w:r>
      <w:r w:rsidRPr="00DA75F8">
        <w:rPr>
          <w:rtl/>
        </w:rPr>
        <w:t xml:space="preserve"> روايات عن تاريخ بداية ونهاية التنظيمات، ولكن الراجح المشهور أنها بدأت بإعلان (كلخانة خط الهمايوني)</w:t>
      </w:r>
      <w:r w:rsidRPr="00DA75F8">
        <w:rPr>
          <w:vertAlign w:val="superscript"/>
          <w:rtl/>
        </w:rPr>
        <w:t>(</w:t>
      </w:r>
      <w:r w:rsidRPr="00DA75F8">
        <w:rPr>
          <w:rStyle w:val="FootnoteReference"/>
          <w:rFonts w:cs="Arabic Transparent"/>
          <w:rtl/>
        </w:rPr>
        <w:footnoteReference w:id="273"/>
      </w:r>
      <w:r w:rsidRPr="00DA75F8">
        <w:rPr>
          <w:vertAlign w:val="superscript"/>
          <w:rtl/>
        </w:rPr>
        <w:t>)</w:t>
      </w:r>
      <w:r w:rsidRPr="00DA75F8">
        <w:rPr>
          <w:rtl/>
        </w:rPr>
        <w:t xml:space="preserve"> في 3 تشرين الثاني 1839م وانتهت بإغلاق "مجلس المبعوثان"</w:t>
      </w:r>
      <w:r w:rsidRPr="00DA75F8">
        <w:rPr>
          <w:vertAlign w:val="superscript"/>
          <w:rtl/>
        </w:rPr>
        <w:t>(</w:t>
      </w:r>
      <w:r w:rsidRPr="00DA75F8">
        <w:rPr>
          <w:rStyle w:val="FootnoteReference"/>
          <w:rFonts w:cs="Arabic Transparent"/>
          <w:rtl/>
        </w:rPr>
        <w:footnoteReference w:id="274"/>
      </w:r>
      <w:r w:rsidRPr="00DA75F8">
        <w:rPr>
          <w:vertAlign w:val="superscript"/>
          <w:rtl/>
        </w:rPr>
        <w:t>)</w:t>
      </w:r>
      <w:r w:rsidRPr="00DA75F8">
        <w:rPr>
          <w:rtl/>
        </w:rPr>
        <w:t xml:space="preserve"> في 1878م</w:t>
      </w:r>
      <w:r w:rsidRPr="00DA75F8">
        <w:rPr>
          <w:vertAlign w:val="superscript"/>
          <w:rtl/>
        </w:rPr>
        <w:t>(</w:t>
      </w:r>
      <w:r w:rsidRPr="00DA75F8">
        <w:rPr>
          <w:rStyle w:val="FootnoteReference"/>
          <w:rFonts w:cs="Arabic Transparent"/>
          <w:rtl/>
        </w:rPr>
        <w:footnoteReference w:id="275"/>
      </w:r>
      <w:r w:rsidRPr="00DA75F8">
        <w:rPr>
          <w:vertAlign w:val="superscript"/>
          <w:rtl/>
        </w:rPr>
        <w:t>)</w:t>
      </w:r>
      <w:r w:rsidRPr="00DA75F8">
        <w:rPr>
          <w:rtl/>
        </w:rPr>
        <w:t>.</w:t>
      </w:r>
    </w:p>
    <w:p w:rsidR="005F44B2" w:rsidRPr="00DA75F8" w:rsidRDefault="005F44B2" w:rsidP="00334923">
      <w:pPr>
        <w:pStyle w:val="a0"/>
      </w:pPr>
      <w:r w:rsidRPr="00DA75F8">
        <w:rPr>
          <w:rFonts w:hint="cs"/>
          <w:rtl/>
        </w:rPr>
        <w:t>أُعلن</w:t>
      </w:r>
      <w:r w:rsidRPr="00DA75F8">
        <w:rPr>
          <w:rtl/>
        </w:rPr>
        <w:t xml:space="preserve"> فرمان</w:t>
      </w:r>
      <w:r w:rsidRPr="00DA75F8">
        <w:rPr>
          <w:vertAlign w:val="superscript"/>
          <w:rtl/>
        </w:rPr>
        <w:t>(</w:t>
      </w:r>
      <w:r w:rsidRPr="00DA75F8">
        <w:rPr>
          <w:rStyle w:val="FootnoteReference"/>
          <w:rFonts w:cs="Arabic Transparent"/>
          <w:rtl/>
        </w:rPr>
        <w:footnoteReference w:id="276"/>
      </w:r>
      <w:r w:rsidRPr="00DA75F8">
        <w:rPr>
          <w:vertAlign w:val="superscript"/>
          <w:rtl/>
        </w:rPr>
        <w:t>)</w:t>
      </w:r>
      <w:r w:rsidRPr="00DA75F8">
        <w:rPr>
          <w:rtl/>
        </w:rPr>
        <w:t xml:space="preserve"> التنظيمات في ميدان </w:t>
      </w:r>
      <w:r w:rsidRPr="00334923">
        <w:rPr>
          <w:rFonts w:hint="cs"/>
          <w:rtl/>
        </w:rPr>
        <w:t>كلخانة</w:t>
      </w:r>
      <w:r w:rsidRPr="00334923">
        <w:rPr>
          <w:rtl/>
        </w:rPr>
        <w:t xml:space="preserve"> </w:t>
      </w:r>
      <w:r w:rsidRPr="00DA75F8">
        <w:rPr>
          <w:rFonts w:hint="cs"/>
          <w:rtl/>
        </w:rPr>
        <w:t>أمام</w:t>
      </w:r>
      <w:r w:rsidRPr="00DA75F8">
        <w:rPr>
          <w:rtl/>
        </w:rPr>
        <w:t xml:space="preserve"> الشعب وقادة الشعب في 3 تشرين الثاني 1839، وأعلن في هذا الفرمان تشريع قوانين جديدة في المس</w:t>
      </w:r>
      <w:r w:rsidRPr="00DA75F8">
        <w:rPr>
          <w:rFonts w:hint="cs"/>
          <w:rtl/>
        </w:rPr>
        <w:t>تقبل</w:t>
      </w:r>
      <w:r w:rsidRPr="00DA75F8">
        <w:rPr>
          <w:rtl/>
        </w:rPr>
        <w:t xml:space="preserve"> لإيقاف الوضع السيء للدولة واستعادة قوة الدولة السابقة، وأيضا لتخليص الشعب من الفقر والعودة به إلى المكانة ال</w:t>
      </w:r>
      <w:r>
        <w:rPr>
          <w:rFonts w:hint="cs"/>
          <w:rtl/>
        </w:rPr>
        <w:t>إ</w:t>
      </w:r>
      <w:r w:rsidRPr="00DA75F8">
        <w:rPr>
          <w:rFonts w:hint="cs"/>
          <w:rtl/>
        </w:rPr>
        <w:t>قتصاديةالقديمة</w:t>
      </w:r>
      <w:r w:rsidRPr="00DA75F8">
        <w:rPr>
          <w:rtl/>
        </w:rPr>
        <w:t xml:space="preserve"> المرموقة. وقد بُيّن أساس هذه القوانين وهو: حفظ النفس والمال والعرض</w:t>
      </w:r>
      <w:r w:rsidRPr="00DA75F8">
        <w:rPr>
          <w:vertAlign w:val="superscript"/>
          <w:rtl/>
        </w:rPr>
        <w:t>(</w:t>
      </w:r>
      <w:r w:rsidRPr="00DA75F8">
        <w:rPr>
          <w:rStyle w:val="FootnoteReference"/>
          <w:rFonts w:cs="Arabic Transparent"/>
          <w:rtl/>
        </w:rPr>
        <w:footnoteReference w:id="277"/>
      </w:r>
      <w:r w:rsidRPr="00DA75F8">
        <w:rPr>
          <w:vertAlign w:val="superscript"/>
          <w:rtl/>
        </w:rPr>
        <w:t>)</w:t>
      </w:r>
      <w:r w:rsidRPr="00DA75F8">
        <w:rPr>
          <w:rFonts w:hint="cs"/>
          <w:rtl/>
        </w:rPr>
        <w:t>،</w:t>
      </w:r>
      <w:r w:rsidRPr="00DA75F8">
        <w:rPr>
          <w:rtl/>
        </w:rPr>
        <w:t xml:space="preserve"> وتنظيم الضرائب، وإصلاح الخدمة العسكرية. وأعلن جبي الضرائب بحسب قدرة كل شخص، وتقليل مدة الخدمة العسكرية 4 أو 5 سنوات</w:t>
      </w:r>
      <w:r w:rsidRPr="00DA75F8">
        <w:rPr>
          <w:vertAlign w:val="superscript"/>
          <w:rtl/>
        </w:rPr>
        <w:t>(</w:t>
      </w:r>
      <w:r w:rsidRPr="00DA75F8">
        <w:rPr>
          <w:rStyle w:val="FootnoteReference"/>
          <w:rFonts w:cs="Arabic Transparent"/>
          <w:rtl/>
        </w:rPr>
        <w:footnoteReference w:id="278"/>
      </w:r>
      <w:r w:rsidRPr="00DA75F8">
        <w:rPr>
          <w:vertAlign w:val="superscript"/>
          <w:rtl/>
        </w:rPr>
        <w:t>)</w:t>
      </w:r>
      <w:r w:rsidRPr="00DA75F8">
        <w:rPr>
          <w:rtl/>
        </w:rPr>
        <w:t xml:space="preserve"> لتأثير مدتها السلبي على ازدياد السكان و تطور الزراعة، وأُعلن عن مساواة المسلم بغير المسلم. واستنكرت بعض الدول (النمسا و روسيا) هذه القوانين، فيما استحسنتها دول أخرى (إنجلترا وفرنسا) </w:t>
      </w:r>
      <w:r w:rsidRPr="00DA75F8">
        <w:rPr>
          <w:vertAlign w:val="superscript"/>
          <w:rtl/>
        </w:rPr>
        <w:t>(</w:t>
      </w:r>
      <w:r w:rsidRPr="00DA75F8">
        <w:rPr>
          <w:rStyle w:val="FootnoteReference"/>
          <w:rFonts w:cs="Arabic Transparent"/>
          <w:rtl/>
        </w:rPr>
        <w:footnoteReference w:id="279"/>
      </w:r>
      <w:r w:rsidRPr="00DA75F8">
        <w:rPr>
          <w:vertAlign w:val="superscript"/>
          <w:rtl/>
        </w:rPr>
        <w:t>)</w:t>
      </w:r>
      <w:r w:rsidRPr="00DA75F8">
        <w:rPr>
          <w:rtl/>
        </w:rPr>
        <w:t>.</w:t>
      </w:r>
    </w:p>
    <w:p w:rsidR="005F44B2" w:rsidRPr="00DA75F8" w:rsidRDefault="005F44B2" w:rsidP="007B6769">
      <w:pPr>
        <w:pStyle w:val="a0"/>
      </w:pPr>
      <w:r w:rsidRPr="00DA75F8">
        <w:rPr>
          <w:rFonts w:hint="cs"/>
          <w:rtl/>
        </w:rPr>
        <w:t>بعد</w:t>
      </w:r>
      <w:r w:rsidRPr="00DA75F8">
        <w:rPr>
          <w:rtl/>
        </w:rPr>
        <w:t xml:space="preserve"> إعلان التنظيمات أصبح هنالك تطور اقتصادي، وصناعي، وثقافي، على مستوى الأمة، ومن أهم هذه الإبداعات فرمان الإصلاحات، وكان الهدف الأسمى من إعلان فرمان الإصلاحات بتاريخ 18 شباط 1856 إعاقة تدخل الدول الأجنبية في الأمور الداخلية، ومع هذا الفرمان أُعطي غيرُ المسلمين حقوقًا تساويهم بالمسلمين في الحقوق المدنية. عندما ننظر بالإجمال نرى أن فرمان التنظيمات يهدف إلى إصلاح كل شخص أما فرما</w:t>
      </w:r>
      <w:r w:rsidRPr="00DA75F8">
        <w:rPr>
          <w:rFonts w:hint="cs"/>
          <w:rtl/>
        </w:rPr>
        <w:t>ن</w:t>
      </w:r>
      <w:r w:rsidRPr="00DA75F8">
        <w:rPr>
          <w:rtl/>
        </w:rPr>
        <w:t xml:space="preserve"> الإصلاحات فيهدف إلى إعطاء حقوقٍلغير المسلمين</w:t>
      </w:r>
      <w:r w:rsidRPr="00DA75F8">
        <w:rPr>
          <w:vertAlign w:val="superscript"/>
          <w:rtl/>
        </w:rPr>
        <w:t>(</w:t>
      </w:r>
      <w:r w:rsidRPr="00DA75F8">
        <w:rPr>
          <w:rStyle w:val="FootnoteReference"/>
          <w:rFonts w:cs="Arabic Transparent"/>
          <w:rtl/>
        </w:rPr>
        <w:footnoteReference w:id="280"/>
      </w:r>
      <w:r w:rsidRPr="00DA75F8">
        <w:rPr>
          <w:vertAlign w:val="superscript"/>
          <w:rtl/>
        </w:rPr>
        <w:t>)</w:t>
      </w:r>
      <w:r w:rsidRPr="00DA75F8">
        <w:rPr>
          <w:rtl/>
        </w:rPr>
        <w:t>.</w:t>
      </w:r>
    </w:p>
    <w:p w:rsidR="005F44B2" w:rsidRPr="00DA75F8" w:rsidRDefault="005F44B2" w:rsidP="007B6769">
      <w:pPr>
        <w:pStyle w:val="a0"/>
      </w:pPr>
      <w:r w:rsidRPr="00DA75F8">
        <w:rPr>
          <w:rFonts w:hint="cs"/>
          <w:rtl/>
        </w:rPr>
        <w:t>استمرت</w:t>
      </w:r>
      <w:r w:rsidRPr="00DA75F8">
        <w:rPr>
          <w:rtl/>
        </w:rPr>
        <w:t xml:space="preserve"> الإصلاحات ( حركة تجديد) في الحقوق أيضا، وقد أثرت فرنسا في إصلاحات الحقوق، وبناءً على هذا تكوّنت الحقوق التجارية - التي أُعلنت في هذا الزمان – بترجمة الكتاب الأول والثالث من القانون ال</w:t>
      </w:r>
      <w:r w:rsidRPr="00DA75F8">
        <w:rPr>
          <w:rFonts w:hint="cs"/>
          <w:rtl/>
        </w:rPr>
        <w:t>تجاري</w:t>
      </w:r>
      <w:r w:rsidRPr="00DA75F8">
        <w:rPr>
          <w:rtl/>
        </w:rPr>
        <w:t xml:space="preserve"> الفرنسي وتكييفه الذي كان معلنًا بتاريخ 1807م، وفي هذا الزمان أُقترحت ترجمة القانون المدني الفرنسي وتكييفه ولكن أول المعترضين كان أحمد جودت باشا و فؤاد باشا وبعدهم اعترض بعض رجال الدولة، وعلى هذه الاعتراضات تأسست هيئة المجلة تحت رئاسة احمد جودت باشا، وجُهّزت مجلة الأحكام العدلية بعد جهد ثمانية سنوات</w:t>
      </w:r>
      <w:r w:rsidRPr="00DA75F8">
        <w:rPr>
          <w:vertAlign w:val="superscript"/>
          <w:rtl/>
        </w:rPr>
        <w:t>(</w:t>
      </w:r>
      <w:r w:rsidRPr="00DA75F8">
        <w:rPr>
          <w:rStyle w:val="FootnoteReference"/>
          <w:rFonts w:cs="Arabic Transparent"/>
          <w:rtl/>
        </w:rPr>
        <w:footnoteReference w:id="281"/>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الثاني: أحمد جودت باشا</w:t>
      </w:r>
    </w:p>
    <w:p w:rsidR="005F44B2" w:rsidRPr="00DA75F8" w:rsidRDefault="005F44B2" w:rsidP="007B6769">
      <w:pPr>
        <w:pStyle w:val="a0"/>
        <w:rPr>
          <w:rtl/>
        </w:rPr>
      </w:pPr>
      <w:r w:rsidRPr="00DA75F8">
        <w:rPr>
          <w:rFonts w:hint="cs"/>
          <w:rtl/>
        </w:rPr>
        <w:t>أحمد</w:t>
      </w:r>
      <w:r w:rsidRPr="00DA75F8">
        <w:rPr>
          <w:rtl/>
        </w:rPr>
        <w:t xml:space="preserve"> جودت باشا كان رئيسا للجنة المجلة، وقد اجتهد كثيرا لتشكيل قوانين المجلة، وقبل أن ننتقل إلى المجلة سيقدّم الباحث سيرة أحمد جودت باشا بشكل مختصر.</w:t>
      </w:r>
    </w:p>
    <w:p w:rsidR="005F44B2" w:rsidRPr="00DA75F8" w:rsidRDefault="005F44B2" w:rsidP="00386722">
      <w:pPr>
        <w:pStyle w:val="a0"/>
        <w:rPr>
          <w:rtl/>
        </w:rPr>
      </w:pPr>
      <w:r w:rsidRPr="00DA75F8">
        <w:rPr>
          <w:rFonts w:hint="cs"/>
          <w:rtl/>
        </w:rPr>
        <w:t>ولد</w:t>
      </w:r>
      <w:r w:rsidRPr="00DA75F8">
        <w:rPr>
          <w:rtl/>
        </w:rPr>
        <w:t xml:space="preserve"> أحمد جودت باشا في 26-27 آذار 1822 (13-14 رجب 1238)  في  بلغاريا، وبدأ علمه في صغره، أخذ درس العربية برغبة</w:t>
      </w:r>
      <w:r>
        <w:rPr>
          <w:rtl/>
        </w:rPr>
        <w:t xml:space="preserve"> وبدعم</w:t>
      </w:r>
      <w:r w:rsidRPr="00DA75F8">
        <w:rPr>
          <w:rtl/>
        </w:rPr>
        <w:t xml:space="preserve"> من</w:t>
      </w:r>
      <w:r>
        <w:rPr>
          <w:rtl/>
        </w:rPr>
        <w:t xml:space="preserve"> جده</w:t>
      </w:r>
      <w:r w:rsidRPr="00DA75F8">
        <w:rPr>
          <w:rFonts w:hint="cs"/>
          <w:rtl/>
        </w:rPr>
        <w:t>،</w:t>
      </w:r>
      <w:r w:rsidRPr="00DA75F8">
        <w:rPr>
          <w:rtl/>
        </w:rPr>
        <w:t xml:space="preserve"> </w:t>
      </w:r>
      <w:r>
        <w:rPr>
          <w:rFonts w:hint="cs"/>
          <w:rtl/>
        </w:rPr>
        <w:t>وكان</w:t>
      </w:r>
      <w:r>
        <w:rPr>
          <w:rtl/>
        </w:rPr>
        <w:t xml:space="preserve"> ذكيًا بحيث تعلم بسرعة</w:t>
      </w:r>
      <w:r w:rsidRPr="00DA75F8">
        <w:rPr>
          <w:rtl/>
        </w:rPr>
        <w:t xml:space="preserve"> وبدأ قراءة الكتب العلمية الإسلامية، وبعد ذلك ذهب إلى اسطنبول في 1839 (1255)، وأخذ دروسًا من العلماء الكبار في زمنه، وأيضا أخذ مع الدروس الإسلامية دروس (المثنوي)</w:t>
      </w:r>
      <w:r w:rsidRPr="00DA75F8">
        <w:rPr>
          <w:vertAlign w:val="superscript"/>
          <w:rtl/>
        </w:rPr>
        <w:t>(</w:t>
      </w:r>
      <w:r w:rsidRPr="00DA75F8">
        <w:rPr>
          <w:rStyle w:val="FootnoteReference"/>
          <w:rFonts w:cs="Arabic Transparent"/>
          <w:rtl/>
        </w:rPr>
        <w:footnoteReference w:id="282"/>
      </w:r>
      <w:r w:rsidRPr="00DA75F8">
        <w:rPr>
          <w:vertAlign w:val="superscript"/>
          <w:rtl/>
        </w:rPr>
        <w:t>)</w:t>
      </w:r>
      <w:r w:rsidRPr="00DA75F8">
        <w:rPr>
          <w:rFonts w:hint="cs"/>
          <w:rtl/>
        </w:rPr>
        <w:t>،</w:t>
      </w:r>
      <w:r w:rsidRPr="00DA75F8">
        <w:rPr>
          <w:rtl/>
        </w:rPr>
        <w:t xml:space="preserve"> والجبر، والهندسة، والأدب، والشعر وغير ذلك. بعد أن أخذ إجازة في بعض العلوم بدأ بتدريسه حيثكان يدرس ويدرّس في نفس الوقت، ومع هذا اهتم باللغات الأجنبية وتقدّم في العربية والفارسية حيث كان يقرأ ويكتب بسهولة، وتقدّم في الفرنسية والبلغارية</w:t>
      </w:r>
      <w:r w:rsidRPr="00DA75F8">
        <w:rPr>
          <w:vertAlign w:val="superscript"/>
          <w:rtl/>
        </w:rPr>
        <w:t>(</w:t>
      </w:r>
      <w:r w:rsidRPr="00DA75F8">
        <w:rPr>
          <w:rStyle w:val="FootnoteReference"/>
          <w:rFonts w:cs="Arabic Transparent"/>
          <w:rtl/>
        </w:rPr>
        <w:footnoteReference w:id="283"/>
      </w:r>
      <w:r w:rsidRPr="00DA75F8">
        <w:rPr>
          <w:vertAlign w:val="superscript"/>
          <w:rtl/>
        </w:rPr>
        <w:t>)</w:t>
      </w:r>
      <w:r w:rsidRPr="00DA75F8">
        <w:rPr>
          <w:rtl/>
        </w:rPr>
        <w:t>.</w:t>
      </w:r>
    </w:p>
    <w:p w:rsidR="005F44B2" w:rsidRPr="00DA75F8" w:rsidRDefault="005F44B2" w:rsidP="00F729D0">
      <w:pPr>
        <w:pStyle w:val="a0"/>
      </w:pPr>
      <w:r w:rsidRPr="00DA75F8">
        <w:rPr>
          <w:rFonts w:hint="cs"/>
          <w:rtl/>
        </w:rPr>
        <w:t>بدأ</w:t>
      </w:r>
      <w:r w:rsidRPr="00DA75F8">
        <w:rPr>
          <w:rtl/>
        </w:rPr>
        <w:t xml:space="preserve"> أحمد جودت باشا قاضيا بخدمة الدولة في بلدة (بِرَمَدِي) التابعة إلى (روملي قاضي عسكر) </w:t>
      </w:r>
      <w:r w:rsidRPr="00DA75F8">
        <w:rPr>
          <w:lang w:val="en-US"/>
        </w:rPr>
        <w:t>Rumeli</w:t>
      </w:r>
      <w:r w:rsidRPr="00DA75F8">
        <w:t xml:space="preserve"> kazaskerli</w:t>
      </w:r>
      <w:r w:rsidRPr="00DA75F8">
        <w:rPr>
          <w:rFonts w:ascii="Times New Roman" w:hAnsi="Times New Roman" w:cs="Times New Roman"/>
        </w:rPr>
        <w:t>ğ</w:t>
      </w:r>
      <w:r w:rsidRPr="00DA75F8">
        <w:t>i)</w:t>
      </w:r>
      <w:r w:rsidRPr="00DA75F8">
        <w:rPr>
          <w:rtl/>
        </w:rPr>
        <w:t>)</w:t>
      </w:r>
      <w:r w:rsidRPr="00DA75F8">
        <w:rPr>
          <w:vertAlign w:val="superscript"/>
          <w:rtl/>
        </w:rPr>
        <w:t>(</w:t>
      </w:r>
      <w:r w:rsidRPr="00DA75F8">
        <w:rPr>
          <w:rStyle w:val="FootnoteReference"/>
          <w:rFonts w:cs="Arabic Transparent"/>
          <w:rtl/>
        </w:rPr>
        <w:footnoteReference w:id="284"/>
      </w:r>
      <w:r w:rsidRPr="00DA75F8">
        <w:rPr>
          <w:vertAlign w:val="superscript"/>
          <w:rtl/>
        </w:rPr>
        <w:t>)</w:t>
      </w:r>
      <w:r w:rsidRPr="00DA75F8">
        <w:rPr>
          <w:rFonts w:hint="cs"/>
          <w:rtl/>
        </w:rPr>
        <w:t>،</w:t>
      </w:r>
      <w:r w:rsidRPr="00DA75F8">
        <w:rPr>
          <w:rtl/>
        </w:rPr>
        <w:t xml:space="preserve"> تقدّم في سلّم الدولة في وقت قصير وهكذا تدرّج في مواضع مختلفة في الدولة، مثل: كاتب تاريخ الدولة</w:t>
      </w:r>
      <w:r w:rsidRPr="00DA75F8">
        <w:rPr>
          <w:vertAlign w:val="superscript"/>
          <w:rtl/>
        </w:rPr>
        <w:t>(</w:t>
      </w:r>
      <w:r w:rsidRPr="00DA75F8">
        <w:rPr>
          <w:rStyle w:val="FootnoteReference"/>
          <w:rFonts w:cs="Arabic Transparent"/>
          <w:rtl/>
        </w:rPr>
        <w:footnoteReference w:id="285"/>
      </w:r>
      <w:r w:rsidRPr="00DA75F8">
        <w:rPr>
          <w:vertAlign w:val="superscript"/>
          <w:rtl/>
        </w:rPr>
        <w:t>)</w:t>
      </w:r>
      <w:r w:rsidRPr="00DA75F8">
        <w:rPr>
          <w:rFonts w:hint="cs"/>
          <w:rtl/>
        </w:rPr>
        <w:t>،</w:t>
      </w:r>
      <w:r w:rsidRPr="00DA75F8">
        <w:rPr>
          <w:rtl/>
        </w:rPr>
        <w:t xml:space="preserve"> نائبٍ لمبعوث السلطان إلى دول مختلفة، مُقيّمٍ للقوانين الد</w:t>
      </w:r>
      <w:r>
        <w:rPr>
          <w:rFonts w:hint="cs"/>
          <w:rtl/>
        </w:rPr>
        <w:t>ا</w:t>
      </w:r>
      <w:r w:rsidRPr="00DA75F8">
        <w:rPr>
          <w:rFonts w:hint="cs"/>
          <w:rtl/>
        </w:rPr>
        <w:t>خلية</w:t>
      </w:r>
      <w:r w:rsidRPr="00DA75F8">
        <w:rPr>
          <w:rtl/>
        </w:rPr>
        <w:t xml:space="preserve"> من حيث مناسبتها للشريعة، أخمد الثورة في مناطق البلقان، واليًا على حلب، وبورصة، ومراش، وينيى، وغير ذلك. وقد أدّى نجاحه في هذه الوظائف ووظائف أخرى إلى تقدمه في السياسة وتدرّجه في مراتب عالية في الدولة</w:t>
      </w:r>
      <w:r w:rsidRPr="00DA75F8">
        <w:rPr>
          <w:vertAlign w:val="superscript"/>
          <w:rtl/>
        </w:rPr>
        <w:t>(</w:t>
      </w:r>
      <w:r w:rsidRPr="00DA75F8">
        <w:rPr>
          <w:rStyle w:val="FootnoteReference"/>
          <w:rFonts w:cs="Arabic Transparent"/>
          <w:rtl/>
        </w:rPr>
        <w:footnoteReference w:id="286"/>
      </w:r>
      <w:r w:rsidRPr="00DA75F8">
        <w:rPr>
          <w:vertAlign w:val="superscript"/>
          <w:rtl/>
        </w:rPr>
        <w:t>)</w:t>
      </w:r>
      <w:r w:rsidRPr="00DA75F8">
        <w:rPr>
          <w:rtl/>
        </w:rPr>
        <w:t>.</w:t>
      </w:r>
    </w:p>
    <w:p w:rsidR="005F44B2" w:rsidRPr="00DA75F8" w:rsidRDefault="005F44B2" w:rsidP="007B6769">
      <w:pPr>
        <w:pStyle w:val="a0"/>
      </w:pPr>
      <w:r w:rsidRPr="00DA75F8">
        <w:rPr>
          <w:rFonts w:hint="cs"/>
          <w:rtl/>
        </w:rPr>
        <w:t>بعد</w:t>
      </w:r>
      <w:r w:rsidRPr="00DA75F8">
        <w:rPr>
          <w:rtl/>
        </w:rPr>
        <w:t xml:space="preserve"> مدة اقترح أحمد باشا فكرة تنظيم كتاب قانوني يعتمد على الفقه الحنفي، وبناءً على ذلك نُصّب رئيسا لمجلة الأحكام العدلية وبدأ العمل على تطويرها.</w:t>
      </w:r>
    </w:p>
    <w:p w:rsidR="005F44B2" w:rsidRPr="00DA75F8" w:rsidRDefault="005F44B2" w:rsidP="007B6769">
      <w:pPr>
        <w:pStyle w:val="a0"/>
      </w:pPr>
      <w:r w:rsidRPr="00DA75F8">
        <w:rPr>
          <w:rFonts w:hint="cs"/>
          <w:rtl/>
        </w:rPr>
        <w:t>وُظّف</w:t>
      </w:r>
      <w:r w:rsidRPr="00DA75F8">
        <w:rPr>
          <w:rtl/>
        </w:rPr>
        <w:t xml:space="preserve"> أحمد جودت باشا في وظائف مختلفة</w:t>
      </w:r>
      <w:r w:rsidRPr="00DA75F8">
        <w:rPr>
          <w:vertAlign w:val="superscript"/>
          <w:rtl/>
        </w:rPr>
        <w:t>(</w:t>
      </w:r>
      <w:r w:rsidRPr="00DA75F8">
        <w:rPr>
          <w:rStyle w:val="FootnoteReference"/>
          <w:rFonts w:cs="Arabic Transparent"/>
          <w:rtl/>
        </w:rPr>
        <w:footnoteReference w:id="287"/>
      </w:r>
      <w:r w:rsidRPr="00DA75F8">
        <w:rPr>
          <w:vertAlign w:val="superscript"/>
          <w:rtl/>
        </w:rPr>
        <w:t>)</w:t>
      </w:r>
      <w:r w:rsidRPr="00DA75F8">
        <w:rPr>
          <w:rtl/>
        </w:rPr>
        <w:t xml:space="preserve"> عدّة مرات في مرحلة رئاسته للمجلة وهذه الوظائف تسببت في تأجيل إ</w:t>
      </w:r>
      <w:r w:rsidRPr="00DA75F8">
        <w:rPr>
          <w:rFonts w:hint="cs"/>
          <w:rtl/>
        </w:rPr>
        <w:t>صدار</w:t>
      </w:r>
      <w:r w:rsidRPr="00DA75F8">
        <w:rPr>
          <w:rtl/>
        </w:rPr>
        <w:t xml:space="preserve"> المجلة ثماني سنوات، وأخيرا عُيَّن من قبل السلطان عبد الحميد الثاني </w:t>
      </w:r>
      <w:r w:rsidRPr="00DA75F8">
        <w:rPr>
          <w:rFonts w:hint="cs"/>
          <w:u w:val="single"/>
          <w:rtl/>
        </w:rPr>
        <w:t>في</w:t>
      </w:r>
      <w:r w:rsidRPr="00DA75F8">
        <w:rPr>
          <w:rtl/>
        </w:rPr>
        <w:t xml:space="preserve"> المجلس العالي وبعد ذلك تفرّغ لعلمه وأولاده، وتوفي في 26 مايو 1895، ودفن بتربة فاتح سلطان محمد</w:t>
      </w:r>
      <w:r w:rsidRPr="00DA75F8">
        <w:rPr>
          <w:vertAlign w:val="superscript"/>
          <w:rtl/>
        </w:rPr>
        <w:t>(</w:t>
      </w:r>
      <w:r w:rsidRPr="00DA75F8">
        <w:rPr>
          <w:rStyle w:val="FootnoteReference"/>
          <w:rFonts w:cs="Arabic Transparent"/>
          <w:rtl/>
        </w:rPr>
        <w:footnoteReference w:id="288"/>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الثالث: مجلة الأحكام العدلية</w:t>
      </w:r>
    </w:p>
    <w:p w:rsidR="005F44B2" w:rsidRPr="00DA75F8" w:rsidRDefault="005F44B2" w:rsidP="00D76EA8">
      <w:pPr>
        <w:pStyle w:val="a0"/>
      </w:pPr>
      <w:r w:rsidRPr="00DA75F8">
        <w:rPr>
          <w:rFonts w:hint="cs"/>
          <w:rtl/>
        </w:rPr>
        <w:t>مجلة</w:t>
      </w:r>
      <w:r w:rsidRPr="00DA75F8">
        <w:rPr>
          <w:rtl/>
        </w:rPr>
        <w:t xml:space="preserve"> الأحكام العدلية لها أهمية كبيرة لأنها أول قانون يعتمد الشريعة الاسلامية، و</w:t>
      </w:r>
      <w:r>
        <w:rPr>
          <w:rFonts w:hint="cs"/>
          <w:rtl/>
        </w:rPr>
        <w:t>لا</w:t>
      </w:r>
      <w:r>
        <w:rPr>
          <w:rtl/>
        </w:rPr>
        <w:t xml:space="preserve"> تقتصر </w:t>
      </w:r>
      <w:r w:rsidRPr="00DA75F8">
        <w:rPr>
          <w:rFonts w:hint="cs"/>
          <w:rtl/>
        </w:rPr>
        <w:t>أهميتها</w:t>
      </w:r>
      <w:r w:rsidRPr="00DA75F8">
        <w:rPr>
          <w:rtl/>
        </w:rPr>
        <w:t xml:space="preserve"> </w:t>
      </w:r>
      <w:r>
        <w:rPr>
          <w:rFonts w:hint="cs"/>
          <w:rtl/>
        </w:rPr>
        <w:t>على</w:t>
      </w:r>
      <w:r w:rsidRPr="00DA75F8">
        <w:rPr>
          <w:rtl/>
        </w:rPr>
        <w:t xml:space="preserve"> للدولة العثما</w:t>
      </w:r>
      <w:r w:rsidRPr="00DA75F8">
        <w:rPr>
          <w:rFonts w:hint="cs"/>
          <w:rtl/>
        </w:rPr>
        <w:t>نية</w:t>
      </w:r>
      <w:r w:rsidRPr="00DA75F8">
        <w:rPr>
          <w:rtl/>
        </w:rPr>
        <w:t xml:space="preserve"> بل</w:t>
      </w:r>
      <w:r>
        <w:rPr>
          <w:rtl/>
        </w:rPr>
        <w:t xml:space="preserve"> هي مهمة</w:t>
      </w:r>
      <w:r w:rsidRPr="00DA75F8">
        <w:rPr>
          <w:rtl/>
        </w:rPr>
        <w:t xml:space="preserve"> للعالم الإسلامي أجمع</w:t>
      </w:r>
      <w:r w:rsidRPr="00DA75F8">
        <w:rPr>
          <w:vertAlign w:val="superscript"/>
          <w:rtl/>
        </w:rPr>
        <w:t>(</w:t>
      </w:r>
      <w:r w:rsidRPr="00DA75F8">
        <w:rPr>
          <w:rStyle w:val="FootnoteReference"/>
          <w:rFonts w:cs="Arabic Transparent"/>
          <w:rtl/>
        </w:rPr>
        <w:footnoteReference w:id="289"/>
      </w:r>
      <w:r w:rsidRPr="00DA75F8">
        <w:rPr>
          <w:vertAlign w:val="superscript"/>
          <w:rtl/>
        </w:rPr>
        <w:t>)</w:t>
      </w:r>
      <w:r w:rsidRPr="00DA75F8">
        <w:rPr>
          <w:rtl/>
        </w:rPr>
        <w:t>.</w:t>
      </w:r>
    </w:p>
    <w:p w:rsidR="005F44B2" w:rsidRPr="00DA75F8" w:rsidRDefault="005F44B2" w:rsidP="007B6769">
      <w:pPr>
        <w:pStyle w:val="a0"/>
      </w:pPr>
      <w:r w:rsidRPr="00DA75F8">
        <w:rPr>
          <w:rFonts w:hint="cs"/>
          <w:rtl/>
        </w:rPr>
        <w:t>كما</w:t>
      </w:r>
      <w:r w:rsidRPr="00DA75F8">
        <w:rPr>
          <w:rtl/>
        </w:rPr>
        <w:t xml:space="preserve"> أشرنا من قبل نُظّمت مجل</w:t>
      </w:r>
      <w:r w:rsidRPr="00DA75F8">
        <w:rPr>
          <w:rFonts w:hint="cs"/>
          <w:rtl/>
        </w:rPr>
        <w:t>ة</w:t>
      </w:r>
      <w:r w:rsidRPr="00DA75F8">
        <w:rPr>
          <w:rtl/>
        </w:rPr>
        <w:t xml:space="preserve"> الاحكام العدلية بطلب أحمد جودت باشا، وقد كان رئيسا للجنة المجلة، وفي هذا اللجنة كان يوجد عدد وافر من العلماء، سنذكرهم في ما بعد.</w:t>
      </w:r>
    </w:p>
    <w:p w:rsidR="005F44B2" w:rsidRPr="00DA75F8" w:rsidRDefault="005F44B2" w:rsidP="00D76EA8">
      <w:pPr>
        <w:pStyle w:val="a0"/>
      </w:pPr>
      <w:r w:rsidRPr="00DA75F8">
        <w:rPr>
          <w:rFonts w:hint="cs"/>
          <w:rtl/>
        </w:rPr>
        <w:t>تمّت</w:t>
      </w:r>
      <w:r w:rsidRPr="00DA75F8">
        <w:rPr>
          <w:rtl/>
        </w:rPr>
        <w:t xml:space="preserve"> المجلة تدريجيا بين سنتي 1868مـ و1876مـ، وقد تكونت من </w:t>
      </w:r>
      <w:r>
        <w:rPr>
          <w:rFonts w:hint="cs"/>
          <w:rtl/>
        </w:rPr>
        <w:t>ستة</w:t>
      </w:r>
      <w:r>
        <w:rPr>
          <w:rtl/>
        </w:rPr>
        <w:t xml:space="preserve"> عشر</w:t>
      </w:r>
      <w:r w:rsidRPr="00DA75F8">
        <w:rPr>
          <w:rtl/>
        </w:rPr>
        <w:t xml:space="preserve"> كتابًا، ولم يكن تقسيمها إلى هذا العدد بسبب تعدد الموضوعات فحسب، وإنما أرادت اللجنة تنفيذ الأحكام بشكل عملي في نهاية كل فصل (كتاب) أيضًا</w:t>
      </w:r>
      <w:r w:rsidRPr="00DA75F8">
        <w:rPr>
          <w:vertAlign w:val="superscript"/>
          <w:rtl/>
        </w:rPr>
        <w:t>(</w:t>
      </w:r>
      <w:r w:rsidRPr="00DA75F8">
        <w:rPr>
          <w:rStyle w:val="FootnoteReference"/>
          <w:rFonts w:cs="Arabic Transparent"/>
          <w:rtl/>
        </w:rPr>
        <w:footnoteReference w:id="290"/>
      </w:r>
      <w:r w:rsidRPr="00DA75F8">
        <w:rPr>
          <w:vertAlign w:val="superscript"/>
          <w:rtl/>
        </w:rPr>
        <w:t>)</w:t>
      </w:r>
      <w:r w:rsidRPr="00DA75F8">
        <w:rPr>
          <w:rtl/>
        </w:rPr>
        <w:t>.</w:t>
      </w:r>
    </w:p>
    <w:p w:rsidR="005F44B2" w:rsidRPr="00DA75F8" w:rsidRDefault="005F44B2" w:rsidP="007B6769">
      <w:pPr>
        <w:pStyle w:val="a0"/>
      </w:pPr>
      <w:r w:rsidRPr="00DA75F8">
        <w:rPr>
          <w:rFonts w:hint="cs"/>
          <w:rtl/>
        </w:rPr>
        <w:t>ومن</w:t>
      </w:r>
      <w:r w:rsidRPr="00DA75F8">
        <w:rPr>
          <w:rtl/>
        </w:rPr>
        <w:t xml:space="preserve"> أهم موضوعاتها : القواعد الفقهية، العقود، بعض الحقوق الخاصة للأشخاص، بعض الحقوق العينية، أصول القضاء. وهذه الموضوعات للمجلة قُسمت إلى مقدمة و16 كتابا، وقُسمت المقدمة الى مقالتين، أول مقالة تحتوي تعريف علم الفقه، والثانية قواعد فقهية وهي 99 مادة، و16 كتا</w:t>
      </w:r>
      <w:r w:rsidRPr="00DA75F8">
        <w:rPr>
          <w:rFonts w:hint="cs"/>
          <w:rtl/>
        </w:rPr>
        <w:t>ب</w:t>
      </w:r>
      <w:r w:rsidRPr="00DA75F8">
        <w:rPr>
          <w:rtl/>
        </w:rPr>
        <w:t xml:space="preserve"> تتكون من 73 بابا و 1851 مادة</w:t>
      </w:r>
      <w:r w:rsidRPr="00DA75F8">
        <w:rPr>
          <w:vertAlign w:val="superscript"/>
          <w:rtl/>
        </w:rPr>
        <w:t>(</w:t>
      </w:r>
      <w:r w:rsidRPr="00DA75F8">
        <w:rPr>
          <w:rStyle w:val="FootnoteReference"/>
          <w:rFonts w:cs="Arabic Transparent"/>
          <w:rtl/>
        </w:rPr>
        <w:footnoteReference w:id="291"/>
      </w:r>
      <w:r w:rsidRPr="00DA75F8">
        <w:rPr>
          <w:vertAlign w:val="superscript"/>
          <w:rtl/>
        </w:rPr>
        <w:t>)</w:t>
      </w:r>
      <w:r w:rsidRPr="00DA75F8">
        <w:rPr>
          <w:rtl/>
        </w:rPr>
        <w:t>.</w:t>
      </w:r>
    </w:p>
    <w:p w:rsidR="005F44B2" w:rsidRPr="00DA75F8" w:rsidRDefault="005F44B2" w:rsidP="007B6769">
      <w:pPr>
        <w:pStyle w:val="a0"/>
        <w:rPr>
          <w:u w:val="single"/>
        </w:rPr>
      </w:pPr>
      <w:r w:rsidRPr="00DA75F8">
        <w:rPr>
          <w:rFonts w:hint="cs"/>
          <w:rtl/>
        </w:rPr>
        <w:t>وقد</w:t>
      </w:r>
      <w:r w:rsidRPr="00DA75F8">
        <w:rPr>
          <w:rtl/>
        </w:rPr>
        <w:t xml:space="preserve"> جرى تغير في أعضاء المجلة ،فمنهم من كان موجودًا من أول كتاب إلى الكتاب الخامس ومنهم من دخل اللجنة في الكتاب الرابع، لذلك اختلفت أزمان دخول أعضاء اللجنة وخروجهم منها، ولكن سيف الدين أفندي و أحمد حلمي أفندي كانا عضوين في كل الكتب ووقّعا تحت كل كتاب</w:t>
      </w:r>
      <w:r w:rsidRPr="00DA75F8">
        <w:rPr>
          <w:vertAlign w:val="superscript"/>
          <w:rtl/>
        </w:rPr>
        <w:t>(</w:t>
      </w:r>
      <w:r w:rsidRPr="00DA75F8">
        <w:rPr>
          <w:rStyle w:val="FootnoteReference"/>
          <w:rFonts w:cs="Arabic Transparent"/>
          <w:rtl/>
        </w:rPr>
        <w:footnoteReference w:id="292"/>
      </w:r>
      <w:r w:rsidRPr="00DA75F8">
        <w:rPr>
          <w:vertAlign w:val="superscript"/>
          <w:rtl/>
        </w:rPr>
        <w:t>)</w:t>
      </w:r>
      <w:r w:rsidRPr="00DA75F8">
        <w:rPr>
          <w:rFonts w:hint="cs"/>
          <w:rtl/>
        </w:rPr>
        <w:t>،</w:t>
      </w:r>
      <w:r w:rsidRPr="00DA75F8">
        <w:rPr>
          <w:rtl/>
        </w:rPr>
        <w:t xml:space="preserve"> أما أحمد جودت باشا وهو رئيس لجنة المجلة فقد وقّع تحت كل كتاب إلا كتاب الرهن وفي هذا الكتاب يوجد توقيع عمر هلوسي أفندي رئيسا للمجلة، لأنه كان واليًا في أثناء ترتيب الكتاب</w:t>
      </w:r>
      <w:r w:rsidRPr="00DA75F8">
        <w:rPr>
          <w:vertAlign w:val="superscript"/>
          <w:rtl/>
        </w:rPr>
        <w:t>(</w:t>
      </w:r>
      <w:r w:rsidRPr="00DA75F8">
        <w:rPr>
          <w:rStyle w:val="FootnoteReference"/>
          <w:rFonts w:cs="Arabic Transparent"/>
          <w:rtl/>
        </w:rPr>
        <w:footnoteReference w:id="29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ونرتب</w:t>
      </w:r>
      <w:r w:rsidRPr="00DA75F8">
        <w:rPr>
          <w:rtl/>
        </w:rPr>
        <w:t xml:space="preserve"> أعضاء لجنة المجلة عند تشكلها كما يلي:</w:t>
      </w:r>
    </w:p>
    <w:p w:rsidR="005F44B2" w:rsidRPr="00DA75F8" w:rsidRDefault="005F44B2" w:rsidP="00D76EA8">
      <w:pPr>
        <w:pStyle w:val="a0"/>
        <w:ind w:left="530" w:firstLine="0"/>
      </w:pPr>
      <w:r w:rsidRPr="00DA75F8">
        <w:rPr>
          <w:rFonts w:hint="cs"/>
          <w:rtl/>
        </w:rPr>
        <w:t>أحمد</w:t>
      </w:r>
      <w:r w:rsidRPr="00DA75F8">
        <w:rPr>
          <w:rtl/>
        </w:rPr>
        <w:t xml:space="preserve"> جودت باشا</w:t>
      </w:r>
      <w:r>
        <w:rPr>
          <w:rFonts w:hint="cs"/>
          <w:rtl/>
        </w:rPr>
        <w:t>،</w:t>
      </w:r>
      <w:r>
        <w:rPr>
          <w:rtl/>
        </w:rPr>
        <w:t xml:space="preserve"> </w:t>
      </w:r>
      <w:r w:rsidRPr="00DA75F8">
        <w:rPr>
          <w:rFonts w:hint="cs"/>
          <w:rtl/>
        </w:rPr>
        <w:t>علاء</w:t>
      </w:r>
      <w:r w:rsidRPr="00DA75F8">
        <w:rPr>
          <w:rtl/>
        </w:rPr>
        <w:t xml:space="preserve"> الدين ( ابن عابدين زاده)</w:t>
      </w:r>
      <w:r>
        <w:rPr>
          <w:rFonts w:hint="cs"/>
          <w:rtl/>
        </w:rPr>
        <w:t>،</w:t>
      </w:r>
      <w:r>
        <w:rPr>
          <w:rtl/>
        </w:rPr>
        <w:t xml:space="preserve"> </w:t>
      </w:r>
      <w:r w:rsidRPr="00DA75F8">
        <w:rPr>
          <w:rFonts w:hint="cs"/>
          <w:rtl/>
        </w:rPr>
        <w:t>محمد</w:t>
      </w:r>
      <w:r w:rsidRPr="00DA75F8">
        <w:rPr>
          <w:rtl/>
        </w:rPr>
        <w:t xml:space="preserve"> أمين البغدادي</w:t>
      </w:r>
      <w:r>
        <w:rPr>
          <w:rFonts w:hint="cs"/>
          <w:rtl/>
        </w:rPr>
        <w:t>،</w:t>
      </w:r>
      <w:r>
        <w:rPr>
          <w:rtl/>
        </w:rPr>
        <w:t xml:space="preserve"> </w:t>
      </w:r>
      <w:r w:rsidRPr="00DA75F8">
        <w:rPr>
          <w:rFonts w:hint="cs"/>
          <w:rtl/>
        </w:rPr>
        <w:t>احمد</w:t>
      </w:r>
      <w:r w:rsidRPr="00DA75F8">
        <w:rPr>
          <w:rtl/>
        </w:rPr>
        <w:t xml:space="preserve"> حلمي</w:t>
      </w:r>
      <w:r>
        <w:rPr>
          <w:rFonts w:hint="cs"/>
          <w:rtl/>
        </w:rPr>
        <w:t>،</w:t>
      </w:r>
      <w:r>
        <w:rPr>
          <w:rtl/>
        </w:rPr>
        <w:t xml:space="preserve"> </w:t>
      </w:r>
      <w:r w:rsidRPr="00DA75F8">
        <w:rPr>
          <w:rFonts w:hint="cs"/>
          <w:rtl/>
        </w:rPr>
        <w:t>احمد</w:t>
      </w:r>
      <w:r w:rsidRPr="00DA75F8">
        <w:rPr>
          <w:rtl/>
        </w:rPr>
        <w:t xml:space="preserve"> خلوصي</w:t>
      </w:r>
      <w:r>
        <w:rPr>
          <w:rFonts w:hint="cs"/>
          <w:rtl/>
        </w:rPr>
        <w:t>،</w:t>
      </w:r>
      <w:r>
        <w:rPr>
          <w:rtl/>
        </w:rPr>
        <w:t xml:space="preserve"> </w:t>
      </w:r>
      <w:r w:rsidRPr="00DA75F8">
        <w:rPr>
          <w:rFonts w:hint="cs"/>
          <w:rtl/>
        </w:rPr>
        <w:t>سيف</w:t>
      </w:r>
      <w:r w:rsidRPr="00DA75F8">
        <w:rPr>
          <w:rtl/>
        </w:rPr>
        <w:t xml:space="preserve"> الدين اسماعيل</w:t>
      </w:r>
      <w:r>
        <w:rPr>
          <w:rFonts w:hint="cs"/>
          <w:rtl/>
        </w:rPr>
        <w:t>،</w:t>
      </w:r>
      <w:r>
        <w:rPr>
          <w:rtl/>
        </w:rPr>
        <w:t xml:space="preserve"> </w:t>
      </w:r>
      <w:r w:rsidRPr="00DA75F8">
        <w:rPr>
          <w:rFonts w:hint="cs"/>
          <w:rtl/>
        </w:rPr>
        <w:t>السيد</w:t>
      </w:r>
      <w:r w:rsidRPr="00DA75F8">
        <w:rPr>
          <w:rtl/>
        </w:rPr>
        <w:t xml:space="preserve"> خليل</w:t>
      </w:r>
      <w:r>
        <w:rPr>
          <w:rFonts w:hint="cs"/>
          <w:rtl/>
        </w:rPr>
        <w:t>،</w:t>
      </w:r>
      <w:r>
        <w:rPr>
          <w:rtl/>
        </w:rPr>
        <w:t xml:space="preserve"> </w:t>
      </w:r>
      <w:r w:rsidRPr="00DA75F8">
        <w:rPr>
          <w:rFonts w:hint="cs"/>
          <w:rtl/>
        </w:rPr>
        <w:t>عمر</w:t>
      </w:r>
      <w:r w:rsidRPr="00DA75F8">
        <w:rPr>
          <w:rtl/>
        </w:rPr>
        <w:t xml:space="preserve"> خلوصي</w:t>
      </w:r>
      <w:r>
        <w:rPr>
          <w:rFonts w:hint="cs"/>
          <w:rtl/>
        </w:rPr>
        <w:t>،</w:t>
      </w:r>
      <w:r>
        <w:rPr>
          <w:rtl/>
        </w:rPr>
        <w:t xml:space="preserve"> </w:t>
      </w:r>
      <w:r w:rsidRPr="00DA75F8">
        <w:rPr>
          <w:rFonts w:hint="cs"/>
          <w:rtl/>
        </w:rPr>
        <w:t>يونس</w:t>
      </w:r>
      <w:r w:rsidRPr="00DA75F8">
        <w:rPr>
          <w:rtl/>
        </w:rPr>
        <w:t xml:space="preserve"> وهبي</w:t>
      </w:r>
      <w:r>
        <w:rPr>
          <w:rFonts w:hint="cs"/>
          <w:rtl/>
        </w:rPr>
        <w:t>،</w:t>
      </w:r>
      <w:r>
        <w:rPr>
          <w:rtl/>
        </w:rPr>
        <w:t xml:space="preserve"> </w:t>
      </w:r>
      <w:r w:rsidRPr="00DA75F8">
        <w:rPr>
          <w:rFonts w:hint="cs"/>
          <w:rtl/>
        </w:rPr>
        <w:t>عيسى</w:t>
      </w:r>
      <w:r w:rsidRPr="00DA75F8">
        <w:rPr>
          <w:rtl/>
        </w:rPr>
        <w:t xml:space="preserve"> روحي</w:t>
      </w:r>
      <w:r>
        <w:rPr>
          <w:rFonts w:hint="cs"/>
          <w:rtl/>
        </w:rPr>
        <w:t>،</w:t>
      </w:r>
      <w:r>
        <w:rPr>
          <w:rtl/>
        </w:rPr>
        <w:t xml:space="preserve"> </w:t>
      </w:r>
      <w:r w:rsidRPr="00DA75F8">
        <w:rPr>
          <w:rFonts w:hint="cs"/>
          <w:rtl/>
        </w:rPr>
        <w:t>أحمد</w:t>
      </w:r>
      <w:r w:rsidRPr="00DA75F8">
        <w:rPr>
          <w:rtl/>
        </w:rPr>
        <w:t xml:space="preserve"> خالد</w:t>
      </w:r>
      <w:r>
        <w:rPr>
          <w:rFonts w:hint="cs"/>
          <w:rtl/>
        </w:rPr>
        <w:t>،</w:t>
      </w:r>
      <w:r>
        <w:rPr>
          <w:rtl/>
        </w:rPr>
        <w:t xml:space="preserve"> </w:t>
      </w:r>
      <w:r w:rsidRPr="00DA75F8">
        <w:rPr>
          <w:rFonts w:hint="cs"/>
          <w:rtl/>
        </w:rPr>
        <w:t>عبد</w:t>
      </w:r>
      <w:r w:rsidRPr="00DA75F8">
        <w:rPr>
          <w:rtl/>
        </w:rPr>
        <w:t xml:space="preserve"> اللطيف شكري</w:t>
      </w:r>
      <w:r>
        <w:rPr>
          <w:rFonts w:hint="cs"/>
          <w:rtl/>
        </w:rPr>
        <w:t>،</w:t>
      </w:r>
      <w:r>
        <w:rPr>
          <w:rtl/>
        </w:rPr>
        <w:t xml:space="preserve"> </w:t>
      </w:r>
      <w:r w:rsidRPr="00DA75F8">
        <w:rPr>
          <w:rFonts w:hint="cs"/>
          <w:rtl/>
        </w:rPr>
        <w:t>السيد</w:t>
      </w:r>
      <w:r w:rsidRPr="00DA75F8">
        <w:rPr>
          <w:rtl/>
        </w:rPr>
        <w:t xml:space="preserve"> خليل</w:t>
      </w:r>
      <w:r>
        <w:rPr>
          <w:rFonts w:hint="cs"/>
          <w:rtl/>
        </w:rPr>
        <w:t>،</w:t>
      </w:r>
      <w:r>
        <w:rPr>
          <w:rtl/>
        </w:rPr>
        <w:t xml:space="preserve"> </w:t>
      </w:r>
      <w:r w:rsidRPr="00DA75F8">
        <w:rPr>
          <w:rFonts w:hint="cs"/>
          <w:rtl/>
        </w:rPr>
        <w:t>عبد</w:t>
      </w:r>
      <w:r w:rsidRPr="00DA75F8">
        <w:rPr>
          <w:rtl/>
        </w:rPr>
        <w:t xml:space="preserve"> الستار</w:t>
      </w:r>
      <w:r>
        <w:rPr>
          <w:rFonts w:hint="cs"/>
          <w:rtl/>
        </w:rPr>
        <w:t>،</w:t>
      </w:r>
      <w:r>
        <w:rPr>
          <w:rtl/>
        </w:rPr>
        <w:t xml:space="preserve"> </w:t>
      </w:r>
      <w:r w:rsidRPr="00DA75F8">
        <w:rPr>
          <w:rFonts w:hint="cs"/>
          <w:rtl/>
        </w:rPr>
        <w:t>عمر</w:t>
      </w:r>
      <w:r w:rsidRPr="00DA75F8">
        <w:rPr>
          <w:rtl/>
        </w:rPr>
        <w:t xml:space="preserve"> حلمي</w:t>
      </w:r>
      <w:r>
        <w:rPr>
          <w:rtl/>
        </w:rPr>
        <w:t>.</w:t>
      </w:r>
    </w:p>
    <w:p w:rsidR="005F44B2" w:rsidRPr="00DA75F8" w:rsidRDefault="005F44B2" w:rsidP="007B6769">
      <w:pPr>
        <w:pStyle w:val="a0"/>
        <w:rPr>
          <w:rtl/>
        </w:rPr>
      </w:pPr>
      <w:r w:rsidRPr="00DA75F8">
        <w:rPr>
          <w:rFonts w:hint="cs"/>
          <w:rtl/>
        </w:rPr>
        <w:t>ويوجد</w:t>
      </w:r>
      <w:r w:rsidRPr="00DA75F8">
        <w:rPr>
          <w:rtl/>
        </w:rPr>
        <w:t xml:space="preserve"> توقيع علاء الدين أفندي - ولد ابن عابدين- من الكتاب الأول إلى الكتاب الخامس عضوًا من أعضاء الجمعية، لكنه لم يحضر تدوين الكتب الأخرى</w:t>
      </w:r>
      <w:r w:rsidRPr="00DA75F8">
        <w:rPr>
          <w:vertAlign w:val="superscript"/>
          <w:rtl/>
        </w:rPr>
        <w:t>(</w:t>
      </w:r>
      <w:r w:rsidRPr="00DA75F8">
        <w:rPr>
          <w:rStyle w:val="FootnoteReference"/>
          <w:rFonts w:cs="Arabic Transparent"/>
          <w:rtl/>
        </w:rPr>
        <w:footnoteReference w:id="294"/>
      </w:r>
      <w:r w:rsidRPr="00DA75F8">
        <w:rPr>
          <w:vertAlign w:val="superscript"/>
          <w:rtl/>
        </w:rPr>
        <w:t>)</w:t>
      </w:r>
      <w:r w:rsidRPr="00DA75F8">
        <w:rPr>
          <w:rtl/>
        </w:rPr>
        <w:t>.</w:t>
      </w:r>
    </w:p>
    <w:p w:rsidR="005F44B2" w:rsidRPr="00DA75F8" w:rsidRDefault="005F44B2" w:rsidP="00B950E7">
      <w:pPr>
        <w:pStyle w:val="a0"/>
        <w:rPr>
          <w:rtl/>
        </w:rPr>
      </w:pPr>
      <w:r w:rsidRPr="00DA75F8">
        <w:rPr>
          <w:rFonts w:hint="cs"/>
          <w:rtl/>
        </w:rPr>
        <w:t>عُيّن</w:t>
      </w:r>
      <w:r w:rsidRPr="00DA75F8">
        <w:rPr>
          <w:rtl/>
        </w:rPr>
        <w:t xml:space="preserve"> علاء الدين أفندي عضوا في جمعية المجلة في 1285هـ (1868مـ)، واستقال من العضوية ورجع إلى الشام في 1288هـ (1871مـ)</w:t>
      </w:r>
      <w:r w:rsidRPr="00DA75F8">
        <w:rPr>
          <w:vertAlign w:val="superscript"/>
          <w:rtl/>
        </w:rPr>
        <w:t>(</w:t>
      </w:r>
      <w:r w:rsidRPr="00DA75F8">
        <w:rPr>
          <w:rStyle w:val="FootnoteReference"/>
          <w:rFonts w:cs="Arabic Transparent"/>
          <w:rtl/>
        </w:rPr>
        <w:footnoteReference w:id="295"/>
      </w:r>
      <w:r w:rsidRPr="00DA75F8">
        <w:rPr>
          <w:vertAlign w:val="superscript"/>
          <w:rtl/>
        </w:rPr>
        <w:t>)</w:t>
      </w:r>
      <w:r w:rsidRPr="00DA75F8">
        <w:rPr>
          <w:rFonts w:hint="cs"/>
          <w:rtl/>
        </w:rPr>
        <w:t>،</w:t>
      </w:r>
      <w:r w:rsidRPr="00DA75F8">
        <w:rPr>
          <w:rtl/>
        </w:rPr>
        <w:t xml:space="preserve"> واحتما</w:t>
      </w:r>
      <w:r w:rsidRPr="00DA75F8">
        <w:rPr>
          <w:rFonts w:hint="cs"/>
          <w:rtl/>
        </w:rPr>
        <w:t>ل</w:t>
      </w:r>
      <w:r w:rsidRPr="00DA75F8">
        <w:rPr>
          <w:rtl/>
        </w:rPr>
        <w:t xml:space="preserve"> سبب استقال</w:t>
      </w:r>
      <w:r>
        <w:rPr>
          <w:rFonts w:hint="cs"/>
          <w:rtl/>
        </w:rPr>
        <w:t>ته</w:t>
      </w:r>
      <w:r w:rsidRPr="00DA75F8">
        <w:rPr>
          <w:rtl/>
        </w:rPr>
        <w:t xml:space="preserve"> إتلاف كتاب الوديعة</w:t>
      </w:r>
      <w:r w:rsidRPr="00DA75F8">
        <w:rPr>
          <w:vertAlign w:val="superscript"/>
          <w:rtl/>
        </w:rPr>
        <w:t>(</w:t>
      </w:r>
      <w:r w:rsidRPr="00DA75F8">
        <w:rPr>
          <w:vertAlign w:val="superscript"/>
          <w:rtl/>
        </w:rPr>
        <w:footnoteReference w:id="296"/>
      </w:r>
      <w:r w:rsidRPr="00DA75F8">
        <w:rPr>
          <w:vertAlign w:val="superscript"/>
          <w:rtl/>
        </w:rPr>
        <w:t>)</w:t>
      </w:r>
      <w:r w:rsidRPr="00DA75F8">
        <w:rPr>
          <w:rFonts w:hint="cs"/>
          <w:rtl/>
        </w:rPr>
        <w:t>،</w:t>
      </w:r>
      <w:r w:rsidRPr="00DA75F8">
        <w:rPr>
          <w:rtl/>
        </w:rPr>
        <w:t xml:space="preserve"> ومن الممكن أنه لم يقبل هذا الإتلاف فشعر بالإهانة بعد أن كان قد وقع على هذا الكتاب</w:t>
      </w:r>
    </w:p>
    <w:p w:rsidR="005F44B2" w:rsidRPr="00DA75F8" w:rsidRDefault="005F44B2" w:rsidP="007B6769">
      <w:pPr>
        <w:pStyle w:val="a0"/>
        <w:rPr>
          <w:rtl/>
        </w:rPr>
      </w:pPr>
      <w:r w:rsidRPr="00DA75F8">
        <w:rPr>
          <w:rFonts w:hint="cs"/>
          <w:rtl/>
        </w:rPr>
        <w:t>سرى</w:t>
      </w:r>
      <w:r w:rsidRPr="00DA75F8">
        <w:rPr>
          <w:rtl/>
        </w:rPr>
        <w:t xml:space="preserve"> قانون المجلة في الأردن، وسورية، ولبنان، وا</w:t>
      </w:r>
      <w:r w:rsidRPr="00DA75F8">
        <w:rPr>
          <w:rFonts w:hint="cs"/>
          <w:rtl/>
        </w:rPr>
        <w:t>لعراق،</w:t>
      </w:r>
      <w:r w:rsidRPr="00DA75F8">
        <w:rPr>
          <w:rtl/>
        </w:rPr>
        <w:t xml:space="preserve"> وفلسطين، كما طبّق بعد انتهاء الدولة العثمانية في عدة بلدان، فانتهى في بعضها إلا أنه مازال في الأخرى، مع تغيير بعض قواعده بمرور الزمان</w:t>
      </w:r>
      <w:r w:rsidRPr="00DA75F8">
        <w:rPr>
          <w:vertAlign w:val="superscript"/>
          <w:rtl/>
        </w:rPr>
        <w:t>(</w:t>
      </w:r>
      <w:r w:rsidRPr="00DA75F8">
        <w:rPr>
          <w:vertAlign w:val="superscript"/>
          <w:rtl/>
        </w:rPr>
        <w:footnoteReference w:id="297"/>
      </w:r>
      <w:r w:rsidRPr="00DA75F8">
        <w:rPr>
          <w:vertAlign w:val="superscript"/>
          <w:rtl/>
        </w:rPr>
        <w:t>)</w:t>
      </w:r>
      <w:r w:rsidRPr="00DA75F8">
        <w:rPr>
          <w:rtl/>
        </w:rPr>
        <w:t>. أشير إلى أن الاردن مازالت تمشي على قوانين المجلة وتعتبرها مصدرًا من مصادر قوانينها.</w:t>
      </w:r>
    </w:p>
    <w:p w:rsidR="005F44B2" w:rsidRPr="00DA75F8" w:rsidRDefault="005F44B2" w:rsidP="005E6A96">
      <w:pPr>
        <w:pStyle w:val="a3"/>
        <w:rPr>
          <w:rtl/>
        </w:rPr>
      </w:pPr>
      <w:bookmarkStart w:id="26" w:name="_Toc447092568"/>
      <w:r w:rsidRPr="00DA75F8">
        <w:rPr>
          <w:rFonts w:hint="cs"/>
          <w:rtl/>
        </w:rPr>
        <w:t>المطلب</w:t>
      </w:r>
      <w:r w:rsidRPr="00DA75F8">
        <w:rPr>
          <w:rtl/>
        </w:rPr>
        <w:t xml:space="preserve"> الثاني:أثر ابن عابدين في قواعد التنظيمات (مجلة)</w:t>
      </w:r>
      <w:bookmarkEnd w:id="26"/>
    </w:p>
    <w:p w:rsidR="005F44B2" w:rsidRPr="00DA75F8" w:rsidRDefault="005F44B2" w:rsidP="007B6769">
      <w:pPr>
        <w:pStyle w:val="a0"/>
        <w:rPr>
          <w:rtl/>
        </w:rPr>
      </w:pPr>
      <w:r w:rsidRPr="00DA75F8">
        <w:rPr>
          <w:rFonts w:hint="cs"/>
          <w:rtl/>
        </w:rPr>
        <w:t>وجود</w:t>
      </w:r>
      <w:r w:rsidRPr="00DA75F8">
        <w:rPr>
          <w:rtl/>
        </w:rPr>
        <w:t xml:space="preserve"> علاء الدين في لجنة المجلة جعله يشاركبآراءه أعضاء اللجنة </w:t>
      </w:r>
      <w:r w:rsidRPr="000914B7">
        <w:rPr>
          <w:rFonts w:hint="cs"/>
          <w:rtl/>
        </w:rPr>
        <w:t>في</w:t>
      </w:r>
      <w:r w:rsidRPr="00DA75F8">
        <w:rPr>
          <w:rtl/>
        </w:rPr>
        <w:t xml:space="preserve"> تنظيم القواعد، ولابد أن علاء الدين قد تأثّر بأبيه تأثُّرًا قويًا، لأنه نشأ تحت لواء أبيه ودرس عنده، إذن فتأثير ابن عابدين ف</w:t>
      </w:r>
      <w:r>
        <w:rPr>
          <w:rFonts w:hint="cs"/>
          <w:rtl/>
        </w:rPr>
        <w:t>ي</w:t>
      </w:r>
      <w:r>
        <w:rPr>
          <w:rtl/>
        </w:rPr>
        <w:t xml:space="preserve"> مجلة الأحكام العدلية واضح جدا، أي تأثير العالم الفقهية الحنفي ابن عابدين وذلك من خلال تلميذه وا</w:t>
      </w:r>
      <w:r>
        <w:rPr>
          <w:rFonts w:hint="cs"/>
          <w:rtl/>
        </w:rPr>
        <w:t>لذي</w:t>
      </w:r>
      <w:r>
        <w:rPr>
          <w:rtl/>
        </w:rPr>
        <w:t xml:space="preserve"> هو ولده. </w:t>
      </w:r>
    </w:p>
    <w:p w:rsidR="005F44B2" w:rsidRPr="00DA75F8" w:rsidRDefault="005F44B2" w:rsidP="007B6769">
      <w:pPr>
        <w:pStyle w:val="a0"/>
      </w:pPr>
      <w:r w:rsidRPr="00DA75F8">
        <w:rPr>
          <w:rFonts w:hint="cs"/>
          <w:rtl/>
        </w:rPr>
        <w:t>وتدل</w:t>
      </w:r>
      <w:r w:rsidRPr="00DA75F8">
        <w:rPr>
          <w:rtl/>
        </w:rPr>
        <w:t xml:space="preserve"> مراجع المجلة على تأثير ابن عابدين بالمجلة، فعندما نرجع الى مصادر مجلة الأحكام العدلية يظهر تأثير ابن عابدين واضحا، لأن رد المحتار أصبح مرجعا في 271 مادة من 1081 مادة</w:t>
      </w:r>
      <w:r w:rsidRPr="00DA75F8">
        <w:rPr>
          <w:vertAlign w:val="superscript"/>
          <w:rtl/>
        </w:rPr>
        <w:t>(</w:t>
      </w:r>
      <w:r w:rsidRPr="00DA75F8">
        <w:rPr>
          <w:rStyle w:val="FootnoteReference"/>
          <w:rFonts w:cs="Arabic Transparent"/>
          <w:rtl/>
        </w:rPr>
        <w:footnoteReference w:id="298"/>
      </w:r>
      <w:r w:rsidRPr="00DA75F8">
        <w:rPr>
          <w:vertAlign w:val="superscript"/>
          <w:rtl/>
        </w:rPr>
        <w:t>)</w:t>
      </w:r>
      <w:r w:rsidRPr="00DA75F8">
        <w:rPr>
          <w:rtl/>
        </w:rPr>
        <w:t>.</w:t>
      </w:r>
    </w:p>
    <w:p w:rsidR="005F44B2" w:rsidRPr="00DA75F8" w:rsidRDefault="005F44B2" w:rsidP="007B6769">
      <w:pPr>
        <w:pStyle w:val="a0"/>
      </w:pPr>
      <w:r w:rsidRPr="00DA75F8">
        <w:rPr>
          <w:rFonts w:hint="cs"/>
          <w:rtl/>
        </w:rPr>
        <w:t>وليس</w:t>
      </w:r>
      <w:r w:rsidRPr="00DA75F8">
        <w:rPr>
          <w:rtl/>
        </w:rPr>
        <w:t xml:space="preserve"> من الممكن ذكر كل المواد التي رُجِعَ فيها الى رد المحتار في المجلة، لذلك سيذكر الباحث بعضًا منها، وفي أثناء ذكر هذه المواد سيستفيد من كتاب مرآة المجلة لمسعود أفندي</w:t>
      </w:r>
      <w:r w:rsidRPr="00DA75F8">
        <w:rPr>
          <w:vertAlign w:val="superscript"/>
          <w:rtl/>
        </w:rPr>
        <w:t>(</w:t>
      </w:r>
      <w:r w:rsidRPr="00DA75F8">
        <w:rPr>
          <w:rStyle w:val="FootnoteReference"/>
          <w:rFonts w:cs="Arabic Transparent"/>
          <w:rtl/>
        </w:rPr>
        <w:footnoteReference w:id="299"/>
      </w:r>
      <w:r w:rsidRPr="00DA75F8">
        <w:rPr>
          <w:vertAlign w:val="superscript"/>
          <w:rtl/>
        </w:rPr>
        <w:t>)</w:t>
      </w:r>
      <w:r w:rsidRPr="00DA75F8">
        <w:rPr>
          <w:rFonts w:hint="cs"/>
          <w:rtl/>
        </w:rPr>
        <w:t>،</w:t>
      </w:r>
      <w:r w:rsidRPr="00DA75F8">
        <w:rPr>
          <w:rtl/>
        </w:rPr>
        <w:t xml:space="preserve"> الذي </w:t>
      </w:r>
      <w:r w:rsidRPr="00DA75F8">
        <w:rPr>
          <w:rFonts w:hint="cs"/>
          <w:rtl/>
        </w:rPr>
        <w:t>استخرج</w:t>
      </w:r>
      <w:r w:rsidRPr="00DA75F8">
        <w:rPr>
          <w:rtl/>
        </w:rPr>
        <w:t xml:space="preserve"> مصادر كل مادة من </w:t>
      </w:r>
      <w:r w:rsidRPr="00DA75F8">
        <w:rPr>
          <w:rFonts w:hint="cs"/>
          <w:rtl/>
        </w:rPr>
        <w:t>مواد</w:t>
      </w:r>
      <w:r w:rsidRPr="00DA75F8">
        <w:rPr>
          <w:rtl/>
        </w:rPr>
        <w:t xml:space="preserve"> المجلةوقواعدها في كتابه وسيشير الباحث إليها في الهوامش:</w:t>
      </w:r>
    </w:p>
    <w:p w:rsidR="005F44B2" w:rsidRPr="00DA75F8" w:rsidRDefault="005F44B2" w:rsidP="005E6A96">
      <w:pPr>
        <w:spacing w:after="0" w:line="360" w:lineRule="auto"/>
      </w:pPr>
    </w:p>
    <w:p w:rsidR="005F44B2" w:rsidRPr="00DA75F8" w:rsidRDefault="005F44B2" w:rsidP="008171A1">
      <w:pPr>
        <w:pStyle w:val="NoSpacing"/>
        <w:rPr>
          <w:rtl/>
        </w:rPr>
      </w:pPr>
      <w:r w:rsidRPr="00DA75F8">
        <w:rPr>
          <w:rFonts w:hint="cs"/>
          <w:rtl/>
        </w:rPr>
        <w:t>الفرع</w:t>
      </w:r>
      <w:r w:rsidRPr="00DA75F8">
        <w:rPr>
          <w:rtl/>
        </w:rPr>
        <w:t xml:space="preserve"> الاول: المادة 172</w:t>
      </w:r>
    </w:p>
    <w:p w:rsidR="005F44B2" w:rsidRPr="00DA75F8" w:rsidRDefault="005F44B2" w:rsidP="007B6769">
      <w:pPr>
        <w:pStyle w:val="a0"/>
        <w:rPr>
          <w:rtl/>
        </w:rPr>
      </w:pPr>
      <w:r w:rsidRPr="00DA75F8">
        <w:rPr>
          <w:rFonts w:hint="cs"/>
          <w:rtl/>
        </w:rPr>
        <w:t>تتحدث</w:t>
      </w:r>
      <w:r w:rsidRPr="00DA75F8">
        <w:rPr>
          <w:rtl/>
        </w:rPr>
        <w:t xml:space="preserve"> هذه المادة عن البيع بصيغة الأمر، وهي: "  لا ينعقد البيع بصيغة الأمر أيضا كبع واشتر إلا إذا دلت بطريق الاقتضاء على الحال فحينئذ ينعقد بها البيع فلو قال المشتري: بعني هذا الشيء بكذا من الدراهم وقال البائع: بعتك لا ينعقد البيع , أما لو قال البائع للمشتري: خذ المال بكذا من الدراهم وقال المشتري: أخذته , أو قال المشتري: أخذت هذا الشيء بكذا قرشا , وقال البائع: خذه , أو قال: الله يبارك لك وأمثاله انعقد البيع فإن قوله: خذه , والله يبارك ههنا بمعنى: ها أنا ذا ب</w:t>
      </w:r>
      <w:r w:rsidRPr="00DA75F8">
        <w:rPr>
          <w:rFonts w:hint="cs"/>
          <w:rtl/>
        </w:rPr>
        <w:t>عت</w:t>
      </w:r>
      <w:r w:rsidRPr="00DA75F8">
        <w:rPr>
          <w:rtl/>
        </w:rPr>
        <w:t xml:space="preserve"> فخذ"</w:t>
      </w:r>
      <w:r w:rsidRPr="00DA75F8">
        <w:rPr>
          <w:vertAlign w:val="superscript"/>
          <w:rtl/>
        </w:rPr>
        <w:t>(</w:t>
      </w:r>
      <w:r w:rsidRPr="00DA75F8">
        <w:rPr>
          <w:vertAlign w:val="superscript"/>
          <w:rtl/>
        </w:rPr>
        <w:footnoteReference w:id="30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والمادة</w:t>
      </w:r>
      <w:r w:rsidRPr="00DA75F8">
        <w:rPr>
          <w:rtl/>
        </w:rPr>
        <w:t xml:space="preserve"> السابقة مأخوذة من ابن عابدين</w:t>
      </w:r>
      <w:r w:rsidRPr="00DA75F8">
        <w:rPr>
          <w:vertAlign w:val="superscript"/>
          <w:rtl/>
        </w:rPr>
        <w:t>(</w:t>
      </w:r>
      <w:r w:rsidRPr="00DA75F8">
        <w:rPr>
          <w:vertAlign w:val="superscript"/>
          <w:rtl/>
        </w:rPr>
        <w:footnoteReference w:id="301"/>
      </w:r>
      <w:r w:rsidRPr="00DA75F8">
        <w:rPr>
          <w:vertAlign w:val="superscript"/>
          <w:rtl/>
        </w:rPr>
        <w:t>)</w:t>
      </w:r>
      <w:r w:rsidRPr="00DA75F8">
        <w:rPr>
          <w:rtl/>
        </w:rPr>
        <w:t xml:space="preserve"> حيث أنه قال في حاشيته: " بأن قال: المشتري: بعني هذا الثوب بكذا فيقول: بعت أو يقول: البائع: اشتره مني بكذا فيقول: اشتريته. (قوله: لا يصح أصلا) أي سواء نوى بذلك الحال أو لا لكون الأمر متمحضا للاستقبال وكذا المضارع المقرون بالسين أو سوف"</w:t>
      </w:r>
      <w:r w:rsidRPr="00DA75F8">
        <w:rPr>
          <w:vertAlign w:val="superscript"/>
          <w:rtl/>
        </w:rPr>
        <w:t>(</w:t>
      </w:r>
      <w:r w:rsidRPr="00DA75F8">
        <w:rPr>
          <w:vertAlign w:val="superscript"/>
          <w:rtl/>
        </w:rPr>
        <w:footnoteReference w:id="302"/>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الثاني: المادة 341</w:t>
      </w:r>
    </w:p>
    <w:p w:rsidR="005F44B2" w:rsidRPr="00DA75F8" w:rsidRDefault="005F44B2" w:rsidP="007B6769">
      <w:pPr>
        <w:pStyle w:val="a0"/>
        <w:rPr>
          <w:rtl/>
        </w:rPr>
      </w:pPr>
      <w:r w:rsidRPr="00DA75F8">
        <w:rPr>
          <w:rFonts w:hint="cs"/>
          <w:rtl/>
        </w:rPr>
        <w:t>وموضوع</w:t>
      </w:r>
      <w:r w:rsidRPr="00DA75F8">
        <w:rPr>
          <w:rtl/>
        </w:rPr>
        <w:t xml:space="preserve"> هذه المادة البيع بعيب مع علم المشتري وفيها: " إذا ذكر البائع أن في المبيع عيب كذا وكذا وقبل المشتري مع علمه بالعيب لا يكون له الخيار بسبب ذلك العيب"</w:t>
      </w:r>
      <w:r w:rsidRPr="00DA75F8">
        <w:rPr>
          <w:vertAlign w:val="superscript"/>
          <w:rtl/>
        </w:rPr>
        <w:t>(</w:t>
      </w:r>
      <w:r w:rsidRPr="00DA75F8">
        <w:rPr>
          <w:vertAlign w:val="superscript"/>
          <w:rtl/>
        </w:rPr>
        <w:footnoteReference w:id="30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أيضا</w:t>
      </w:r>
      <w:r w:rsidRPr="00DA75F8">
        <w:rPr>
          <w:rtl/>
        </w:rPr>
        <w:t xml:space="preserve"> هذه المادة ترجع إلى رد المحتار</w:t>
      </w:r>
      <w:r w:rsidRPr="00DA75F8">
        <w:rPr>
          <w:vertAlign w:val="superscript"/>
          <w:rtl/>
        </w:rPr>
        <w:t>(</w:t>
      </w:r>
      <w:r w:rsidRPr="00DA75F8">
        <w:rPr>
          <w:vertAlign w:val="superscript"/>
          <w:rtl/>
        </w:rPr>
        <w:footnoteReference w:id="304"/>
      </w:r>
      <w:r w:rsidRPr="00DA75F8">
        <w:rPr>
          <w:vertAlign w:val="superscript"/>
          <w:rtl/>
        </w:rPr>
        <w:t>)</w:t>
      </w:r>
      <w:r w:rsidRPr="00DA75F8">
        <w:rPr>
          <w:rFonts w:hint="cs"/>
          <w:rtl/>
        </w:rPr>
        <w:t>،</w:t>
      </w:r>
      <w:r w:rsidRPr="00DA75F8">
        <w:rPr>
          <w:rtl/>
        </w:rPr>
        <w:t xml:space="preserve"> إذ قال بعد التفصيل " يدل على أنه لو قبضه عالما بالعيب كان قبضه رضا"</w:t>
      </w:r>
      <w:r w:rsidRPr="00DA75F8">
        <w:rPr>
          <w:vertAlign w:val="superscript"/>
          <w:rtl/>
        </w:rPr>
        <w:t>(</w:t>
      </w:r>
      <w:r w:rsidRPr="00DA75F8">
        <w:rPr>
          <w:vertAlign w:val="superscript"/>
          <w:rtl/>
        </w:rPr>
        <w:footnoteReference w:id="305"/>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الثالث: المادة 939</w:t>
      </w:r>
    </w:p>
    <w:p w:rsidR="005F44B2" w:rsidRPr="00DA75F8" w:rsidRDefault="005F44B2" w:rsidP="007B6769">
      <w:pPr>
        <w:pStyle w:val="a0"/>
        <w:rPr>
          <w:rtl/>
        </w:rPr>
      </w:pPr>
      <w:r w:rsidRPr="00DA75F8">
        <w:rPr>
          <w:rFonts w:hint="cs"/>
          <w:rtl/>
        </w:rPr>
        <w:t>وهي</w:t>
      </w:r>
      <w:r w:rsidRPr="00DA75F8">
        <w:rPr>
          <w:rtl/>
        </w:rPr>
        <w:t xml:space="preserve"> " إذا ربط شخصان دابتيهما </w:t>
      </w:r>
      <w:r w:rsidRPr="00DA75F8">
        <w:rPr>
          <w:rFonts w:hint="cs"/>
          <w:rtl/>
        </w:rPr>
        <w:t>في</w:t>
      </w:r>
      <w:r w:rsidRPr="00DA75F8">
        <w:rPr>
          <w:rtl/>
        </w:rPr>
        <w:t xml:space="preserve"> محل لهما حق الربط فيه فأتلفت إحدى الدابتين الأخرى فلا يلزم الضمان مثلا: لو أتلفت دابة أحدالشريكين في دار دابة الآخر عندما ربطاهما في تلك الدار لا يلزم الضمان"</w:t>
      </w:r>
      <w:r w:rsidRPr="00DA75F8">
        <w:rPr>
          <w:vertAlign w:val="superscript"/>
          <w:rtl/>
        </w:rPr>
        <w:t>(</w:t>
      </w:r>
      <w:r w:rsidRPr="00DA75F8">
        <w:rPr>
          <w:vertAlign w:val="superscript"/>
          <w:rtl/>
        </w:rPr>
        <w:footnoteReference w:id="30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ذكره</w:t>
      </w:r>
      <w:r w:rsidRPr="00DA75F8">
        <w:rPr>
          <w:rtl/>
        </w:rPr>
        <w:t xml:space="preserve"> ابن عابدين</w:t>
      </w:r>
      <w:r w:rsidRPr="00DA75F8">
        <w:rPr>
          <w:vertAlign w:val="superscript"/>
          <w:rtl/>
        </w:rPr>
        <w:t>(</w:t>
      </w:r>
      <w:r w:rsidRPr="00DA75F8">
        <w:rPr>
          <w:vertAlign w:val="superscript"/>
          <w:rtl/>
        </w:rPr>
        <w:footnoteReference w:id="307"/>
      </w:r>
      <w:r w:rsidRPr="00DA75F8">
        <w:rPr>
          <w:vertAlign w:val="superscript"/>
          <w:rtl/>
        </w:rPr>
        <w:t>)</w:t>
      </w:r>
      <w:r w:rsidRPr="00DA75F8">
        <w:rPr>
          <w:rtl/>
        </w:rPr>
        <w:t xml:space="preserve"> في باب جناية البهيمة والجناية عليها، بقوله " ربط حماره في سارية فربط آخر حمار</w:t>
      </w:r>
      <w:r w:rsidRPr="00DA75F8">
        <w:rPr>
          <w:rFonts w:hint="cs"/>
          <w:rtl/>
        </w:rPr>
        <w:t>ه</w:t>
      </w:r>
      <w:r w:rsidRPr="00DA75F8">
        <w:rPr>
          <w:rtl/>
        </w:rPr>
        <w:t xml:space="preserve"> فعض حمار الأول إنْ في </w:t>
      </w:r>
      <w:r w:rsidRPr="00DA75F8">
        <w:rPr>
          <w:rFonts w:hint="cs"/>
          <w:rtl/>
        </w:rPr>
        <w:t>موضعٍ</w:t>
      </w:r>
      <w:r w:rsidRPr="00DA75F8">
        <w:rPr>
          <w:rtl/>
        </w:rPr>
        <w:t xml:space="preserve"> لهما ولاية الربط لا يضمن وإلا ضمن اهـ ملخصا والله تعالى أعلم"</w:t>
      </w:r>
      <w:r w:rsidRPr="00DA75F8">
        <w:rPr>
          <w:vertAlign w:val="superscript"/>
          <w:rtl/>
        </w:rPr>
        <w:t>(</w:t>
      </w:r>
      <w:r w:rsidRPr="00DA75F8">
        <w:rPr>
          <w:vertAlign w:val="superscript"/>
          <w:rtl/>
        </w:rPr>
        <w:footnoteReference w:id="308"/>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الرابع: المادة 994</w:t>
      </w:r>
    </w:p>
    <w:p w:rsidR="005F44B2" w:rsidRPr="00DA75F8" w:rsidRDefault="005F44B2" w:rsidP="007B6769">
      <w:pPr>
        <w:pStyle w:val="a0"/>
        <w:rPr>
          <w:rtl/>
        </w:rPr>
      </w:pPr>
      <w:r w:rsidRPr="00DA75F8">
        <w:rPr>
          <w:rFonts w:hint="cs"/>
          <w:rtl/>
        </w:rPr>
        <w:t>هذه</w:t>
      </w:r>
      <w:r w:rsidRPr="00DA75F8">
        <w:rPr>
          <w:rtl/>
        </w:rPr>
        <w:t xml:space="preserve"> المادة في الكتاب التاسع، في الحجر والإذن والإكراه والشفعة تحت الفص</w:t>
      </w:r>
      <w:r w:rsidRPr="00DA75F8">
        <w:rPr>
          <w:rFonts w:hint="cs"/>
          <w:rtl/>
        </w:rPr>
        <w:t>ل</w:t>
      </w:r>
      <w:r w:rsidRPr="00DA75F8">
        <w:rPr>
          <w:rtl/>
        </w:rPr>
        <w:t xml:space="preserve"> الثالث: في السفيه المحجور، وهي " لا يصح إقرار السفيه المحجور بدينلآخر مطلقا يعني ليس لإقراره تأثير في حق أمواله الموجودة وقت الحجر والحادثة بعده"</w:t>
      </w:r>
      <w:r w:rsidRPr="00DA75F8">
        <w:rPr>
          <w:vertAlign w:val="superscript"/>
          <w:rtl/>
        </w:rPr>
        <w:t>(</w:t>
      </w:r>
      <w:r w:rsidRPr="00DA75F8">
        <w:rPr>
          <w:vertAlign w:val="superscript"/>
          <w:rtl/>
        </w:rPr>
        <w:footnoteReference w:id="30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ذكر ابن عابدين هذه المادة في حاشيته</w:t>
      </w:r>
      <w:r w:rsidRPr="00DA75F8">
        <w:rPr>
          <w:vertAlign w:val="superscript"/>
          <w:rtl/>
        </w:rPr>
        <w:t>(</w:t>
      </w:r>
      <w:r w:rsidRPr="00DA75F8">
        <w:rPr>
          <w:vertAlign w:val="superscript"/>
          <w:rtl/>
        </w:rPr>
        <w:footnoteReference w:id="310"/>
      </w:r>
      <w:r w:rsidRPr="00DA75F8">
        <w:rPr>
          <w:vertAlign w:val="superscript"/>
          <w:rtl/>
        </w:rPr>
        <w:t>)</w:t>
      </w:r>
      <w:r w:rsidRPr="00DA75F8">
        <w:rPr>
          <w:rtl/>
        </w:rPr>
        <w:t xml:space="preserve"> " والمحجور بالسفه لا يجوز إقراره لا حال الحجر ولا بعده ولا في المال القائم ولا الحادث اهـ "</w:t>
      </w:r>
      <w:r w:rsidRPr="00DA75F8">
        <w:rPr>
          <w:vertAlign w:val="superscript"/>
          <w:rtl/>
        </w:rPr>
        <w:t>(</w:t>
      </w:r>
      <w:r w:rsidRPr="00DA75F8">
        <w:rPr>
          <w:vertAlign w:val="superscript"/>
          <w:rtl/>
        </w:rPr>
        <w:footnoteReference w:id="311"/>
      </w:r>
      <w:r w:rsidRPr="00DA75F8">
        <w:rPr>
          <w:vertAlign w:val="superscript"/>
          <w:rtl/>
        </w:rPr>
        <w:t>)</w:t>
      </w:r>
      <w:r w:rsidRPr="00DA75F8">
        <w:rPr>
          <w:rtl/>
        </w:rPr>
        <w:t>.</w:t>
      </w:r>
    </w:p>
    <w:p w:rsidR="005F44B2" w:rsidRPr="00DA75F8" w:rsidRDefault="005F44B2" w:rsidP="008171A1">
      <w:pPr>
        <w:pStyle w:val="NoSpacing"/>
        <w:rPr>
          <w:rtl/>
        </w:rPr>
      </w:pPr>
      <w:r w:rsidRPr="00DA75F8">
        <w:rPr>
          <w:rFonts w:hint="cs"/>
          <w:rtl/>
        </w:rPr>
        <w:t>الفرع</w:t>
      </w:r>
      <w:r w:rsidRPr="00DA75F8">
        <w:rPr>
          <w:rtl/>
        </w:rPr>
        <w:t xml:space="preserve"> الخامس: المادة 1803</w:t>
      </w:r>
    </w:p>
    <w:p w:rsidR="005F44B2" w:rsidRPr="00DA75F8" w:rsidRDefault="005F44B2" w:rsidP="007B6769">
      <w:pPr>
        <w:pStyle w:val="a0"/>
        <w:rPr>
          <w:rtl/>
        </w:rPr>
      </w:pPr>
      <w:r w:rsidRPr="00DA75F8">
        <w:rPr>
          <w:rFonts w:hint="cs"/>
          <w:rtl/>
        </w:rPr>
        <w:t>إن</w:t>
      </w:r>
      <w:r w:rsidRPr="00DA75F8">
        <w:rPr>
          <w:rtl/>
        </w:rPr>
        <w:t xml:space="preserve"> هذه المادة في كتاب القضاء، في الباب الأول، في حق القضاة، تحت الفصل الثالث، وهو في بيان وظائف القاضي: " إذا طلب أحد الخصمين المرافعة في حضور قاض وطلب آخر المرا</w:t>
      </w:r>
      <w:r w:rsidRPr="00DA75F8">
        <w:rPr>
          <w:rFonts w:hint="cs"/>
          <w:rtl/>
        </w:rPr>
        <w:t>فعة</w:t>
      </w:r>
      <w:r w:rsidRPr="00DA75F8">
        <w:rPr>
          <w:rtl/>
        </w:rPr>
        <w:t xml:space="preserve"> في حضور قاض آخر في البلدة التي تعدد قضاتها ووقعالاختلاف بينهما على هذا الوجه يرجح القاضي الذي اختاره المدعى عليه. "</w:t>
      </w:r>
      <w:r w:rsidRPr="00DA75F8">
        <w:rPr>
          <w:vertAlign w:val="superscript"/>
          <w:rtl/>
        </w:rPr>
        <w:t>(</w:t>
      </w:r>
      <w:r w:rsidRPr="00DA75F8">
        <w:rPr>
          <w:vertAlign w:val="superscript"/>
          <w:rtl/>
        </w:rPr>
        <w:footnoteReference w:id="31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وهذه</w:t>
      </w:r>
      <w:r w:rsidRPr="00DA75F8">
        <w:rPr>
          <w:rtl/>
        </w:rPr>
        <w:t xml:space="preserve"> أيضا مأخوذة من حاشية ابن عابدين</w:t>
      </w:r>
      <w:r w:rsidRPr="00DA75F8">
        <w:rPr>
          <w:vertAlign w:val="superscript"/>
          <w:rtl/>
        </w:rPr>
        <w:t>(</w:t>
      </w:r>
      <w:r w:rsidRPr="00DA75F8">
        <w:rPr>
          <w:vertAlign w:val="superscript"/>
          <w:rtl/>
        </w:rPr>
        <w:footnoteReference w:id="313"/>
      </w:r>
      <w:r w:rsidRPr="00DA75F8">
        <w:rPr>
          <w:vertAlign w:val="superscript"/>
          <w:rtl/>
        </w:rPr>
        <w:t>)</w:t>
      </w:r>
      <w:r w:rsidRPr="00DA75F8">
        <w:rPr>
          <w:rFonts w:hint="cs"/>
          <w:rtl/>
        </w:rPr>
        <w:t>حيث</w:t>
      </w:r>
      <w:r w:rsidRPr="00DA75F8">
        <w:rPr>
          <w:rtl/>
        </w:rPr>
        <w:t xml:space="preserve"> قال " ولو كان في البلدة قاضيان كل واحد منهما في محلة على حدة فوقعت الخصومة بين رجلين أحدهما من </w:t>
      </w:r>
      <w:r w:rsidRPr="00DA75F8">
        <w:rPr>
          <w:rFonts w:hint="cs"/>
          <w:rtl/>
        </w:rPr>
        <w:t>محلة</w:t>
      </w:r>
      <w:r w:rsidRPr="00DA75F8">
        <w:rPr>
          <w:rtl/>
        </w:rPr>
        <w:t xml:space="preserve"> والآخر من محلة أخرى والمدعي يريد أن يخاصمه إلى قاضي محلته والآخر يأبى ذلك اختلف فيها أبو يوسف ومحمد. والصحيح أن العبرة لمكان المدعى عليه... " </w:t>
      </w:r>
      <w:r w:rsidRPr="00DA75F8">
        <w:rPr>
          <w:vertAlign w:val="superscript"/>
          <w:rtl/>
        </w:rPr>
        <w:t>(</w:t>
      </w:r>
      <w:r w:rsidRPr="00DA75F8">
        <w:rPr>
          <w:vertAlign w:val="superscript"/>
          <w:rtl/>
        </w:rPr>
        <w:footnoteReference w:id="314"/>
      </w:r>
      <w:r w:rsidRPr="00DA75F8">
        <w:rPr>
          <w:vertAlign w:val="superscript"/>
          <w:rtl/>
        </w:rPr>
        <w:t>)</w:t>
      </w:r>
      <w:r w:rsidRPr="00DA75F8">
        <w:rPr>
          <w:rtl/>
        </w:rPr>
        <w:t xml:space="preserve"> وما بعده فيه تفصيلات.</w:t>
      </w:r>
    </w:p>
    <w:p w:rsidR="005F44B2" w:rsidRPr="00DA75F8" w:rsidRDefault="005F44B2" w:rsidP="008171A1">
      <w:pPr>
        <w:pStyle w:val="NoSpacing"/>
        <w:rPr>
          <w:rtl/>
        </w:rPr>
      </w:pPr>
      <w:r w:rsidRPr="00DA75F8">
        <w:rPr>
          <w:rFonts w:hint="cs"/>
          <w:rtl/>
        </w:rPr>
        <w:t>الفرع</w:t>
      </w:r>
      <w:r w:rsidRPr="00DA75F8">
        <w:rPr>
          <w:rtl/>
        </w:rPr>
        <w:t xml:space="preserve"> السادس: المادة 1832</w:t>
      </w:r>
    </w:p>
    <w:p w:rsidR="005F44B2" w:rsidRPr="00DA75F8" w:rsidRDefault="005F44B2" w:rsidP="007B6769">
      <w:pPr>
        <w:pStyle w:val="a0"/>
        <w:rPr>
          <w:rtl/>
        </w:rPr>
      </w:pPr>
      <w:r w:rsidRPr="00DA75F8">
        <w:rPr>
          <w:rFonts w:hint="cs"/>
          <w:rtl/>
        </w:rPr>
        <w:t>ونصُّها</w:t>
      </w:r>
      <w:r w:rsidRPr="00DA75F8">
        <w:rPr>
          <w:rtl/>
        </w:rPr>
        <w:t>:  " للقاضي في الدعوى التي توجه الخصومة فيها إلى جميع الورثة أن يحكم بالبيِّنة التي أقيمت في مواجهة أحد الورثة إذا غاب ذلك الوارث قبل الحكم على الوارث الآخرالذي أحضر في الدعوى ولا حاجة إلى إعادة البينة"</w:t>
      </w:r>
      <w:r w:rsidRPr="00DA75F8">
        <w:rPr>
          <w:vertAlign w:val="superscript"/>
          <w:rtl/>
        </w:rPr>
        <w:t>(</w:t>
      </w:r>
      <w:r w:rsidRPr="00DA75F8">
        <w:rPr>
          <w:vertAlign w:val="superscript"/>
          <w:rtl/>
        </w:rPr>
        <w:footnoteReference w:id="31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عندما</w:t>
      </w:r>
      <w:r w:rsidRPr="00DA75F8">
        <w:rPr>
          <w:rtl/>
        </w:rPr>
        <w:t xml:space="preserve"> رجعنا الى رد المحت</w:t>
      </w:r>
      <w:r w:rsidRPr="00DA75F8">
        <w:rPr>
          <w:rFonts w:hint="cs"/>
          <w:rtl/>
        </w:rPr>
        <w:t>ار</w:t>
      </w:r>
      <w:r w:rsidRPr="00DA75F8">
        <w:rPr>
          <w:rtl/>
        </w:rPr>
        <w:t xml:space="preserve"> وجدنا هذه المادة</w:t>
      </w:r>
      <w:r w:rsidRPr="00DA75F8">
        <w:rPr>
          <w:vertAlign w:val="superscript"/>
          <w:rtl/>
        </w:rPr>
        <w:t>(</w:t>
      </w:r>
      <w:r w:rsidRPr="00DA75F8">
        <w:rPr>
          <w:vertAlign w:val="superscript"/>
          <w:rtl/>
        </w:rPr>
        <w:footnoteReference w:id="316"/>
      </w:r>
      <w:r w:rsidRPr="00DA75F8">
        <w:rPr>
          <w:vertAlign w:val="superscript"/>
          <w:rtl/>
        </w:rPr>
        <w:t>)</w:t>
      </w:r>
      <w:r w:rsidRPr="00DA75F8">
        <w:rPr>
          <w:rFonts w:hint="cs"/>
          <w:rtl/>
        </w:rPr>
        <w:t>كما</w:t>
      </w:r>
      <w:r w:rsidRPr="00DA75F8">
        <w:rPr>
          <w:rtl/>
        </w:rPr>
        <w:t xml:space="preserve"> يلي " وكذا يقضي على الوارث ببينة قامت على مورثه"</w:t>
      </w:r>
      <w:r w:rsidRPr="00DA75F8">
        <w:rPr>
          <w:vertAlign w:val="superscript"/>
          <w:rtl/>
        </w:rPr>
        <w:t>(</w:t>
      </w:r>
      <w:r w:rsidRPr="00DA75F8">
        <w:rPr>
          <w:vertAlign w:val="superscript"/>
          <w:rtl/>
        </w:rPr>
        <w:footnoteReference w:id="317"/>
      </w:r>
      <w:r w:rsidRPr="00DA75F8">
        <w:rPr>
          <w:vertAlign w:val="superscript"/>
          <w:rtl/>
        </w:rPr>
        <w:t>)</w:t>
      </w:r>
      <w:r w:rsidRPr="00DA75F8">
        <w:rPr>
          <w:rtl/>
        </w:rPr>
        <w:t>.</w:t>
      </w:r>
    </w:p>
    <w:p w:rsidR="005F44B2" w:rsidRPr="00DA75F8" w:rsidRDefault="005F44B2" w:rsidP="005E6A96">
      <w:pPr>
        <w:bidi w:val="0"/>
        <w:spacing w:line="360" w:lineRule="auto"/>
        <w:rPr>
          <w:sz w:val="28"/>
          <w:szCs w:val="28"/>
          <w:rtl/>
        </w:rPr>
      </w:pPr>
      <w:r w:rsidRPr="00DA75F8">
        <w:rPr>
          <w:rtl/>
        </w:rPr>
        <w:br w:type="page"/>
      </w:r>
    </w:p>
    <w:p w:rsidR="005F44B2" w:rsidRPr="00DA75F8" w:rsidRDefault="005F44B2" w:rsidP="005E6A96">
      <w:pPr>
        <w:spacing w:line="360" w:lineRule="auto"/>
        <w:rPr>
          <w:noProof/>
          <w:sz w:val="50"/>
          <w:szCs w:val="50"/>
          <w:rtl/>
        </w:rPr>
      </w:pPr>
    </w:p>
    <w:p w:rsidR="005F44B2" w:rsidRPr="00DA75F8" w:rsidRDefault="005F44B2" w:rsidP="005E6A96">
      <w:pPr>
        <w:spacing w:line="360" w:lineRule="auto"/>
        <w:rPr>
          <w:noProof/>
          <w:sz w:val="50"/>
          <w:szCs w:val="50"/>
          <w:rtl/>
        </w:rPr>
      </w:pPr>
      <w:r w:rsidRPr="00DA75F8">
        <w:rPr>
          <w:noProof/>
          <w:sz w:val="50"/>
          <w:szCs w:val="50"/>
          <w:rtl/>
        </w:rPr>
        <w:tab/>
      </w:r>
    </w:p>
    <w:p w:rsidR="005F44B2" w:rsidRPr="00DA75F8" w:rsidRDefault="005F44B2" w:rsidP="005E6A96">
      <w:pPr>
        <w:pStyle w:val="a1"/>
        <w:rPr>
          <w:sz w:val="50"/>
          <w:szCs w:val="50"/>
          <w:rtl/>
        </w:rPr>
      </w:pPr>
      <w:bookmarkStart w:id="27" w:name="_Toc447092569"/>
      <w:r w:rsidRPr="00DA75F8">
        <w:rPr>
          <w:rFonts w:hint="cs"/>
          <w:noProof/>
          <w:sz w:val="50"/>
          <w:szCs w:val="50"/>
          <w:rtl/>
        </w:rPr>
        <w:t>الفصل</w:t>
      </w:r>
      <w:r w:rsidRPr="00DA75F8">
        <w:rPr>
          <w:noProof/>
          <w:sz w:val="50"/>
          <w:szCs w:val="50"/>
          <w:rtl/>
        </w:rPr>
        <w:t xml:space="preserve"> الثالث:مسائل تطبيقية في السياسة الشرعية عند ابن عابدين</w:t>
      </w:r>
      <w:bookmarkEnd w:id="27"/>
    </w:p>
    <w:p w:rsidR="005F44B2" w:rsidRPr="00DA75F8" w:rsidRDefault="005F44B2" w:rsidP="005E6A96">
      <w:pPr>
        <w:spacing w:line="360" w:lineRule="auto"/>
        <w:rPr>
          <w:rtl/>
        </w:rPr>
      </w:pPr>
    </w:p>
    <w:p w:rsidR="005F44B2" w:rsidRPr="00DA75F8" w:rsidRDefault="005F44B2" w:rsidP="007B6769">
      <w:pPr>
        <w:pStyle w:val="a0"/>
        <w:rPr>
          <w:rtl/>
        </w:rPr>
      </w:pPr>
    </w:p>
    <w:p w:rsidR="005F44B2" w:rsidRPr="00DA75F8" w:rsidRDefault="005F44B2" w:rsidP="007B6769">
      <w:pPr>
        <w:pStyle w:val="a0"/>
        <w:rPr>
          <w:rtl/>
        </w:rPr>
      </w:pPr>
    </w:p>
    <w:p w:rsidR="005F44B2" w:rsidRPr="00AC3F6C" w:rsidRDefault="005F44B2" w:rsidP="007B6769">
      <w:pPr>
        <w:pStyle w:val="a0"/>
        <w:rPr>
          <w:b/>
          <w:bCs/>
          <w:sz w:val="32"/>
          <w:szCs w:val="32"/>
          <w:rtl/>
        </w:rPr>
      </w:pPr>
      <w:r w:rsidRPr="00AC3F6C">
        <w:rPr>
          <w:rFonts w:hint="cs"/>
          <w:b/>
          <w:bCs/>
          <w:sz w:val="32"/>
          <w:szCs w:val="32"/>
          <w:rtl/>
        </w:rPr>
        <w:t>المبحث</w:t>
      </w:r>
      <w:r w:rsidRPr="00AC3F6C">
        <w:rPr>
          <w:b/>
          <w:bCs/>
          <w:sz w:val="32"/>
          <w:szCs w:val="32"/>
          <w:rtl/>
        </w:rPr>
        <w:t xml:space="preserve"> الأول: تطبيقات السياسة الشرعية في عقوبة القتل عند ابن عابدين</w:t>
      </w:r>
    </w:p>
    <w:p w:rsidR="005F44B2" w:rsidRPr="00DA75F8" w:rsidRDefault="005F44B2" w:rsidP="007B6769">
      <w:pPr>
        <w:pStyle w:val="a0"/>
        <w:rPr>
          <w:rtl/>
        </w:rPr>
      </w:pPr>
    </w:p>
    <w:p w:rsidR="005F44B2" w:rsidRPr="00DA75F8" w:rsidRDefault="005F44B2" w:rsidP="007B6769">
      <w:pPr>
        <w:pStyle w:val="a0"/>
        <w:rPr>
          <w:rtl/>
        </w:rPr>
      </w:pPr>
    </w:p>
    <w:p w:rsidR="005F44B2" w:rsidRPr="00DA75F8" w:rsidRDefault="005F44B2" w:rsidP="007B6769">
      <w:pPr>
        <w:pStyle w:val="a0"/>
        <w:rPr>
          <w:rtl/>
        </w:rPr>
      </w:pPr>
    </w:p>
    <w:p w:rsidR="005F44B2" w:rsidRPr="00AC3F6C" w:rsidRDefault="005F44B2" w:rsidP="007B6769">
      <w:pPr>
        <w:pStyle w:val="a0"/>
        <w:rPr>
          <w:b/>
          <w:bCs/>
          <w:sz w:val="32"/>
          <w:szCs w:val="32"/>
          <w:rtl/>
        </w:rPr>
      </w:pPr>
      <w:r w:rsidRPr="00AC3F6C">
        <w:rPr>
          <w:rFonts w:hint="cs"/>
          <w:b/>
          <w:bCs/>
          <w:sz w:val="32"/>
          <w:szCs w:val="32"/>
          <w:rtl/>
        </w:rPr>
        <w:t>المبحث</w:t>
      </w:r>
      <w:r w:rsidRPr="00AC3F6C">
        <w:rPr>
          <w:b/>
          <w:bCs/>
          <w:sz w:val="32"/>
          <w:szCs w:val="32"/>
          <w:rtl/>
        </w:rPr>
        <w:t xml:space="preserve"> الثاني: تطبيقات السياسة الشرعية في مجالات مخ</w:t>
      </w:r>
      <w:r w:rsidRPr="00AC3F6C">
        <w:rPr>
          <w:rFonts w:hint="cs"/>
          <w:b/>
          <w:bCs/>
          <w:sz w:val="32"/>
          <w:szCs w:val="32"/>
          <w:rtl/>
        </w:rPr>
        <w:t>تلفة</w:t>
      </w:r>
      <w:r w:rsidRPr="00AC3F6C">
        <w:rPr>
          <w:b/>
          <w:bCs/>
          <w:sz w:val="32"/>
          <w:szCs w:val="32"/>
          <w:rtl/>
        </w:rPr>
        <w:t xml:space="preserve"> عند ابن عابدين</w:t>
      </w:r>
    </w:p>
    <w:p w:rsidR="005F44B2" w:rsidRPr="00DA75F8" w:rsidRDefault="005F44B2" w:rsidP="005E6A96">
      <w:pPr>
        <w:spacing w:line="360" w:lineRule="auto"/>
        <w:rPr>
          <w:b/>
          <w:bCs/>
          <w:sz w:val="36"/>
          <w:szCs w:val="36"/>
          <w:rtl/>
        </w:rPr>
      </w:pPr>
      <w:r w:rsidRPr="00DA75F8">
        <w:rPr>
          <w:b/>
          <w:bCs/>
          <w:sz w:val="36"/>
          <w:szCs w:val="36"/>
          <w:rtl/>
        </w:rPr>
        <w:br w:type="page"/>
      </w:r>
    </w:p>
    <w:p w:rsidR="005F44B2" w:rsidRPr="00DA75F8" w:rsidRDefault="005F44B2" w:rsidP="00FE2B8E">
      <w:pPr>
        <w:pStyle w:val="a0"/>
        <w:rPr>
          <w:rtl/>
        </w:rPr>
      </w:pPr>
      <w:r w:rsidRPr="00DA75F8">
        <w:rPr>
          <w:rFonts w:hint="cs"/>
          <w:rtl/>
        </w:rPr>
        <w:t>قسّم</w:t>
      </w:r>
      <w:r w:rsidRPr="00DA75F8">
        <w:rPr>
          <w:rtl/>
        </w:rPr>
        <w:t xml:space="preserve"> الباحث الفصل الثالث إلى قسمين، لأنه رأى عند استخراج التطبيقات أن عدد الأمثلة على عقوبة القتل سياسة كثيرة</w:t>
      </w:r>
      <w:r>
        <w:rPr>
          <w:rtl/>
        </w:rPr>
        <w:t xml:space="preserve"> عند ابن عابدين</w:t>
      </w:r>
      <w:r w:rsidRPr="00DA75F8">
        <w:rPr>
          <w:rFonts w:hint="cs"/>
          <w:rtl/>
        </w:rPr>
        <w:t>،</w:t>
      </w:r>
      <w:r w:rsidRPr="00DA75F8">
        <w:rPr>
          <w:rtl/>
        </w:rPr>
        <w:t xml:space="preserve"> لذا وضعها الباحث في مبحث مستقل، ووضع الأمثلة التطبيقية على مجالات مختلفة</w:t>
      </w:r>
      <w:r>
        <w:rPr>
          <w:rFonts w:hint="cs"/>
          <w:rtl/>
        </w:rPr>
        <w:t>في</w:t>
      </w:r>
      <w:r w:rsidRPr="00DA75F8">
        <w:rPr>
          <w:rtl/>
        </w:rPr>
        <w:t xml:space="preserve"> مبحث آخر.</w:t>
      </w:r>
    </w:p>
    <w:p w:rsidR="005F44B2" w:rsidRPr="00DA75F8" w:rsidRDefault="005F44B2" w:rsidP="00FE2B8E">
      <w:pPr>
        <w:pStyle w:val="a0"/>
        <w:rPr>
          <w:rtl/>
        </w:rPr>
      </w:pPr>
      <w:r w:rsidRPr="00DA75F8">
        <w:rPr>
          <w:rFonts w:hint="cs"/>
          <w:rtl/>
        </w:rPr>
        <w:t>استخرج</w:t>
      </w:r>
      <w:r w:rsidRPr="00DA75F8">
        <w:rPr>
          <w:rtl/>
        </w:rPr>
        <w:t xml:space="preserve"> الباحث الأمثلة التطبيقية عند ابن عابدين من كتابه (( رد المحتار)) ورسائله، لأن كتاب (( رد المحتار)) أفضل وأكثر تفوقًا من كتبه الأخرى ومستحقّ للمدح من كل جوانبه، ومن مميزات (( رد المحتار)): تقسيم المواضيع، واللغة، ووضوح العبارات الفقهية وتبسيط الفقه، وكثرة المسائل الفرعية وتصويرها، وتضمّن موضوعات الفقه الإسلامي كلها ونحو ذلك، وقد جعلت مميزات (( رد المحتار)) الباحثَ يرجّحُ اختيارَهلاستنباط الأمثلة</w:t>
      </w:r>
      <w:r>
        <w:rPr>
          <w:rtl/>
        </w:rPr>
        <w:t xml:space="preserve"> منه</w:t>
      </w:r>
      <w:r w:rsidRPr="00DA75F8">
        <w:rPr>
          <w:rFonts w:hint="cs"/>
          <w:rtl/>
        </w:rPr>
        <w:t>،</w:t>
      </w:r>
      <w:r w:rsidRPr="00DA75F8">
        <w:rPr>
          <w:rtl/>
        </w:rPr>
        <w:t xml:space="preserve"> وإ</w:t>
      </w:r>
      <w:r>
        <w:rPr>
          <w:rFonts w:hint="cs"/>
          <w:rtl/>
        </w:rPr>
        <w:t>ض</w:t>
      </w:r>
      <w:r w:rsidRPr="00DA75F8">
        <w:rPr>
          <w:rFonts w:hint="cs"/>
          <w:rtl/>
        </w:rPr>
        <w:t>افة</w:t>
      </w:r>
      <w:r w:rsidRPr="00DA75F8">
        <w:rPr>
          <w:rtl/>
        </w:rPr>
        <w:t xml:space="preserve"> إلى سبب آخر: هو أن رد المحتار آخر مؤلف لابن عابدين حيث لم يكمله وتوفي أثناء كتابته، و</w:t>
      </w:r>
      <w:r>
        <w:rPr>
          <w:rFonts w:hint="cs"/>
          <w:rtl/>
        </w:rPr>
        <w:t>أتمّ</w:t>
      </w:r>
      <w:r w:rsidRPr="00DA75F8">
        <w:rPr>
          <w:rFonts w:hint="cs"/>
          <w:rtl/>
        </w:rPr>
        <w:t>ه</w:t>
      </w:r>
      <w:r w:rsidRPr="00DA75F8">
        <w:rPr>
          <w:rtl/>
        </w:rPr>
        <w:t xml:space="preserve"> ابنه ، وعلى هذا فإن ابن عابدين لم يرجع عن آرائه في ه</w:t>
      </w:r>
      <w:r w:rsidRPr="00DA75F8">
        <w:rPr>
          <w:rFonts w:hint="cs"/>
          <w:rtl/>
        </w:rPr>
        <w:t>ذا</w:t>
      </w:r>
      <w:r w:rsidRPr="00DA75F8">
        <w:rPr>
          <w:rtl/>
        </w:rPr>
        <w:t xml:space="preserve"> الكتاب، لأنه قد وري ا</w:t>
      </w:r>
      <w:r w:rsidRPr="00DA75F8">
        <w:rPr>
          <w:rFonts w:hint="cs"/>
          <w:rtl/>
        </w:rPr>
        <w:t>لثرى</w:t>
      </w:r>
      <w:r w:rsidRPr="00DA75F8">
        <w:rPr>
          <w:rtl/>
        </w:rPr>
        <w:t xml:space="preserve"> قبل أن </w:t>
      </w:r>
      <w:r>
        <w:rPr>
          <w:rFonts w:hint="cs"/>
          <w:rtl/>
        </w:rPr>
        <w:t>يكمل</w:t>
      </w:r>
      <w:r w:rsidRPr="00DA75F8">
        <w:rPr>
          <w:rFonts w:hint="cs"/>
          <w:rtl/>
        </w:rPr>
        <w:t>ه</w:t>
      </w:r>
      <w:r w:rsidRPr="00DA75F8">
        <w:rPr>
          <w:rtl/>
        </w:rPr>
        <w:t>.</w:t>
      </w:r>
    </w:p>
    <w:p w:rsidR="005F44B2" w:rsidRPr="00DA75F8" w:rsidRDefault="005F44B2" w:rsidP="007B6769">
      <w:pPr>
        <w:pStyle w:val="a0"/>
        <w:rPr>
          <w:rtl/>
        </w:rPr>
      </w:pPr>
      <w:r w:rsidRPr="00DA75F8">
        <w:rPr>
          <w:rFonts w:hint="cs"/>
          <w:rtl/>
        </w:rPr>
        <w:t>وأيضا</w:t>
      </w:r>
      <w:r w:rsidRPr="00DA75F8">
        <w:rPr>
          <w:rtl/>
        </w:rPr>
        <w:t xml:space="preserve"> فقد اختار الباحث رسائل ابن عابدين لاستخراج أمثلة السياسة الشرعية، لأن ابن عابدين بَحَثَ بعض المواضيع بحثًا تفصيليا، وهو أيضا من أكثر الكتب شيوعًا في العالم.</w:t>
      </w:r>
    </w:p>
    <w:p w:rsidR="005F44B2" w:rsidRPr="00DA75F8" w:rsidRDefault="005F44B2" w:rsidP="00FE2B8E">
      <w:pPr>
        <w:pStyle w:val="a0"/>
        <w:rPr>
          <w:rtl/>
        </w:rPr>
      </w:pPr>
      <w:r w:rsidRPr="00DA75F8">
        <w:rPr>
          <w:rFonts w:hint="cs"/>
          <w:rtl/>
        </w:rPr>
        <w:t>وبعد</w:t>
      </w:r>
      <w:r w:rsidRPr="00DA75F8">
        <w:rPr>
          <w:rtl/>
        </w:rPr>
        <w:t xml:space="preserve"> تبيين سبب اختيار هذين الكتابين لاستخراج التطبيقات</w:t>
      </w:r>
      <w:r>
        <w:rPr>
          <w:rtl/>
        </w:rPr>
        <w:t xml:space="preserve"> لذا</w:t>
      </w:r>
      <w:r w:rsidRPr="00DA75F8">
        <w:rPr>
          <w:rtl/>
        </w:rPr>
        <w:t xml:space="preserve"> سيتكون الفصل الثالث من مبحثين، وسيدرس الباحث في المبحث الأول التطبيقات على عقوبة القتل سياسة وفيه عشر فروع، وسيحاول ال</w:t>
      </w:r>
      <w:r w:rsidRPr="00DA75F8">
        <w:rPr>
          <w:rFonts w:hint="cs"/>
          <w:rtl/>
        </w:rPr>
        <w:t>باحث</w:t>
      </w:r>
      <w:r w:rsidRPr="00DA75F8">
        <w:rPr>
          <w:rtl/>
        </w:rPr>
        <w:t xml:space="preserve"> أن يضرب الأمثلة فيه قدر ما يوضّح الأمروبعد ذلك سينتقل مباشرة إلى علاقة هذه الفروع بالسياسة الشرعية.</w:t>
      </w:r>
    </w:p>
    <w:p w:rsidR="005F44B2" w:rsidRPr="00DA75F8" w:rsidRDefault="005F44B2" w:rsidP="007B6769">
      <w:pPr>
        <w:pStyle w:val="a0"/>
      </w:pPr>
      <w:r w:rsidRPr="00DA75F8">
        <w:rPr>
          <w:rFonts w:hint="cs"/>
          <w:rtl/>
        </w:rPr>
        <w:t>وسيدرس</w:t>
      </w:r>
      <w:r w:rsidRPr="00DA75F8">
        <w:rPr>
          <w:rtl/>
        </w:rPr>
        <w:t xml:space="preserve"> في المبحث الثاني تطبيقات السياسة الشرعية في مجالات مختلفة عند ابن عابدين.</w:t>
      </w:r>
    </w:p>
    <w:p w:rsidR="005F44B2" w:rsidRPr="00DA75F8" w:rsidRDefault="005F44B2" w:rsidP="005E6A96">
      <w:pPr>
        <w:pStyle w:val="a2"/>
        <w:rPr>
          <w:rtl/>
        </w:rPr>
      </w:pPr>
      <w:bookmarkStart w:id="28" w:name="_Toc447092570"/>
      <w:r w:rsidRPr="00DA75F8">
        <w:rPr>
          <w:rFonts w:hint="cs"/>
          <w:rtl/>
        </w:rPr>
        <w:t>المبحث</w:t>
      </w:r>
      <w:r w:rsidRPr="00DA75F8">
        <w:rPr>
          <w:rtl/>
        </w:rPr>
        <w:t xml:space="preserve"> الأول: عقوبة القتل سياسة</w:t>
      </w:r>
      <w:bookmarkEnd w:id="28"/>
    </w:p>
    <w:p w:rsidR="005F44B2" w:rsidRPr="00DA75F8" w:rsidRDefault="005F44B2" w:rsidP="007B6769">
      <w:pPr>
        <w:pStyle w:val="a0"/>
        <w:rPr>
          <w:rtl/>
        </w:rPr>
      </w:pPr>
      <w:r w:rsidRPr="00DA75F8">
        <w:rPr>
          <w:rFonts w:hint="cs"/>
          <w:rtl/>
        </w:rPr>
        <w:t>تحدث</w:t>
      </w:r>
      <w:r w:rsidRPr="00DA75F8">
        <w:rPr>
          <w:rtl/>
        </w:rPr>
        <w:t xml:space="preserve"> ابن عابدين عن هذا الموضوع تبشكل مفصّل في المطلب الذي سماه " يكون التعزير بالقتل" وذكره أيضًا في مواقف أخرى بشكل عام، ورأى ابن عابدين أن للإمام أن يعزّر بالقتل في الجرائم التي تعظّمت بالتكرار، وهذا نموذج على كيفية القتل سياسة</w:t>
      </w:r>
      <w:r w:rsidRPr="00DA75F8">
        <w:rPr>
          <w:vertAlign w:val="superscript"/>
          <w:rtl/>
        </w:rPr>
        <w:t>(</w:t>
      </w:r>
      <w:r w:rsidRPr="00DA75F8">
        <w:rPr>
          <w:rStyle w:val="FootnoteReference"/>
          <w:rFonts w:cs="Arabic Transparent"/>
          <w:rtl/>
        </w:rPr>
        <w:footnoteReference w:id="318"/>
      </w:r>
      <w:r w:rsidRPr="00DA75F8">
        <w:rPr>
          <w:vertAlign w:val="superscript"/>
          <w:rtl/>
        </w:rPr>
        <w:t>)</w:t>
      </w:r>
      <w:r w:rsidRPr="00DA75F8">
        <w:rPr>
          <w:rFonts w:hint="cs"/>
          <w:rtl/>
        </w:rPr>
        <w:t>،</w:t>
      </w:r>
      <w:r w:rsidRPr="00DA75F8">
        <w:rPr>
          <w:rtl/>
        </w:rPr>
        <w:t xml:space="preserve"> وقد وردت الأمثلة الفرعية في حاشيته ورسائله على عقوبة القتل سياسة، وهذه الأمثلة تؤيّد تعريف ابن عابدين الذي قدّمه الباحث في تعريف السياسة الشرعية عند ابن عابدين وهو "السياسة شرع مغلظ"</w:t>
      </w:r>
      <w:r>
        <w:rPr>
          <w:rtl/>
        </w:rPr>
        <w:t xml:space="preserve"> حيث نظر إليها من جانب خاص وهي تغليظ العقوبة ف</w:t>
      </w:r>
      <w:r>
        <w:rPr>
          <w:rFonts w:hint="cs"/>
          <w:rtl/>
        </w:rPr>
        <w:t>يما</w:t>
      </w:r>
      <w:r>
        <w:rPr>
          <w:rtl/>
        </w:rPr>
        <w:t xml:space="preserve"> لا نص فيه</w:t>
      </w:r>
      <w:r w:rsidRPr="00DA75F8">
        <w:rPr>
          <w:rFonts w:hint="cs"/>
          <w:rtl/>
        </w:rPr>
        <w:t>،</w:t>
      </w:r>
      <w:r w:rsidRPr="00DA75F8">
        <w:rPr>
          <w:rtl/>
        </w:rPr>
        <w:t xml:space="preserve"> وأيضا ذكر أن السياسة الشرعية عبارة عن شرع مغلظ</w:t>
      </w:r>
      <w:r w:rsidRPr="00DA75F8">
        <w:rPr>
          <w:vertAlign w:val="superscript"/>
          <w:rtl/>
        </w:rPr>
        <w:t>(</w:t>
      </w:r>
      <w:r w:rsidRPr="00DA75F8">
        <w:rPr>
          <w:rStyle w:val="FootnoteReference"/>
          <w:rFonts w:cs="Arabic Transparent"/>
          <w:rtl/>
        </w:rPr>
        <w:footnoteReference w:id="319"/>
      </w:r>
      <w:r w:rsidRPr="00DA75F8">
        <w:rPr>
          <w:vertAlign w:val="superscript"/>
          <w:rtl/>
        </w:rPr>
        <w:t>)</w:t>
      </w:r>
      <w:r w:rsidRPr="00DA75F8">
        <w:rPr>
          <w:rFonts w:hint="cs"/>
          <w:rtl/>
        </w:rPr>
        <w:t>،</w:t>
      </w:r>
      <w:r w:rsidRPr="00DA75F8">
        <w:rPr>
          <w:rtl/>
        </w:rPr>
        <w:t xml:space="preserve">  وسيُبيِّن الباحث هذه الأمثلة في المطالب التالية كما يلي:</w:t>
      </w:r>
    </w:p>
    <w:p w:rsidR="005F44B2" w:rsidRPr="00DA75F8" w:rsidRDefault="005F44B2" w:rsidP="005E6A96">
      <w:pPr>
        <w:pStyle w:val="a3"/>
        <w:rPr>
          <w:rtl/>
        </w:rPr>
      </w:pPr>
      <w:bookmarkStart w:id="29" w:name="_Toc447092571"/>
      <w:r w:rsidRPr="00DA75F8">
        <w:rPr>
          <w:rFonts w:hint="cs"/>
          <w:rtl/>
        </w:rPr>
        <w:t>المطلب</w:t>
      </w:r>
      <w:r w:rsidRPr="00DA75F8">
        <w:rPr>
          <w:rtl/>
        </w:rPr>
        <w:t xml:space="preserve"> الأول: قتل السارق سياسة</w:t>
      </w:r>
      <w:bookmarkEnd w:id="29"/>
    </w:p>
    <w:p w:rsidR="005F44B2" w:rsidRPr="00DA75F8" w:rsidRDefault="005F44B2" w:rsidP="007B6769">
      <w:pPr>
        <w:pStyle w:val="a0"/>
        <w:rPr>
          <w:rtl/>
        </w:rPr>
      </w:pPr>
      <w:r w:rsidRPr="00DA75F8">
        <w:rPr>
          <w:rFonts w:hint="cs"/>
          <w:rtl/>
        </w:rPr>
        <w:t>السرقة</w:t>
      </w:r>
      <w:r w:rsidRPr="00DA75F8">
        <w:rPr>
          <w:rtl/>
        </w:rPr>
        <w:t xml:space="preserve"> لغةً: " سرق منه ما لا يسرق سَرَقاً بالتحريك، والاسم السَرِقُ والسَرِقَةُ، بكسر الراء فيهما جميعاً. وربَّما قالوا: سرقه ما لا، وفي المثل: " سرق السارق فانتحر "</w:t>
      </w:r>
      <w:r w:rsidRPr="00DA75F8">
        <w:rPr>
          <w:vertAlign w:val="superscript"/>
          <w:rtl/>
        </w:rPr>
        <w:t>(</w:t>
      </w:r>
      <w:r w:rsidRPr="00DA75F8">
        <w:rPr>
          <w:rStyle w:val="FootnoteReference"/>
          <w:rFonts w:cs="Arabic Transparent"/>
          <w:rtl/>
        </w:rPr>
        <w:footnoteReference w:id="320"/>
      </w:r>
      <w:r w:rsidRPr="00DA75F8">
        <w:rPr>
          <w:vertAlign w:val="superscript"/>
          <w:rtl/>
        </w:rPr>
        <w:t>)</w:t>
      </w:r>
      <w:r w:rsidRPr="00DA75F8">
        <w:rPr>
          <w:rFonts w:hint="cs"/>
          <w:rtl/>
        </w:rPr>
        <w:t>،</w:t>
      </w:r>
      <w:r w:rsidRPr="00DA75F8">
        <w:rPr>
          <w:rtl/>
        </w:rPr>
        <w:t xml:space="preserve"> وقال ابن منظور: " سَرَق الشَّيْءَ يسْرِقه سَرَقاً وسَرِقاً واستَرَقَه، وَفِي الْمَثَلِ: سُرِقَ السارقُ فانتحَر. والسَّرَق: مَصْدَرُ فِعْلِ السَّارِقِ"</w:t>
      </w:r>
      <w:r w:rsidRPr="00DA75F8">
        <w:rPr>
          <w:vertAlign w:val="superscript"/>
          <w:rtl/>
        </w:rPr>
        <w:t>(</w:t>
      </w:r>
      <w:r w:rsidRPr="00DA75F8">
        <w:rPr>
          <w:rStyle w:val="FootnoteReference"/>
          <w:rFonts w:cs="Arabic Transparent"/>
          <w:rtl/>
        </w:rPr>
        <w:footnoteReference w:id="321"/>
      </w:r>
      <w:r w:rsidRPr="00DA75F8">
        <w:rPr>
          <w:vertAlign w:val="superscript"/>
          <w:rtl/>
        </w:rPr>
        <w:t>)</w:t>
      </w:r>
      <w:r w:rsidRPr="00DA75F8">
        <w:rPr>
          <w:rFonts w:hint="cs"/>
          <w:rtl/>
        </w:rPr>
        <w:t>،</w:t>
      </w:r>
      <w:r w:rsidRPr="00DA75F8">
        <w:rPr>
          <w:rtl/>
        </w:rPr>
        <w:t xml:space="preserve"> نفهم من اللغويين أن السرقة هي أخذ المال من الغير سرًا.</w:t>
      </w:r>
    </w:p>
    <w:p w:rsidR="005F44B2" w:rsidRPr="00DA75F8" w:rsidRDefault="005F44B2" w:rsidP="007B6769">
      <w:pPr>
        <w:pStyle w:val="a0"/>
        <w:rPr>
          <w:rtl/>
        </w:rPr>
      </w:pPr>
      <w:r w:rsidRPr="00DA75F8">
        <w:rPr>
          <w:rFonts w:hint="cs"/>
          <w:rtl/>
        </w:rPr>
        <w:t>وقد</w:t>
      </w:r>
      <w:r w:rsidRPr="00DA75F8">
        <w:rPr>
          <w:rtl/>
        </w:rPr>
        <w:t xml:space="preserve"> عرّفها الفقهاء شرعًا ولكن لم تخرج تعريفاتهم عن إطار المعنى اللغوي، وعرفها ابن عابدين بأنها أخْذُ المكلفِ الشيءَ الذي قيمته نصاب القطع سرًا بحيث لايصل الفساد إلى ه</w:t>
      </w:r>
      <w:r w:rsidRPr="00DA75F8">
        <w:rPr>
          <w:rFonts w:hint="cs"/>
          <w:rtl/>
        </w:rPr>
        <w:t>ذا</w:t>
      </w:r>
      <w:r w:rsidRPr="00DA75F8">
        <w:rPr>
          <w:rtl/>
        </w:rPr>
        <w:t xml:space="preserve"> المال المتقوّم من حرز لاشبهة فيه ولا تأويل</w:t>
      </w:r>
      <w:r w:rsidRPr="00DA75F8">
        <w:rPr>
          <w:vertAlign w:val="superscript"/>
          <w:rtl/>
        </w:rPr>
        <w:t>(</w:t>
      </w:r>
      <w:r w:rsidRPr="00DA75F8">
        <w:rPr>
          <w:rStyle w:val="FootnoteReference"/>
          <w:rFonts w:cs="Arabic Transparent"/>
          <w:rtl/>
        </w:rPr>
        <w:footnoteReference w:id="32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حكم</w:t>
      </w:r>
      <w:r w:rsidRPr="00DA75F8">
        <w:rPr>
          <w:rtl/>
        </w:rPr>
        <w:t xml:space="preserve"> السرقة هو التحريم وقد دل على ذلك القرآن والسنة والإجماع، فقد قال تعالى: "وَال</w:t>
      </w:r>
      <w:r w:rsidRPr="00DA75F8">
        <w:rPr>
          <w:rFonts w:hint="cs"/>
          <w:rtl/>
        </w:rPr>
        <w:t>سَّارِقُ</w:t>
      </w:r>
      <w:r w:rsidRPr="00DA75F8">
        <w:rPr>
          <w:rtl/>
        </w:rPr>
        <w:t xml:space="preserve"> وَالسَّارِقَةُ فَاقْطَعُوا أَيْدِيَهُمَا جَزَاءً بِمَا كَسَبَا نَكَالاً مِنَ اللَّهِ وَاللَّهُ عَزِيزٌ حَكِيمٌ"</w:t>
      </w:r>
      <w:r w:rsidRPr="00DA75F8">
        <w:rPr>
          <w:vertAlign w:val="superscript"/>
          <w:rtl/>
        </w:rPr>
        <w:t>(</w:t>
      </w:r>
      <w:r w:rsidRPr="00DA75F8">
        <w:rPr>
          <w:rStyle w:val="FootnoteReference"/>
          <w:rFonts w:cs="Arabic Transparent"/>
          <w:rtl/>
        </w:rPr>
        <w:footnoteReference w:id="323"/>
      </w:r>
      <w:r w:rsidRPr="00DA75F8">
        <w:rPr>
          <w:vertAlign w:val="superscript"/>
          <w:rtl/>
        </w:rPr>
        <w:t>)</w:t>
      </w:r>
    </w:p>
    <w:p w:rsidR="005F44B2" w:rsidRPr="00DA75F8" w:rsidRDefault="005F44B2" w:rsidP="008105A0">
      <w:pPr>
        <w:pStyle w:val="a0"/>
        <w:rPr>
          <w:rtl/>
        </w:rPr>
      </w:pPr>
      <w:r w:rsidRPr="00DA75F8">
        <w:rPr>
          <w:rFonts w:hint="cs"/>
          <w:rtl/>
        </w:rPr>
        <w:t>أمر</w:t>
      </w:r>
      <w:r w:rsidRPr="00DA75F8">
        <w:rPr>
          <w:rtl/>
        </w:rPr>
        <w:t xml:space="preserve"> الله تعالى بهذه الآية أن نقطع يد السارق، وقد بُيّن لنا تحريم السرقة و قطع يد السارق من </w:t>
      </w:r>
      <w:r>
        <w:rPr>
          <w:rFonts w:hint="cs"/>
          <w:rtl/>
        </w:rPr>
        <w:t>الرسخ</w:t>
      </w:r>
      <w:r>
        <w:rPr>
          <w:rtl/>
        </w:rPr>
        <w:t xml:space="preserve"> عند</w:t>
      </w:r>
      <w:r w:rsidRPr="00DA75F8">
        <w:rPr>
          <w:rtl/>
        </w:rPr>
        <w:t xml:space="preserve"> الفقهاء</w:t>
      </w:r>
      <w:r w:rsidRPr="00DA75F8">
        <w:rPr>
          <w:vertAlign w:val="superscript"/>
          <w:rtl/>
        </w:rPr>
        <w:t>(</w:t>
      </w:r>
      <w:r w:rsidRPr="00DA75F8">
        <w:rPr>
          <w:rStyle w:val="FootnoteReference"/>
          <w:rFonts w:cs="Arabic Transparent"/>
          <w:rtl/>
        </w:rPr>
        <w:footnoteReference w:id="324"/>
      </w:r>
      <w:r w:rsidRPr="00DA75F8">
        <w:rPr>
          <w:vertAlign w:val="superscript"/>
          <w:rtl/>
        </w:rPr>
        <w:t>)</w:t>
      </w:r>
      <w:r w:rsidRPr="00DA75F8">
        <w:rPr>
          <w:rtl/>
        </w:rPr>
        <w:t xml:space="preserve"> على تحريمها وقطع يد السارق إذا توفرت شروط السارق والمسروق.</w:t>
      </w:r>
    </w:p>
    <w:p w:rsidR="005F44B2" w:rsidRPr="00DA75F8" w:rsidRDefault="005F44B2" w:rsidP="008105A0">
      <w:pPr>
        <w:pStyle w:val="a0"/>
        <w:rPr>
          <w:rtl/>
        </w:rPr>
      </w:pPr>
      <w:r>
        <w:rPr>
          <w:rFonts w:hint="cs"/>
          <w:rtl/>
        </w:rPr>
        <w:t>و</w:t>
      </w:r>
      <w:r w:rsidRPr="00DA75F8">
        <w:rPr>
          <w:rFonts w:hint="cs"/>
          <w:rtl/>
        </w:rPr>
        <w:t>تُظهر</w:t>
      </w:r>
      <w:r w:rsidRPr="00DA75F8">
        <w:rPr>
          <w:rtl/>
        </w:rPr>
        <w:t xml:space="preserve"> العلاقة بين السرقة والسياسة الشرعية عند تكرار جريمة السرقة، وكيف يكون الحد في حالة التكرار ؟ هل يستمر حكم قطع الأعضاء الأخرى؟ وهل يقتل بهذا أم لا ؟</w:t>
      </w:r>
    </w:p>
    <w:p w:rsidR="005F44B2" w:rsidRPr="00DA75F8" w:rsidRDefault="005F44B2" w:rsidP="008105A0">
      <w:pPr>
        <w:pStyle w:val="a0"/>
        <w:rPr>
          <w:rtl/>
        </w:rPr>
      </w:pPr>
      <w:r w:rsidRPr="00DA75F8">
        <w:rPr>
          <w:rFonts w:hint="cs"/>
          <w:rtl/>
        </w:rPr>
        <w:t>أجاز</w:t>
      </w:r>
      <w:r w:rsidRPr="00DA75F8">
        <w:rPr>
          <w:rtl/>
        </w:rPr>
        <w:t xml:space="preserve"> ابن عابدين قتل السارق عند تكرار الجريمة، وأدخل هذا القتل في باب الزجر والتأديب وسماه القتل سياسة</w:t>
      </w:r>
      <w:r w:rsidRPr="00DA75F8">
        <w:rPr>
          <w:vertAlign w:val="superscript"/>
          <w:rtl/>
        </w:rPr>
        <w:t>(</w:t>
      </w:r>
      <w:r w:rsidRPr="00DA75F8">
        <w:rPr>
          <w:rStyle w:val="FootnoteReference"/>
          <w:rFonts w:cs="Arabic Transparent"/>
          <w:rtl/>
        </w:rPr>
        <w:footnoteReference w:id="325"/>
      </w:r>
      <w:r w:rsidRPr="00DA75F8">
        <w:rPr>
          <w:vertAlign w:val="superscript"/>
          <w:rtl/>
        </w:rPr>
        <w:t>)</w:t>
      </w:r>
      <w:r w:rsidRPr="00DA75F8">
        <w:rPr>
          <w:rFonts w:hint="cs"/>
          <w:rtl/>
        </w:rPr>
        <w:t>،</w:t>
      </w:r>
      <w:r w:rsidRPr="00DA75F8">
        <w:rPr>
          <w:rtl/>
        </w:rPr>
        <w:t xml:space="preserve"> وبيّن لنا في حاشيته أنه إذا رأى الإمامُ </w:t>
      </w:r>
      <w:r>
        <w:rPr>
          <w:rFonts w:hint="cs"/>
          <w:rtl/>
        </w:rPr>
        <w:t>الرجل</w:t>
      </w:r>
      <w:r w:rsidRPr="00DA75F8">
        <w:rPr>
          <w:rFonts w:hint="cs"/>
          <w:rtl/>
        </w:rPr>
        <w:t>يسعي</w:t>
      </w:r>
      <w:r w:rsidRPr="00DA75F8">
        <w:rPr>
          <w:rtl/>
        </w:rPr>
        <w:t xml:space="preserve"> في الأرض فسادًا فله </w:t>
      </w:r>
      <w:r w:rsidRPr="00DA75F8">
        <w:rPr>
          <w:rFonts w:hint="cs"/>
          <w:rtl/>
        </w:rPr>
        <w:t>أن</w:t>
      </w:r>
      <w:r w:rsidRPr="00DA75F8">
        <w:rPr>
          <w:rtl/>
        </w:rPr>
        <w:t xml:space="preserve"> يقتله سياسة وهذا القتل لايكون إلا بعد أن يتكرار فعله الثلاثًا</w:t>
      </w:r>
      <w:r w:rsidRPr="00DA75F8">
        <w:rPr>
          <w:vertAlign w:val="superscript"/>
          <w:rtl/>
        </w:rPr>
        <w:t>(</w:t>
      </w:r>
      <w:r w:rsidRPr="00DA75F8">
        <w:rPr>
          <w:rStyle w:val="FootnoteReference"/>
          <w:rFonts w:cs="Arabic Transparent"/>
          <w:rtl/>
        </w:rPr>
        <w:footnoteReference w:id="326"/>
      </w:r>
      <w:r w:rsidRPr="00DA75F8">
        <w:rPr>
          <w:vertAlign w:val="superscript"/>
          <w:rtl/>
        </w:rPr>
        <w:t>)</w:t>
      </w:r>
      <w:r w:rsidRPr="00DA75F8">
        <w:rPr>
          <w:rFonts w:hint="cs"/>
          <w:rtl/>
        </w:rPr>
        <w:t>،</w:t>
      </w:r>
      <w:r w:rsidRPr="00DA75F8">
        <w:rPr>
          <w:rtl/>
        </w:rPr>
        <w:t xml:space="preserve"> وذكر أنّ قتل السارق في المرة الأولى ليس سياسةً بل ظلمٌ وجهلٌ</w:t>
      </w:r>
      <w:r w:rsidRPr="00DA75F8">
        <w:rPr>
          <w:vertAlign w:val="superscript"/>
          <w:rtl/>
        </w:rPr>
        <w:t>(</w:t>
      </w:r>
      <w:r w:rsidRPr="00DA75F8">
        <w:rPr>
          <w:rStyle w:val="FootnoteReference"/>
          <w:rFonts w:cs="Arabic Transparent"/>
          <w:rtl/>
        </w:rPr>
        <w:footnoteReference w:id="327"/>
      </w:r>
      <w:r w:rsidRPr="00DA75F8">
        <w:rPr>
          <w:vertAlign w:val="superscript"/>
          <w:rtl/>
        </w:rPr>
        <w:t>)</w:t>
      </w:r>
      <w:r w:rsidRPr="00DA75F8">
        <w:rPr>
          <w:rtl/>
        </w:rPr>
        <w:t>.</w:t>
      </w:r>
    </w:p>
    <w:p w:rsidR="005F44B2" w:rsidRPr="00DA75F8" w:rsidRDefault="005F44B2" w:rsidP="007B6769">
      <w:pPr>
        <w:pStyle w:val="a0"/>
      </w:pPr>
      <w:r w:rsidRPr="00DA75F8">
        <w:rPr>
          <w:rFonts w:hint="cs"/>
          <w:rtl/>
        </w:rPr>
        <w:t>وهذا</w:t>
      </w:r>
      <w:r w:rsidRPr="00DA75F8">
        <w:rPr>
          <w:rtl/>
        </w:rPr>
        <w:t xml:space="preserve"> من مقاصد الشريعة، حيث نعرف أن حفظ المال من الضروريات الخمسة، والسارق ينتهك هذا المبدأ ويضرّ الناس بسرقة أموالهم، فلا بدّ من الردع عن السرقة لحفظ الأموال، وكما عرفنا سابقا فقد جاز ابن عابدين قتل السارق عند تكرار الجريمة ردعًا للسارق عن السرقة.</w:t>
      </w:r>
    </w:p>
    <w:p w:rsidR="005F44B2" w:rsidRPr="00DA75F8" w:rsidRDefault="005F44B2" w:rsidP="007B6769">
      <w:pPr>
        <w:pStyle w:val="a0"/>
      </w:pPr>
      <w:r w:rsidRPr="00DA75F8">
        <w:rPr>
          <w:rFonts w:hint="cs"/>
          <w:rtl/>
        </w:rPr>
        <w:t>ومم</w:t>
      </w:r>
      <w:r>
        <w:rPr>
          <w:rFonts w:hint="cs"/>
          <w:rtl/>
        </w:rPr>
        <w:t>ا</w:t>
      </w:r>
      <w:r w:rsidRPr="00DA75F8">
        <w:rPr>
          <w:rtl/>
        </w:rPr>
        <w:t xml:space="preserve"> سبق يثبت لنا أنه يجوز عند ابن عابدين قتل السارق إذا راى الإمامُ سعيَه في الأرض فسادًا إذا تكرّرت جريمته، حيث يكون منع السارق</w:t>
      </w:r>
      <w:r>
        <w:rPr>
          <w:rtl/>
        </w:rPr>
        <w:t xml:space="preserve"> ورفع الضرر عن عباد الله</w:t>
      </w:r>
      <w:r w:rsidRPr="00DA75F8">
        <w:rPr>
          <w:rtl/>
        </w:rPr>
        <w:t xml:space="preserve"> من مقاصد الشريعة وقتله من باب السياسة الشرعية. </w:t>
      </w:r>
    </w:p>
    <w:p w:rsidR="005F44B2" w:rsidRPr="00DA75F8" w:rsidRDefault="005F44B2" w:rsidP="005E6A96">
      <w:pPr>
        <w:pStyle w:val="a3"/>
        <w:rPr>
          <w:rtl/>
        </w:rPr>
      </w:pPr>
      <w:bookmarkStart w:id="30" w:name="_Toc447092572"/>
      <w:r w:rsidRPr="00DA75F8">
        <w:rPr>
          <w:rFonts w:hint="cs"/>
          <w:rtl/>
        </w:rPr>
        <w:t>المطلب</w:t>
      </w:r>
      <w:r w:rsidRPr="00DA75F8">
        <w:rPr>
          <w:rtl/>
        </w:rPr>
        <w:t xml:space="preserve"> الثاني: قتل الخناق سياسة</w:t>
      </w:r>
      <w:bookmarkEnd w:id="30"/>
    </w:p>
    <w:p w:rsidR="005F44B2" w:rsidRPr="00DA75F8" w:rsidRDefault="005F44B2" w:rsidP="007B6769">
      <w:pPr>
        <w:pStyle w:val="a0"/>
        <w:rPr>
          <w:rtl/>
        </w:rPr>
      </w:pPr>
      <w:r w:rsidRPr="00DA75F8">
        <w:rPr>
          <w:rFonts w:hint="cs"/>
          <w:rtl/>
        </w:rPr>
        <w:t>خنق</w:t>
      </w:r>
      <w:r w:rsidRPr="00DA75F8">
        <w:rPr>
          <w:rtl/>
        </w:rPr>
        <w:t xml:space="preserve"> هو الخَنِق بكسر النون، وهو مصدر خَنَقَه يَخْنُقُه خَنْقاً وخَنِقاً، والخَنَّاق: لمن يكون ذلك شأنه وفعله بالناس، والخنق يكون في الحلق</w:t>
      </w:r>
      <w:r w:rsidRPr="00DA75F8">
        <w:rPr>
          <w:vertAlign w:val="superscript"/>
          <w:rtl/>
        </w:rPr>
        <w:t>(</w:t>
      </w:r>
      <w:r w:rsidRPr="00DA75F8">
        <w:rPr>
          <w:rStyle w:val="FootnoteReference"/>
          <w:rFonts w:cs="Arabic Transparent"/>
          <w:rtl/>
        </w:rPr>
        <w:footnoteReference w:id="32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وقال</w:t>
      </w:r>
      <w:r w:rsidRPr="00DA75F8">
        <w:rPr>
          <w:rtl/>
        </w:rPr>
        <w:t xml:space="preserve"> ابن عابدين عنه : " وَالْخَنِقُ بكسر النون، وهو مصدر خَنَقَهُ:إذَا عَصَرَ حَلْقَهُ؛وَالْخَنَّاقُ فاعلهوالخِناقُ بالكسر والتخفيف: ما يُخنق به من حبل أَو وتر</w:t>
      </w:r>
      <w:r w:rsidRPr="00DA75F8">
        <w:rPr>
          <w:vertAlign w:val="superscript"/>
          <w:rtl/>
        </w:rPr>
        <w:t>(</w:t>
      </w:r>
      <w:r w:rsidRPr="00DA75F8">
        <w:rPr>
          <w:rStyle w:val="FootnoteReference"/>
          <w:rFonts w:cs="Arabic Transparent"/>
          <w:rtl/>
        </w:rPr>
        <w:footnoteReference w:id="329"/>
      </w:r>
      <w:r w:rsidRPr="00DA75F8">
        <w:rPr>
          <w:vertAlign w:val="superscript"/>
          <w:rtl/>
        </w:rPr>
        <w:t>)</w:t>
      </w:r>
      <w:r w:rsidRPr="00DA75F8">
        <w:rPr>
          <w:rtl/>
        </w:rPr>
        <w:t>.</w:t>
      </w:r>
    </w:p>
    <w:p w:rsidR="005F44B2" w:rsidRPr="00DA75F8" w:rsidRDefault="005F44B2" w:rsidP="00B41A1A">
      <w:pPr>
        <w:pStyle w:val="a0"/>
        <w:rPr>
          <w:vertAlign w:val="superscript"/>
          <w:rtl/>
        </w:rPr>
      </w:pPr>
      <w:r w:rsidRPr="00DA75F8">
        <w:rPr>
          <w:rFonts w:hint="cs"/>
          <w:rtl/>
        </w:rPr>
        <w:t>القتل</w:t>
      </w:r>
      <w:r w:rsidRPr="00DA75F8">
        <w:rPr>
          <w:rtl/>
        </w:rPr>
        <w:t xml:space="preserve"> بالخنق ليس القتل العمد بل هو القتل بالمثقّل عند الحنفية وهو قتل شبه عمد</w:t>
      </w:r>
      <w:r w:rsidRPr="00DA75F8">
        <w:rPr>
          <w:vertAlign w:val="superscript"/>
          <w:rtl/>
        </w:rPr>
        <w:t>(</w:t>
      </w:r>
      <w:r w:rsidRPr="00DA75F8">
        <w:rPr>
          <w:rStyle w:val="FootnoteReference"/>
          <w:rFonts w:cs="Arabic Transparent"/>
          <w:rtl/>
        </w:rPr>
        <w:footnoteReference w:id="330"/>
      </w:r>
      <w:r w:rsidRPr="00DA75F8">
        <w:rPr>
          <w:vertAlign w:val="superscript"/>
          <w:rtl/>
        </w:rPr>
        <w:t>)</w:t>
      </w:r>
      <w:r w:rsidRPr="00DA75F8">
        <w:rPr>
          <w:rFonts w:hint="cs"/>
          <w:rtl/>
        </w:rPr>
        <w:t>،</w:t>
      </w:r>
      <w:r w:rsidRPr="00DA75F8">
        <w:rPr>
          <w:rtl/>
        </w:rPr>
        <w:t xml:space="preserve"> لذلك لايوجد القصاص فيه بينما يرى المالكية</w:t>
      </w:r>
      <w:r>
        <w:rPr>
          <w:vertAlign w:val="superscript"/>
          <w:rtl/>
        </w:rPr>
        <w:t>(</w:t>
      </w:r>
      <w:r>
        <w:rPr>
          <w:rStyle w:val="FootnoteReference"/>
          <w:rFonts w:cs="Arabic Transparent"/>
          <w:rtl/>
        </w:rPr>
        <w:footnoteReference w:id="331"/>
      </w:r>
      <w:r>
        <w:rPr>
          <w:vertAlign w:val="superscript"/>
          <w:rtl/>
        </w:rPr>
        <w:t>)</w:t>
      </w:r>
      <w:r>
        <w:rPr>
          <w:rFonts w:hint="cs"/>
          <w:rtl/>
        </w:rPr>
        <w:t>،و</w:t>
      </w:r>
      <w:r w:rsidRPr="00DA75F8">
        <w:rPr>
          <w:rFonts w:hint="cs"/>
          <w:rtl/>
        </w:rPr>
        <w:t>الشافعية</w:t>
      </w:r>
      <w:r>
        <w:rPr>
          <w:vertAlign w:val="superscript"/>
          <w:rtl/>
        </w:rPr>
        <w:t>(</w:t>
      </w:r>
      <w:r>
        <w:rPr>
          <w:rStyle w:val="FootnoteReference"/>
          <w:rFonts w:cs="Arabic Transparent"/>
          <w:rtl/>
        </w:rPr>
        <w:footnoteReference w:id="332"/>
      </w:r>
      <w:r>
        <w:rPr>
          <w:vertAlign w:val="superscript"/>
          <w:rtl/>
        </w:rPr>
        <w:t>)</w:t>
      </w:r>
      <w:r w:rsidRPr="00DA75F8">
        <w:rPr>
          <w:rtl/>
        </w:rPr>
        <w:t xml:space="preserve"> والحنبلية</w:t>
      </w:r>
      <w:r>
        <w:rPr>
          <w:vertAlign w:val="superscript"/>
          <w:rtl/>
        </w:rPr>
        <w:t>(</w:t>
      </w:r>
      <w:r>
        <w:rPr>
          <w:rStyle w:val="FootnoteReference"/>
          <w:rFonts w:cs="Arabic Transparent"/>
          <w:rtl/>
        </w:rPr>
        <w:footnoteReference w:id="333"/>
      </w:r>
      <w:r>
        <w:rPr>
          <w:vertAlign w:val="superscript"/>
          <w:rtl/>
        </w:rPr>
        <w:t>)</w:t>
      </w:r>
      <w:r w:rsidRPr="00DA75F8">
        <w:rPr>
          <w:rFonts w:hint="cs"/>
          <w:rtl/>
        </w:rPr>
        <w:t>قتل</w:t>
      </w:r>
      <w:r w:rsidRPr="00DA75F8">
        <w:rPr>
          <w:rtl/>
        </w:rPr>
        <w:t xml:space="preserve"> القاتل بالمثقل قصاصاً</w:t>
      </w:r>
      <w:r>
        <w:rPr>
          <w:rtl/>
        </w:rPr>
        <w:t>.</w:t>
      </w:r>
    </w:p>
    <w:p w:rsidR="005F44B2" w:rsidRPr="00DA75F8" w:rsidRDefault="005F44B2" w:rsidP="007B6769">
      <w:pPr>
        <w:pStyle w:val="a0"/>
        <w:rPr>
          <w:rtl/>
        </w:rPr>
      </w:pPr>
      <w:r w:rsidRPr="00DA75F8">
        <w:rPr>
          <w:rFonts w:hint="cs"/>
          <w:rtl/>
        </w:rPr>
        <w:t>وقال</w:t>
      </w:r>
      <w:r w:rsidRPr="00DA75F8">
        <w:rPr>
          <w:rtl/>
        </w:rPr>
        <w:t xml:space="preserve"> عبد القادر عودة عن القتل بالمثقل: " والمثقل هو ما ليس له حد كالعصا والحجر"</w:t>
      </w:r>
      <w:r w:rsidRPr="00DA75F8">
        <w:rPr>
          <w:vertAlign w:val="superscript"/>
          <w:rtl/>
        </w:rPr>
        <w:t>(</w:t>
      </w:r>
      <w:r w:rsidRPr="00DA75F8">
        <w:rPr>
          <w:rStyle w:val="FootnoteReference"/>
          <w:rFonts w:cs="Arabic Transparent"/>
          <w:rtl/>
        </w:rPr>
        <w:footnoteReference w:id="334"/>
      </w:r>
      <w:r w:rsidRPr="00DA75F8">
        <w:rPr>
          <w:vertAlign w:val="superscript"/>
          <w:rtl/>
        </w:rPr>
        <w:t>)</w:t>
      </w:r>
    </w:p>
    <w:p w:rsidR="005F44B2" w:rsidRDefault="005F44B2" w:rsidP="007B6769">
      <w:pPr>
        <w:pStyle w:val="a0"/>
        <w:rPr>
          <w:rtl/>
        </w:rPr>
      </w:pPr>
      <w:r w:rsidRPr="00DA75F8">
        <w:rPr>
          <w:rFonts w:hint="cs"/>
          <w:rtl/>
        </w:rPr>
        <w:t>إذا</w:t>
      </w:r>
      <w:r w:rsidRPr="00DA75F8">
        <w:rPr>
          <w:rtl/>
        </w:rPr>
        <w:t xml:space="preserve"> خنق رجل مرة لايقتل لأنه كالقتل بالمثقل</w:t>
      </w:r>
      <w:r w:rsidRPr="00DA75F8">
        <w:rPr>
          <w:vertAlign w:val="superscript"/>
          <w:rtl/>
        </w:rPr>
        <w:t>(</w:t>
      </w:r>
      <w:r w:rsidRPr="00DA75F8">
        <w:rPr>
          <w:rStyle w:val="FootnoteReference"/>
          <w:rFonts w:cs="Arabic Transparent"/>
          <w:rtl/>
        </w:rPr>
        <w:footnoteReference w:id="335"/>
      </w:r>
      <w:r w:rsidRPr="00DA75F8">
        <w:rPr>
          <w:vertAlign w:val="superscript"/>
          <w:rtl/>
        </w:rPr>
        <w:t>)</w:t>
      </w:r>
      <w:r w:rsidRPr="00DA75F8">
        <w:rPr>
          <w:rFonts w:hint="cs"/>
          <w:rtl/>
        </w:rPr>
        <w:t>،</w:t>
      </w:r>
      <w:r w:rsidRPr="00DA75F8">
        <w:rPr>
          <w:rtl/>
        </w:rPr>
        <w:t xml:space="preserve"> بل يُقتل إذا تكرّرت منه جريمة الخنق، وبيّن ابن عابدين ذلك حيث قال: " أي: قتل الناس غيلة بلا محدود"</w:t>
      </w:r>
      <w:r w:rsidRPr="00DA75F8">
        <w:rPr>
          <w:vertAlign w:val="superscript"/>
          <w:rtl/>
        </w:rPr>
        <w:t>(</w:t>
      </w:r>
      <w:r w:rsidRPr="00DA75F8">
        <w:rPr>
          <w:rStyle w:val="FootnoteReference"/>
          <w:rFonts w:cs="Arabic Transparent"/>
          <w:rtl/>
        </w:rPr>
        <w:footnoteReference w:id="336"/>
      </w:r>
      <w:r w:rsidRPr="00DA75F8">
        <w:rPr>
          <w:vertAlign w:val="superscript"/>
          <w:rtl/>
        </w:rPr>
        <w:t>)</w:t>
      </w:r>
      <w:r w:rsidRPr="00DA75F8">
        <w:rPr>
          <w:rtl/>
        </w:rPr>
        <w:t xml:space="preserve"> والتكرار في الخنق يحصل بمرتين، وفي حالة التكرار يقتل الإمام الخناق سياسة</w:t>
      </w:r>
      <w:r w:rsidRPr="00DA75F8">
        <w:rPr>
          <w:vertAlign w:val="superscript"/>
          <w:rtl/>
        </w:rPr>
        <w:t>(</w:t>
      </w:r>
      <w:r w:rsidRPr="00DA75F8">
        <w:rPr>
          <w:rStyle w:val="FootnoteReference"/>
          <w:rFonts w:cs="Arabic Transparent"/>
          <w:rtl/>
        </w:rPr>
        <w:footnoteReference w:id="337"/>
      </w:r>
      <w:r w:rsidRPr="00DA75F8">
        <w:rPr>
          <w:vertAlign w:val="superscript"/>
          <w:rtl/>
        </w:rPr>
        <w:t>)</w:t>
      </w:r>
      <w:r w:rsidRPr="00DA75F8">
        <w:rPr>
          <w:rFonts w:hint="cs"/>
          <w:rtl/>
        </w:rPr>
        <w:t>،</w:t>
      </w:r>
      <w:r w:rsidRPr="00DA75F8">
        <w:rPr>
          <w:rtl/>
        </w:rPr>
        <w:t xml:space="preserve"> قتل الخنّاق سياسة  لدفع شره ولسعيه في الأرض فسادًا، لأنه عمّ ضرره في الجماعة ولايدفع ضرره وشره بغير القتل</w:t>
      </w:r>
      <w:r w:rsidRPr="00DA75F8">
        <w:rPr>
          <w:vertAlign w:val="superscript"/>
          <w:rtl/>
        </w:rPr>
        <w:t>(</w:t>
      </w:r>
      <w:r w:rsidRPr="00DA75F8">
        <w:rPr>
          <w:rStyle w:val="FootnoteReference"/>
          <w:rFonts w:cs="Arabic Transparent"/>
          <w:rtl/>
        </w:rPr>
        <w:footnoteReference w:id="338"/>
      </w:r>
      <w:r w:rsidRPr="00DA75F8">
        <w:rPr>
          <w:vertAlign w:val="superscript"/>
          <w:rtl/>
        </w:rPr>
        <w:t>)</w:t>
      </w:r>
      <w:r w:rsidRPr="00DA75F8">
        <w:rPr>
          <w:rFonts w:hint="cs"/>
          <w:rtl/>
        </w:rPr>
        <w:t>،</w:t>
      </w:r>
      <w:r w:rsidRPr="00DA75F8">
        <w:rPr>
          <w:rtl/>
        </w:rPr>
        <w:t xml:space="preserve"> وحكم الخنّاق لايُغسّل ولايُصلى عليه</w:t>
      </w:r>
      <w:r w:rsidRPr="00DA75F8">
        <w:rPr>
          <w:vertAlign w:val="superscript"/>
          <w:rtl/>
        </w:rPr>
        <w:t>(</w:t>
      </w:r>
      <w:r w:rsidRPr="00DA75F8">
        <w:rPr>
          <w:rStyle w:val="FootnoteReference"/>
          <w:rFonts w:cs="Arabic Transparent"/>
          <w:rtl/>
        </w:rPr>
        <w:footnoteReference w:id="339"/>
      </w:r>
      <w:r w:rsidRPr="00DA75F8">
        <w:rPr>
          <w:vertAlign w:val="superscript"/>
          <w:rtl/>
        </w:rPr>
        <w:t>)</w:t>
      </w:r>
      <w:r w:rsidRPr="00DA75F8">
        <w:rPr>
          <w:rFonts w:hint="cs"/>
          <w:rtl/>
        </w:rPr>
        <w:t>،</w:t>
      </w:r>
      <w:r w:rsidRPr="00DA75F8">
        <w:rPr>
          <w:rtl/>
        </w:rPr>
        <w:t xml:space="preserve"> وأيضًا لا توبة له</w:t>
      </w:r>
      <w:r w:rsidRPr="00DA75F8">
        <w:rPr>
          <w:vertAlign w:val="superscript"/>
          <w:rtl/>
        </w:rPr>
        <w:t>(</w:t>
      </w:r>
      <w:r w:rsidRPr="00DA75F8">
        <w:rPr>
          <w:rStyle w:val="FootnoteReference"/>
          <w:rFonts w:cs="Arabic Transparent"/>
          <w:rtl/>
        </w:rPr>
        <w:footnoteReference w:id="340"/>
      </w:r>
      <w:r w:rsidRPr="00DA75F8">
        <w:rPr>
          <w:vertAlign w:val="superscript"/>
          <w:rtl/>
        </w:rPr>
        <w:t>)</w:t>
      </w:r>
      <w:r w:rsidRPr="00DA75F8">
        <w:rPr>
          <w:rtl/>
        </w:rPr>
        <w:t>.</w:t>
      </w:r>
    </w:p>
    <w:p w:rsidR="005F44B2" w:rsidRPr="00DA75F8" w:rsidRDefault="005F44B2" w:rsidP="008B745A">
      <w:pPr>
        <w:pStyle w:val="a0"/>
        <w:rPr>
          <w:rtl/>
        </w:rPr>
      </w:pPr>
      <w:r>
        <w:rPr>
          <w:rFonts w:hint="cs"/>
          <w:rtl/>
        </w:rPr>
        <w:t>الفكرة</w:t>
      </w:r>
      <w:r>
        <w:rPr>
          <w:rtl/>
        </w:rPr>
        <w:t xml:space="preserve"> عند الحنفية أن خنق ليس القتل العمد بل هو شبه عمد، وعندهم شبه العمد لا يقتل، لذا جريمة الخنق ليس قصاص، قد ثبت </w:t>
      </w:r>
      <w:r w:rsidRPr="00DA75F8">
        <w:rPr>
          <w:rFonts w:hint="cs"/>
          <w:rtl/>
        </w:rPr>
        <w:t>مما</w:t>
      </w:r>
      <w:r w:rsidRPr="00DA75F8">
        <w:rPr>
          <w:rtl/>
        </w:rPr>
        <w:t xml:space="preserve"> سبق إلى الآن أنّ الخناق عند ابن عابدين لايُقتل في المرة الأولى بل يُقتل إذا تكرّرت منه نفس الجريمة، وتكراره ي</w:t>
      </w:r>
      <w:r>
        <w:rPr>
          <w:rFonts w:hint="cs"/>
          <w:rtl/>
        </w:rPr>
        <w:t>حصل</w:t>
      </w:r>
      <w:r>
        <w:rPr>
          <w:rtl/>
        </w:rPr>
        <w:t xml:space="preserve"> في الثاني، وقتله سياسة لأن ف</w:t>
      </w:r>
      <w:r w:rsidRPr="00DA75F8">
        <w:rPr>
          <w:rFonts w:hint="cs"/>
          <w:rtl/>
        </w:rPr>
        <w:t>ي</w:t>
      </w:r>
      <w:r w:rsidRPr="00DA75F8">
        <w:rPr>
          <w:rtl/>
        </w:rPr>
        <w:t xml:space="preserve"> قتله امتناعٌ لضرره على الناس وهذا فيه  مصلحة الأمة، لذلك كان قتله سياسة شرعية.</w:t>
      </w:r>
    </w:p>
    <w:p w:rsidR="005F44B2" w:rsidRPr="00DA75F8" w:rsidRDefault="005F44B2" w:rsidP="005E6A96">
      <w:pPr>
        <w:pStyle w:val="a3"/>
        <w:rPr>
          <w:rtl/>
        </w:rPr>
      </w:pPr>
      <w:bookmarkStart w:id="31" w:name="_Toc447092573"/>
      <w:r w:rsidRPr="00DA75F8">
        <w:rPr>
          <w:rFonts w:hint="cs"/>
          <w:rtl/>
        </w:rPr>
        <w:t>المطلب</w:t>
      </w:r>
      <w:r w:rsidRPr="00DA75F8">
        <w:rPr>
          <w:rtl/>
        </w:rPr>
        <w:t xml:space="preserve"> الثالث: قتل اللوطي سياسة</w:t>
      </w:r>
      <w:bookmarkEnd w:id="31"/>
    </w:p>
    <w:p w:rsidR="005F44B2" w:rsidRPr="00DA75F8" w:rsidRDefault="005F44B2" w:rsidP="007B6769">
      <w:pPr>
        <w:pStyle w:val="a0"/>
        <w:rPr>
          <w:rtl/>
        </w:rPr>
      </w:pPr>
      <w:r w:rsidRPr="00DA75F8">
        <w:rPr>
          <w:rFonts w:hint="cs"/>
          <w:rtl/>
        </w:rPr>
        <w:t>اللوطي</w:t>
      </w:r>
      <w:r w:rsidRPr="00DA75F8">
        <w:rPr>
          <w:rtl/>
        </w:rPr>
        <w:t xml:space="preserve"> هو فاعل لاط وفي الصحاح : " مصدر لاط، يقال: لاط الرجل ولاوط: أي عمل عمل قوم لوط"</w:t>
      </w:r>
      <w:r w:rsidRPr="00DA75F8">
        <w:rPr>
          <w:vertAlign w:val="superscript"/>
          <w:rtl/>
        </w:rPr>
        <w:t>(</w:t>
      </w:r>
      <w:r w:rsidRPr="00DA75F8">
        <w:rPr>
          <w:rStyle w:val="FootnoteReference"/>
          <w:rFonts w:cs="Arabic Transparent"/>
          <w:rtl/>
        </w:rPr>
        <w:footnoteReference w:id="34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وفي</w:t>
      </w:r>
      <w:r w:rsidRPr="00DA75F8">
        <w:rPr>
          <w:rtl/>
        </w:rPr>
        <w:t xml:space="preserve"> الاصطلاح هو إيلاج ذكر في دبر ذكر أو أنثى</w:t>
      </w:r>
      <w:r w:rsidRPr="00DA75F8">
        <w:rPr>
          <w:vertAlign w:val="superscript"/>
          <w:rtl/>
        </w:rPr>
        <w:t>(</w:t>
      </w:r>
      <w:r w:rsidRPr="00DA75F8">
        <w:rPr>
          <w:rStyle w:val="FootnoteReference"/>
          <w:rFonts w:cs="Arabic Transparent"/>
          <w:rtl/>
        </w:rPr>
        <w:footnoteReference w:id="34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وحكم</w:t>
      </w:r>
      <w:r w:rsidRPr="00DA75F8">
        <w:rPr>
          <w:rtl/>
        </w:rPr>
        <w:t xml:space="preserve"> اللوطي عند الشافعي أن يُرجم إذا كان محصنًا، ويُجلد </w:t>
      </w:r>
      <w:r w:rsidRPr="00DA75F8">
        <w:rPr>
          <w:rFonts w:hint="cs"/>
          <w:rtl/>
        </w:rPr>
        <w:t>إذا</w:t>
      </w:r>
      <w:r w:rsidRPr="00DA75F8">
        <w:rPr>
          <w:rtl/>
        </w:rPr>
        <w:t xml:space="preserve"> كان غير محصن</w:t>
      </w:r>
      <w:r w:rsidRPr="00DA75F8">
        <w:rPr>
          <w:vertAlign w:val="superscript"/>
          <w:rtl/>
        </w:rPr>
        <w:t>(</w:t>
      </w:r>
      <w:r w:rsidRPr="00DA75F8">
        <w:rPr>
          <w:rStyle w:val="FootnoteReference"/>
          <w:rFonts w:cs="Arabic Transparent"/>
          <w:rtl/>
        </w:rPr>
        <w:footnoteReference w:id="343"/>
      </w:r>
      <w:r w:rsidRPr="00DA75F8">
        <w:rPr>
          <w:vertAlign w:val="superscript"/>
          <w:rtl/>
        </w:rPr>
        <w:t>)</w:t>
      </w:r>
      <w:r w:rsidRPr="00DA75F8">
        <w:rPr>
          <w:rFonts w:hint="cs"/>
          <w:rtl/>
        </w:rPr>
        <w:t>،</w:t>
      </w:r>
      <w:r w:rsidRPr="00DA75F8">
        <w:rPr>
          <w:rtl/>
        </w:rPr>
        <w:t xml:space="preserve"> وهذا رأي المالكية</w:t>
      </w:r>
      <w:r w:rsidRPr="00DA75F8">
        <w:rPr>
          <w:vertAlign w:val="superscript"/>
          <w:rtl/>
        </w:rPr>
        <w:t>(</w:t>
      </w:r>
      <w:r w:rsidRPr="00DA75F8">
        <w:rPr>
          <w:rStyle w:val="FootnoteReference"/>
          <w:rFonts w:cs="Arabic Transparent"/>
          <w:rtl/>
        </w:rPr>
        <w:footnoteReference w:id="344"/>
      </w:r>
      <w:r w:rsidRPr="00DA75F8">
        <w:rPr>
          <w:vertAlign w:val="superscript"/>
          <w:rtl/>
        </w:rPr>
        <w:t>)</w:t>
      </w:r>
      <w:r w:rsidRPr="00DA75F8">
        <w:rPr>
          <w:rtl/>
        </w:rPr>
        <w:t xml:space="preserve"> والحنابلة في إحدى الروايتين</w:t>
      </w:r>
      <w:r w:rsidRPr="00DA75F8">
        <w:rPr>
          <w:vertAlign w:val="superscript"/>
          <w:rtl/>
        </w:rPr>
        <w:t>(</w:t>
      </w:r>
      <w:r w:rsidRPr="00DA75F8">
        <w:rPr>
          <w:rStyle w:val="FootnoteReference"/>
          <w:rFonts w:cs="Arabic Transparent"/>
          <w:rtl/>
        </w:rPr>
        <w:footnoteReference w:id="34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وعند</w:t>
      </w:r>
      <w:r w:rsidRPr="00DA75F8">
        <w:rPr>
          <w:rtl/>
        </w:rPr>
        <w:t xml:space="preserve"> الإمام أبي يوسف ومحمد - رحمهما الله تعالى - حكمها كحكم الزاني يُحدّ بعقوبة الزاني، يعني إذا كان محصنًا فيُرجم، وأما إذا كان غير محصن فيُجلد، وعند أبي حنيفة – رحمه الله تعالى – لايُحدّ  اللوطي بحد الزنا بل يُعزّر ، ذلك أنه نظر إلى اللغ</w:t>
      </w:r>
      <w:r w:rsidRPr="00DA75F8">
        <w:rPr>
          <w:rFonts w:hint="cs"/>
          <w:rtl/>
        </w:rPr>
        <w:t>ة</w:t>
      </w:r>
      <w:r w:rsidRPr="00DA75F8">
        <w:rPr>
          <w:rtl/>
        </w:rPr>
        <w:t xml:space="preserve"> فافترق اللواط عن الزنا </w:t>
      </w:r>
      <w:r w:rsidRPr="00DA75F8">
        <w:rPr>
          <w:rFonts w:hint="cs"/>
          <w:rtl/>
        </w:rPr>
        <w:t>عنده،</w:t>
      </w:r>
      <w:r w:rsidRPr="00DA75F8">
        <w:rPr>
          <w:rtl/>
        </w:rPr>
        <w:t xml:space="preserve"> فرأى أن فعل اللوطي ليس بزنا لغة وأيّد رأيه بتفصيل أهل اللغة بينهما</w:t>
      </w:r>
      <w:r w:rsidRPr="00DA75F8">
        <w:rPr>
          <w:vertAlign w:val="superscript"/>
          <w:rtl/>
        </w:rPr>
        <w:t>(</w:t>
      </w:r>
      <w:r w:rsidRPr="00DA75F8">
        <w:rPr>
          <w:rStyle w:val="FootnoteReference"/>
          <w:rFonts w:cs="Arabic Transparent"/>
          <w:rtl/>
        </w:rPr>
        <w:footnoteReference w:id="346"/>
      </w:r>
      <w:r w:rsidRPr="00DA75F8">
        <w:rPr>
          <w:vertAlign w:val="superscript"/>
          <w:rtl/>
        </w:rPr>
        <w:t>)</w:t>
      </w:r>
      <w:r w:rsidRPr="00DA75F8">
        <w:rPr>
          <w:rtl/>
        </w:rPr>
        <w:t>.</w:t>
      </w:r>
    </w:p>
    <w:p w:rsidR="005F44B2" w:rsidRPr="00DA75F8" w:rsidRDefault="005F44B2" w:rsidP="008372A5">
      <w:pPr>
        <w:pStyle w:val="a0"/>
        <w:rPr>
          <w:rtl/>
        </w:rPr>
      </w:pPr>
      <w:r w:rsidRPr="00DA75F8">
        <w:rPr>
          <w:rFonts w:hint="cs"/>
          <w:rtl/>
        </w:rPr>
        <w:t>وقال</w:t>
      </w:r>
      <w:r w:rsidRPr="00DA75F8">
        <w:rPr>
          <w:rtl/>
        </w:rPr>
        <w:t xml:space="preserve"> في كتاب الاختيار أنّ اللواط ليس زنا، ولو كان زنًا لما اختلف الصحابة، حيث اختلف الصحابة في جنس عقوبته، فقال علي – رضي الل</w:t>
      </w:r>
      <w:r w:rsidRPr="00DA75F8">
        <w:rPr>
          <w:rFonts w:hint="cs"/>
          <w:rtl/>
        </w:rPr>
        <w:t>ه</w:t>
      </w:r>
      <w:r w:rsidRPr="00DA75F8">
        <w:rPr>
          <w:rtl/>
        </w:rPr>
        <w:t xml:space="preserve"> عنه – : يُحد بحد الزنا</w:t>
      </w:r>
      <w:r>
        <w:rPr>
          <w:vertAlign w:val="superscript"/>
          <w:rtl/>
        </w:rPr>
        <w:t>(</w:t>
      </w:r>
      <w:r>
        <w:rPr>
          <w:rStyle w:val="FootnoteReference"/>
          <w:rFonts w:cs="Arabic Transparent"/>
          <w:rtl/>
        </w:rPr>
        <w:footnoteReference w:id="347"/>
      </w:r>
      <w:r>
        <w:rPr>
          <w:vertAlign w:val="superscript"/>
          <w:rtl/>
        </w:rPr>
        <w:t>)</w:t>
      </w:r>
      <w:r w:rsidRPr="00DA75F8">
        <w:rPr>
          <w:rFonts w:hint="cs"/>
          <w:rtl/>
        </w:rPr>
        <w:t>،</w:t>
      </w:r>
      <w:r w:rsidRPr="00DA75F8">
        <w:rPr>
          <w:rtl/>
        </w:rPr>
        <w:t xml:space="preserve"> وقال أبو بكر – رضي الله عنه – : يُحرق بالنار</w:t>
      </w:r>
      <w:r>
        <w:rPr>
          <w:vertAlign w:val="superscript"/>
          <w:rtl/>
        </w:rPr>
        <w:t>(</w:t>
      </w:r>
      <w:r>
        <w:rPr>
          <w:rStyle w:val="FootnoteReference"/>
          <w:rFonts w:cs="Arabic Transparent"/>
          <w:rtl/>
        </w:rPr>
        <w:footnoteReference w:id="348"/>
      </w:r>
      <w:r>
        <w:rPr>
          <w:vertAlign w:val="superscript"/>
          <w:rtl/>
        </w:rPr>
        <w:t>)</w:t>
      </w:r>
      <w:r w:rsidRPr="00DA75F8">
        <w:rPr>
          <w:rFonts w:hint="cs"/>
          <w:rtl/>
        </w:rPr>
        <w:t>،</w:t>
      </w:r>
      <w:r w:rsidRPr="00DA75F8">
        <w:rPr>
          <w:rtl/>
        </w:rPr>
        <w:t xml:space="preserve"> وقال ابن عباس – رضي الله عنه – : ينكس من مكا</w:t>
      </w:r>
      <w:r w:rsidRPr="00DA75F8">
        <w:rPr>
          <w:rFonts w:hint="cs"/>
          <w:rtl/>
        </w:rPr>
        <w:t>ن</w:t>
      </w:r>
      <w:r w:rsidRPr="00DA75F8">
        <w:rPr>
          <w:rtl/>
        </w:rPr>
        <w:t xml:space="preserve"> مرتفع، وقال بعضهم يحبس حتى الموت، ونحو ذلك</w:t>
      </w:r>
      <w:r w:rsidRPr="00DA75F8">
        <w:rPr>
          <w:vertAlign w:val="superscript"/>
          <w:rtl/>
        </w:rPr>
        <w:t>(</w:t>
      </w:r>
      <w:r w:rsidRPr="00DA75F8">
        <w:rPr>
          <w:rStyle w:val="FootnoteReference"/>
          <w:rFonts w:cs="Arabic Transparent"/>
          <w:rtl/>
        </w:rPr>
        <w:footnoteReference w:id="349"/>
      </w:r>
      <w:r w:rsidRPr="00DA75F8">
        <w:rPr>
          <w:vertAlign w:val="superscript"/>
          <w:rtl/>
        </w:rPr>
        <w:t>)</w:t>
      </w:r>
      <w:r w:rsidRPr="00DA75F8">
        <w:rPr>
          <w:rFonts w:hint="cs"/>
          <w:rtl/>
        </w:rPr>
        <w:t>،</w:t>
      </w:r>
      <w:r w:rsidRPr="00DA75F8">
        <w:rPr>
          <w:rtl/>
        </w:rPr>
        <w:t xml:space="preserve"> ومن هنا يظهر لنا أن اللوطي لايُحد بحد الزنا، ويظهر أيضًا من اختلاف الصحابة على عقوبته أن عقوبة اللوطي في م</w:t>
      </w:r>
      <w:r w:rsidRPr="00DA75F8">
        <w:rPr>
          <w:rFonts w:hint="cs"/>
          <w:rtl/>
        </w:rPr>
        <w:t>ما</w:t>
      </w:r>
      <w:r w:rsidRPr="00DA75F8">
        <w:rPr>
          <w:rtl/>
        </w:rPr>
        <w:t xml:space="preserve"> يخ</w:t>
      </w:r>
      <w:r>
        <w:rPr>
          <w:rFonts w:hint="cs"/>
          <w:rtl/>
        </w:rPr>
        <w:t>ص</w:t>
      </w:r>
      <w:r w:rsidRPr="00DA75F8">
        <w:rPr>
          <w:rtl/>
        </w:rPr>
        <w:t xml:space="preserve"> الإمام بالنظر فيها. لأن كل الصحابة حَكَموا بما عندهم من عقوبات، وهذا يدلّ على أنّعقاب اللوطي هو مما يختصّ به الإمام.</w:t>
      </w:r>
    </w:p>
    <w:p w:rsidR="005F44B2" w:rsidRPr="00DA75F8" w:rsidRDefault="005F44B2" w:rsidP="007B6769">
      <w:pPr>
        <w:pStyle w:val="a0"/>
      </w:pPr>
      <w:r w:rsidRPr="00DA75F8">
        <w:rPr>
          <w:rFonts w:hint="cs"/>
          <w:rtl/>
        </w:rPr>
        <w:t>ويحل</w:t>
      </w:r>
      <w:r w:rsidRPr="00DA75F8">
        <w:rPr>
          <w:rtl/>
        </w:rPr>
        <w:t xml:space="preserve"> قتل اللوطي في حالة ا</w:t>
      </w:r>
      <w:r>
        <w:rPr>
          <w:rFonts w:hint="cs"/>
          <w:rtl/>
        </w:rPr>
        <w:t>لتكرار</w:t>
      </w:r>
      <w:r>
        <w:rPr>
          <w:rtl/>
        </w:rPr>
        <w:t xml:space="preserve"> لمصلحة الأمة، لأن اللوطيي</w:t>
      </w:r>
      <w:r w:rsidRPr="00DA75F8">
        <w:rPr>
          <w:rFonts w:hint="cs"/>
          <w:rtl/>
        </w:rPr>
        <w:t>ن</w:t>
      </w:r>
      <w:r w:rsidRPr="00DA75F8">
        <w:rPr>
          <w:rtl/>
        </w:rPr>
        <w:t xml:space="preserve"> ينتشر ضررهم بين الناس بالتكرار، ومن أجل دفع ضررهم عن الناس وردع غيرهم يُقتلون، وهذا القتل سياسة شرعية</w:t>
      </w:r>
      <w:r w:rsidRPr="00DA75F8">
        <w:rPr>
          <w:vertAlign w:val="superscript"/>
          <w:rtl/>
        </w:rPr>
        <w:t>(</w:t>
      </w:r>
      <w:r w:rsidRPr="00DA75F8">
        <w:rPr>
          <w:rStyle w:val="FootnoteReference"/>
          <w:rFonts w:cs="Arabic Transparent"/>
          <w:rtl/>
        </w:rPr>
        <w:footnoteReference w:id="350"/>
      </w:r>
      <w:r w:rsidRPr="00DA75F8">
        <w:rPr>
          <w:vertAlign w:val="superscript"/>
          <w:rtl/>
        </w:rPr>
        <w:t>)</w:t>
      </w:r>
      <w:r w:rsidRPr="00DA75F8">
        <w:rPr>
          <w:rtl/>
        </w:rPr>
        <w:t>.</w:t>
      </w:r>
    </w:p>
    <w:p w:rsidR="005F44B2" w:rsidRPr="00DA75F8" w:rsidRDefault="005F44B2" w:rsidP="005E6A96">
      <w:pPr>
        <w:pStyle w:val="a3"/>
        <w:rPr>
          <w:rtl/>
        </w:rPr>
      </w:pPr>
      <w:bookmarkStart w:id="32" w:name="_Toc447092574"/>
      <w:r w:rsidRPr="00DA75F8">
        <w:rPr>
          <w:rFonts w:hint="cs"/>
          <w:rtl/>
        </w:rPr>
        <w:t>المطلب</w:t>
      </w:r>
      <w:r w:rsidRPr="00DA75F8">
        <w:rPr>
          <w:rtl/>
        </w:rPr>
        <w:t xml:space="preserve"> الرابع: قتل قطّاع الطريق سياسة</w:t>
      </w:r>
      <w:bookmarkEnd w:id="32"/>
    </w:p>
    <w:p w:rsidR="005F44B2" w:rsidRPr="00DA75F8" w:rsidRDefault="005F44B2" w:rsidP="007B6769">
      <w:pPr>
        <w:pStyle w:val="a0"/>
        <w:rPr>
          <w:rtl/>
        </w:rPr>
      </w:pPr>
      <w:r w:rsidRPr="00DA75F8">
        <w:rPr>
          <w:rFonts w:hint="cs"/>
          <w:rtl/>
        </w:rPr>
        <w:t>قطع</w:t>
      </w:r>
      <w:r w:rsidRPr="00DA75F8">
        <w:rPr>
          <w:rtl/>
        </w:rPr>
        <w:t xml:space="preserve"> الطريق هو إمساك الناس عن المرور فيه، وهذا القاطع من الممكن أن يكو</w:t>
      </w:r>
      <w:r w:rsidRPr="00DA75F8">
        <w:rPr>
          <w:rFonts w:hint="cs"/>
          <w:rtl/>
        </w:rPr>
        <w:t>ن</w:t>
      </w:r>
      <w:r w:rsidRPr="00DA75F8">
        <w:rPr>
          <w:rtl/>
        </w:rPr>
        <w:t xml:space="preserve"> مسلمًا أو غير مسلمٍ، وقد يكون عبدً، أو حرًا، واحدًا أو جماعةً، وبذلك يَشْمل كل مَن قام بعملية قطع الطريق</w:t>
      </w:r>
      <w:r w:rsidRPr="00DA75F8">
        <w:rPr>
          <w:vertAlign w:val="superscript"/>
          <w:rtl/>
        </w:rPr>
        <w:t>(</w:t>
      </w:r>
      <w:r w:rsidRPr="00DA75F8">
        <w:rPr>
          <w:rStyle w:val="FootnoteReference"/>
          <w:rFonts w:cs="Arabic Transparent"/>
          <w:rtl/>
        </w:rPr>
        <w:footnoteReference w:id="351"/>
      </w:r>
      <w:r w:rsidRPr="00DA75F8">
        <w:rPr>
          <w:vertAlign w:val="superscript"/>
          <w:rtl/>
        </w:rPr>
        <w:t>)</w:t>
      </w:r>
      <w:r w:rsidRPr="00DA75F8">
        <w:rPr>
          <w:rFonts w:hint="cs"/>
          <w:rtl/>
        </w:rPr>
        <w:t>،</w:t>
      </w:r>
      <w:r w:rsidRPr="00DA75F8">
        <w:rPr>
          <w:rtl/>
        </w:rPr>
        <w:t xml:space="preserve"> ومن شروط قطع الط</w:t>
      </w:r>
      <w:r w:rsidRPr="00DA75F8">
        <w:rPr>
          <w:rFonts w:hint="cs"/>
          <w:rtl/>
        </w:rPr>
        <w:t>ريق</w:t>
      </w:r>
      <w:r w:rsidRPr="00DA75F8">
        <w:rPr>
          <w:rtl/>
        </w:rPr>
        <w:t xml:space="preserve"> أن يكون القاطع والمق</w:t>
      </w:r>
      <w:r w:rsidRPr="00DA75F8">
        <w:rPr>
          <w:rFonts w:hint="cs"/>
          <w:rtl/>
        </w:rPr>
        <w:t>طوع</w:t>
      </w:r>
      <w:r w:rsidRPr="00DA75F8">
        <w:rPr>
          <w:rtl/>
        </w:rPr>
        <w:t xml:space="preserve"> عليه معصومين، ومنه أيضًا أن يكون القاطع صاحب قوة ومنعة، ومنه أيضًا أن تكون عملية القطع في دار العدل، وأن يكون المال المأخوذ نصابًا تامًا، ومنه أيضًا إمساك القاطع قبل التوبة</w:t>
      </w:r>
      <w:r w:rsidRPr="00DA75F8">
        <w:rPr>
          <w:vertAlign w:val="superscript"/>
          <w:rtl/>
        </w:rPr>
        <w:t>(</w:t>
      </w:r>
      <w:r w:rsidRPr="00DA75F8">
        <w:rPr>
          <w:rStyle w:val="FootnoteReference"/>
          <w:rFonts w:cs="Arabic Transparent"/>
          <w:rtl/>
        </w:rPr>
        <w:footnoteReference w:id="352"/>
      </w:r>
      <w:r w:rsidRPr="00DA75F8">
        <w:rPr>
          <w:vertAlign w:val="superscript"/>
          <w:rtl/>
        </w:rPr>
        <w:t>)</w:t>
      </w:r>
      <w:r w:rsidRPr="00DA75F8">
        <w:rPr>
          <w:rFonts w:hint="cs"/>
          <w:rtl/>
        </w:rPr>
        <w:t>،</w:t>
      </w:r>
      <w:r w:rsidRPr="00DA75F8">
        <w:rPr>
          <w:rtl/>
        </w:rPr>
        <w:t xml:space="preserve"> فإذا توفرت هذه الشروط يحكم عليه ب</w:t>
      </w:r>
      <w:r>
        <w:rPr>
          <w:rFonts w:hint="cs"/>
          <w:rtl/>
        </w:rPr>
        <w:t>جريمة</w:t>
      </w:r>
      <w:r>
        <w:rPr>
          <w:rtl/>
        </w:rPr>
        <w:t xml:space="preserve"> قطع الطريق، مع خلاف بين الفقهاء في بعض الشروط.</w:t>
      </w:r>
    </w:p>
    <w:p w:rsidR="005F44B2" w:rsidRPr="00DA75F8" w:rsidRDefault="005F44B2" w:rsidP="0095194C">
      <w:pPr>
        <w:pStyle w:val="a0"/>
        <w:rPr>
          <w:rtl/>
        </w:rPr>
      </w:pPr>
      <w:r w:rsidRPr="00DA75F8">
        <w:rPr>
          <w:rFonts w:hint="cs"/>
          <w:rtl/>
        </w:rPr>
        <w:t>أما</w:t>
      </w:r>
      <w:r w:rsidRPr="00DA75F8">
        <w:rPr>
          <w:rtl/>
        </w:rPr>
        <w:t xml:space="preserve"> علاقة قاطع الطريق بالسياسة الشرعية عند ابن عابدين فيرى البا</w:t>
      </w:r>
      <w:r w:rsidRPr="00DA75F8">
        <w:rPr>
          <w:rFonts w:hint="cs"/>
          <w:rtl/>
        </w:rPr>
        <w:t>حث</w:t>
      </w:r>
      <w:r w:rsidRPr="00DA75F8">
        <w:rPr>
          <w:rtl/>
        </w:rPr>
        <w:t xml:space="preserve"> أن ابن عابدين لم يذكر هذه العلاقة صراحةً، بل استخرجها الباحث من بعض عبارته، حيث أنه قال إذا رأى مسافر قاطعَ طريق وهو يقطع على غيره فللمسافر حق في أن يقتله حتى لو لم يقطع عليه، لأن في قتله إنقاذ من أذاه كفًّا لشرّه</w:t>
      </w:r>
      <w:r w:rsidRPr="00DA75F8">
        <w:rPr>
          <w:vertAlign w:val="superscript"/>
          <w:rtl/>
        </w:rPr>
        <w:t>(</w:t>
      </w:r>
      <w:r w:rsidRPr="00DA75F8">
        <w:rPr>
          <w:rStyle w:val="FootnoteReference"/>
          <w:rFonts w:cs="Arabic Transparent"/>
          <w:rtl/>
        </w:rPr>
        <w:footnoteReference w:id="353"/>
      </w:r>
      <w:r w:rsidRPr="00DA75F8">
        <w:rPr>
          <w:vertAlign w:val="superscript"/>
          <w:rtl/>
        </w:rPr>
        <w:t>)</w:t>
      </w:r>
      <w:r w:rsidRPr="00DA75F8">
        <w:rPr>
          <w:rtl/>
        </w:rPr>
        <w:t>.</w:t>
      </w:r>
    </w:p>
    <w:p w:rsidR="005F44B2" w:rsidRPr="00DA75F8" w:rsidRDefault="005F44B2" w:rsidP="007842C7">
      <w:pPr>
        <w:pStyle w:val="a0"/>
        <w:rPr>
          <w:rtl/>
        </w:rPr>
      </w:pPr>
      <w:r w:rsidRPr="00DA75F8">
        <w:rPr>
          <w:rFonts w:hint="cs"/>
          <w:rtl/>
        </w:rPr>
        <w:t>ولعل</w:t>
      </w:r>
      <w:r w:rsidRPr="00DA75F8">
        <w:rPr>
          <w:rtl/>
        </w:rPr>
        <w:t xml:space="preserve"> ابن تيمية يؤيّد قتل قطاع الطريق سياسةً، حيث يقول: " وقد روى الشافعي -رحمه الله- في مسنده عن ابن عباس -رضي الله عنهما- في قطاع الطريق-  إذا قتلوا وأخذوا المال قتلوا وصلبوا، وإذا قتلوا ولم يأخذوا المال قتلوا ولم يصلبوا، وإذا </w:t>
      </w:r>
      <w:r w:rsidRPr="00DA75F8">
        <w:rPr>
          <w:rFonts w:hint="cs"/>
          <w:rtl/>
        </w:rPr>
        <w:t>أخذوا</w:t>
      </w:r>
      <w:r w:rsidRPr="00DA75F8">
        <w:rPr>
          <w:rtl/>
        </w:rPr>
        <w:t xml:space="preserve"> المال ولم يقتلوا، </w:t>
      </w:r>
      <w:r w:rsidRPr="00DA75F8">
        <w:rPr>
          <w:rFonts w:hint="cs"/>
          <w:rtl/>
        </w:rPr>
        <w:t>قطعت</w:t>
      </w:r>
      <w:r w:rsidRPr="00DA75F8">
        <w:rPr>
          <w:rtl/>
        </w:rPr>
        <w:t xml:space="preserve"> أيديهم وأرجلهم من خلاف، وإذا أخافوا السبيل ولم يأخذوا مالا نفوا من الأرض</w:t>
      </w:r>
      <w:r>
        <w:rPr>
          <w:rFonts w:hint="cs"/>
          <w:rtl/>
        </w:rPr>
        <w:t>،</w:t>
      </w:r>
      <w:r w:rsidRPr="00DA75F8">
        <w:rPr>
          <w:rtl/>
        </w:rPr>
        <w:t xml:space="preserve"> وهذا قول كثير من أهل العلم، كالشافعي</w:t>
      </w:r>
      <w:r>
        <w:rPr>
          <w:vertAlign w:val="superscript"/>
          <w:rtl/>
        </w:rPr>
        <w:t>(</w:t>
      </w:r>
      <w:r>
        <w:rPr>
          <w:rStyle w:val="FootnoteReference"/>
          <w:rFonts w:cs="Arabic Transparent"/>
          <w:rtl/>
        </w:rPr>
        <w:footnoteReference w:id="354"/>
      </w:r>
      <w:r>
        <w:rPr>
          <w:vertAlign w:val="superscript"/>
          <w:rtl/>
        </w:rPr>
        <w:t>)</w:t>
      </w:r>
      <w:r w:rsidRPr="00DA75F8">
        <w:rPr>
          <w:rtl/>
        </w:rPr>
        <w:t xml:space="preserve"> </w:t>
      </w:r>
      <w:r w:rsidRPr="00DA75F8">
        <w:rPr>
          <w:rFonts w:hint="cs"/>
          <w:rtl/>
        </w:rPr>
        <w:t>وأحمد</w:t>
      </w:r>
      <w:r>
        <w:rPr>
          <w:vertAlign w:val="superscript"/>
          <w:rtl/>
        </w:rPr>
        <w:t>(</w:t>
      </w:r>
      <w:r>
        <w:rPr>
          <w:rStyle w:val="FootnoteReference"/>
          <w:rFonts w:cs="Arabic Transparent"/>
          <w:rtl/>
        </w:rPr>
        <w:footnoteReference w:id="355"/>
      </w:r>
      <w:r>
        <w:rPr>
          <w:vertAlign w:val="superscript"/>
          <w:rtl/>
        </w:rPr>
        <w:t>)</w:t>
      </w:r>
      <w:r w:rsidRPr="00DA75F8">
        <w:rPr>
          <w:rFonts w:hint="cs"/>
          <w:rtl/>
        </w:rPr>
        <w:t>،</w:t>
      </w:r>
      <w:r w:rsidRPr="00DA75F8">
        <w:rPr>
          <w:rtl/>
        </w:rPr>
        <w:t xml:space="preserve"> وهو قريب من قول أبي حنيفة</w:t>
      </w:r>
      <w:r>
        <w:rPr>
          <w:vertAlign w:val="superscript"/>
          <w:rtl/>
        </w:rPr>
        <w:t>(</w:t>
      </w:r>
      <w:r>
        <w:rPr>
          <w:rStyle w:val="FootnoteReference"/>
          <w:rFonts w:cs="Arabic Transparent"/>
          <w:rtl/>
        </w:rPr>
        <w:footnoteReference w:id="356"/>
      </w:r>
      <w:r>
        <w:rPr>
          <w:vertAlign w:val="superscript"/>
          <w:rtl/>
        </w:rPr>
        <w:t>)</w:t>
      </w:r>
      <w:r w:rsidRPr="00DA75F8">
        <w:rPr>
          <w:rtl/>
        </w:rPr>
        <w:t xml:space="preserve"> رحمه الله. ومنهم من قال: للإمام أن يجتهد فيهم، فيقتل من رأى قتله مصلحة، وإن كان لم يقتل: مثل أن يكون رئيسا مطاعا فيهم، ويقطع من رأى قطعه مصلحة؛ وإن كان لم يأخذ المال، مثل أن يكون ذا جلد وقوة في أخذ المال"</w:t>
      </w:r>
      <w:r w:rsidRPr="00DA75F8">
        <w:rPr>
          <w:vertAlign w:val="superscript"/>
          <w:rtl/>
        </w:rPr>
        <w:t>(</w:t>
      </w:r>
      <w:r w:rsidRPr="00DA75F8">
        <w:rPr>
          <w:rStyle w:val="FootnoteReference"/>
          <w:rFonts w:cs="Arabic Transparent"/>
          <w:rtl/>
        </w:rPr>
        <w:footnoteReference w:id="357"/>
      </w:r>
      <w:r w:rsidRPr="00DA75F8">
        <w:rPr>
          <w:vertAlign w:val="superscript"/>
          <w:rtl/>
        </w:rPr>
        <w:t>)</w:t>
      </w:r>
      <w:r w:rsidRPr="00DA75F8">
        <w:rPr>
          <w:rtl/>
        </w:rPr>
        <w:t>. نستنتج من كلام</w:t>
      </w:r>
      <w:r>
        <w:rPr>
          <w:rtl/>
        </w:rPr>
        <w:t xml:space="preserve"> ابن تيمية</w:t>
      </w:r>
      <w:r w:rsidRPr="00DA75F8">
        <w:rPr>
          <w:rtl/>
        </w:rPr>
        <w:t xml:space="preserve"> أن الإمام إذا راى المصلحة في قتل قطاع الطريق يقتله، ولو كانت جريمته ليست القتل.</w:t>
      </w:r>
    </w:p>
    <w:p w:rsidR="005F44B2" w:rsidRPr="00DA75F8" w:rsidRDefault="005F44B2" w:rsidP="007B6769">
      <w:pPr>
        <w:pStyle w:val="a0"/>
        <w:rPr>
          <w:rtl/>
        </w:rPr>
      </w:pPr>
      <w:r w:rsidRPr="00DA75F8">
        <w:rPr>
          <w:rFonts w:hint="cs"/>
          <w:rtl/>
        </w:rPr>
        <w:t>وقد</w:t>
      </w:r>
      <w:r w:rsidRPr="00DA75F8">
        <w:rPr>
          <w:rtl/>
        </w:rPr>
        <w:t xml:space="preserve"> ذكر ابن عابدين أيضأ أن قطاع الطريق من أهل الفساد يتجاوز ضررهم إلى الغير، فلاينزجرون </w:t>
      </w:r>
      <w:r w:rsidRPr="00DA75F8">
        <w:rPr>
          <w:rFonts w:hint="cs"/>
          <w:rtl/>
        </w:rPr>
        <w:t>إلّا</w:t>
      </w:r>
      <w:r w:rsidRPr="00DA75F8">
        <w:rPr>
          <w:rtl/>
        </w:rPr>
        <w:t xml:space="preserve"> بالقتل</w:t>
      </w:r>
      <w:r w:rsidRPr="00DA75F8">
        <w:rPr>
          <w:vertAlign w:val="superscript"/>
          <w:rtl/>
        </w:rPr>
        <w:t>(</w:t>
      </w:r>
      <w:r w:rsidRPr="00DA75F8">
        <w:rPr>
          <w:rStyle w:val="FootnoteReference"/>
          <w:rFonts w:cs="Arabic Transparent"/>
          <w:rtl/>
        </w:rPr>
        <w:footnoteReference w:id="358"/>
      </w:r>
      <w:r w:rsidRPr="00DA75F8">
        <w:rPr>
          <w:vertAlign w:val="superscript"/>
          <w:rtl/>
        </w:rPr>
        <w:t>)</w:t>
      </w:r>
      <w:r w:rsidRPr="00DA75F8">
        <w:rPr>
          <w:rFonts w:hint="cs"/>
          <w:rtl/>
        </w:rPr>
        <w:t>،</w:t>
      </w:r>
      <w:r w:rsidRPr="00DA75F8">
        <w:rPr>
          <w:rtl/>
        </w:rPr>
        <w:t xml:space="preserve"> وذكر أيضًا في موضع آخر أن سبب قتل قاطع الطريق هو دفع ضرره عن الناس</w:t>
      </w:r>
      <w:r w:rsidRPr="00DA75F8">
        <w:rPr>
          <w:vertAlign w:val="superscript"/>
          <w:rtl/>
        </w:rPr>
        <w:t>(</w:t>
      </w:r>
      <w:r w:rsidRPr="00DA75F8">
        <w:rPr>
          <w:rStyle w:val="FootnoteReference"/>
          <w:rFonts w:cs="Arabic Transparent"/>
          <w:rtl/>
        </w:rPr>
        <w:footnoteReference w:id="359"/>
      </w:r>
      <w:r w:rsidRPr="00DA75F8">
        <w:rPr>
          <w:vertAlign w:val="superscript"/>
          <w:rtl/>
        </w:rPr>
        <w:t>)</w:t>
      </w:r>
      <w:r w:rsidRPr="00DA75F8">
        <w:rPr>
          <w:rtl/>
        </w:rPr>
        <w:t>.</w:t>
      </w:r>
    </w:p>
    <w:p w:rsidR="005F44B2" w:rsidRPr="00DA75F8" w:rsidRDefault="005F44B2" w:rsidP="007B6769">
      <w:pPr>
        <w:pStyle w:val="a0"/>
        <w:rPr>
          <w:rFonts w:ascii="Traditional Arabic" w:hAnsi="Traditional Arabic"/>
          <w:b/>
          <w:bCs/>
          <w:color w:val="000000"/>
          <w:sz w:val="44"/>
          <w:szCs w:val="44"/>
          <w:rtl/>
        </w:rPr>
      </w:pPr>
      <w:r w:rsidRPr="00DA75F8">
        <w:rPr>
          <w:rFonts w:hint="cs"/>
          <w:rtl/>
        </w:rPr>
        <w:t>ومن</w:t>
      </w:r>
      <w:r w:rsidRPr="00DA75F8">
        <w:rPr>
          <w:rtl/>
        </w:rPr>
        <w:t xml:space="preserve"> المعروف أن أمن </w:t>
      </w:r>
      <w:r w:rsidRPr="00DA75F8">
        <w:rPr>
          <w:rFonts w:hint="cs"/>
          <w:rtl/>
        </w:rPr>
        <w:t>الطريق</w:t>
      </w:r>
      <w:r w:rsidRPr="00DA75F8">
        <w:rPr>
          <w:rtl/>
        </w:rPr>
        <w:t xml:space="preserve"> وظيفة الإمام، وإذ</w:t>
      </w:r>
      <w:r w:rsidRPr="00DA75F8">
        <w:rPr>
          <w:rFonts w:hint="cs"/>
          <w:rtl/>
        </w:rPr>
        <w:t>ن</w:t>
      </w:r>
      <w:r w:rsidRPr="00DA75F8">
        <w:rPr>
          <w:rtl/>
        </w:rPr>
        <w:t xml:space="preserve"> فللإمام أن يقتل قاطع الطريق إذا لم يكن هناك طريق آخر للتخلص من ضرره على الناس، وفي هذا مصلحة الأمة، إذن فقد ثبت لنا أن قتل قاطع الطريق من باب السياسة الشرعية، لأن المقصود من قتله منع شرّه عن الناس وهذا من مصلحة الأمة، وعرفنا أن السياسة الشرعية هي تحرِّي مصلحة الأمة.</w:t>
      </w:r>
    </w:p>
    <w:p w:rsidR="005F44B2" w:rsidRPr="00DA75F8" w:rsidRDefault="005F44B2" w:rsidP="005E6A96">
      <w:pPr>
        <w:pStyle w:val="a3"/>
        <w:rPr>
          <w:rtl/>
        </w:rPr>
      </w:pPr>
      <w:bookmarkStart w:id="33" w:name="_Toc447092575"/>
      <w:r w:rsidRPr="00DA75F8">
        <w:rPr>
          <w:rFonts w:hint="cs"/>
          <w:rtl/>
        </w:rPr>
        <w:t>المطلب</w:t>
      </w:r>
      <w:r w:rsidRPr="00DA75F8">
        <w:rPr>
          <w:rtl/>
        </w:rPr>
        <w:t xml:space="preserve"> الخامس: قتل الساحر سياسة</w:t>
      </w:r>
      <w:bookmarkEnd w:id="33"/>
    </w:p>
    <w:p w:rsidR="005F44B2" w:rsidRPr="00DA75F8" w:rsidRDefault="005F44B2" w:rsidP="007B6769">
      <w:pPr>
        <w:pStyle w:val="a0"/>
        <w:rPr>
          <w:rtl/>
        </w:rPr>
      </w:pPr>
      <w:r w:rsidRPr="00DA75F8">
        <w:rPr>
          <w:rFonts w:hint="cs"/>
          <w:rtl/>
        </w:rPr>
        <w:t>السحر</w:t>
      </w:r>
      <w:r w:rsidRPr="00DA75F8">
        <w:rPr>
          <w:rtl/>
        </w:rPr>
        <w:t xml:space="preserve"> هو " عَمَلٌ تُقُرِّبَفيه إلى الشيطان وبمعُونةٍ منه، كل ذلك الأمر كيْنُونة للسحر، ومن السحر الأُخْذة التي تأْخذ العين حتى يُظنَّ أن الأمرَ كما يُرى وليس الأصل على ما يُرى؛ والسحر: الأُخْذةُ. وكل ما لطف مأْخذُه ودقَّ، فهو سحر، والجمع أسحارٌ وسحورٌ، وسَحَرَه يسْحرُه سَحْرًا وسِحْرًا وسحَّرَه، ورجل ساحر من قوم سَحَرَةٍ وسُحَّار، وسُحَّارٌ من قوم سَحَّارين</w:t>
      </w:r>
      <w:r w:rsidRPr="00DA75F8">
        <w:rPr>
          <w:vertAlign w:val="superscript"/>
          <w:rtl/>
        </w:rPr>
        <w:t>(</w:t>
      </w:r>
      <w:r w:rsidRPr="00DA75F8">
        <w:rPr>
          <w:rStyle w:val="FootnoteReference"/>
          <w:rFonts w:cs="Arabic Transparent"/>
          <w:rtl/>
        </w:rPr>
        <w:footnoteReference w:id="36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ذكر ابن عابدين تعريفًا للسحر، حيث قال " السحر أمر خارق للعادة من نفس شريرة خبيثة بمباشرة أعمال مخصوصة، يجري فيها التلم والتتلمذ"</w:t>
      </w:r>
      <w:r w:rsidRPr="00DA75F8">
        <w:rPr>
          <w:vertAlign w:val="superscript"/>
          <w:rtl/>
        </w:rPr>
        <w:t>(</w:t>
      </w:r>
      <w:r w:rsidRPr="00DA75F8">
        <w:rPr>
          <w:rStyle w:val="FootnoteReference"/>
          <w:rFonts w:cs="Arabic Transparent"/>
          <w:rtl/>
        </w:rPr>
        <w:footnoteReference w:id="361"/>
      </w:r>
      <w:r w:rsidRPr="00DA75F8">
        <w:rPr>
          <w:vertAlign w:val="superscript"/>
          <w:rtl/>
        </w:rPr>
        <w:t>)</w:t>
      </w:r>
      <w:r w:rsidRPr="00DA75F8">
        <w:rPr>
          <w:rFonts w:hint="cs"/>
          <w:rtl/>
        </w:rPr>
        <w:t>،</w:t>
      </w:r>
      <w:r w:rsidRPr="00DA75F8">
        <w:rPr>
          <w:rtl/>
        </w:rPr>
        <w:t xml:space="preserve"> وعرّفه أيضًا بأنه " علم يستفاد منه حصول ملكة نفسانية يقتدر بها على أفعال غريبة لأسباب خفية"</w:t>
      </w:r>
      <w:r w:rsidRPr="00DA75F8">
        <w:rPr>
          <w:vertAlign w:val="superscript"/>
          <w:rtl/>
        </w:rPr>
        <w:t>(</w:t>
      </w:r>
      <w:r w:rsidRPr="00DA75F8">
        <w:rPr>
          <w:rStyle w:val="FootnoteReference"/>
          <w:rFonts w:cs="Arabic Transparent"/>
          <w:rtl/>
        </w:rPr>
        <w:footnoteReference w:id="36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وعرّفه</w:t>
      </w:r>
      <w:r w:rsidRPr="00DA75F8">
        <w:rPr>
          <w:rtl/>
        </w:rPr>
        <w:t xml:space="preserve"> ابن قدامة بأنه: " عقد ورقى وكلام يتكلم به، أو يكتبه، أو يعمل شيئا في بدن المسحور أو قلبه، أو عقله، من غير مباشرة له"</w:t>
      </w:r>
      <w:r w:rsidRPr="00DA75F8">
        <w:rPr>
          <w:vertAlign w:val="superscript"/>
          <w:rtl/>
        </w:rPr>
        <w:t>(</w:t>
      </w:r>
      <w:r w:rsidRPr="00DA75F8">
        <w:rPr>
          <w:rStyle w:val="FootnoteReference"/>
          <w:rFonts w:cs="Arabic Transparent"/>
          <w:rtl/>
        </w:rPr>
        <w:footnoteReference w:id="36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ولا</w:t>
      </w:r>
      <w:r w:rsidRPr="00DA75F8">
        <w:rPr>
          <w:rtl/>
        </w:rPr>
        <w:t xml:space="preserve"> يهمّ الباحث في بحثه أن يذكر حكم الساحر هل هو كافر أم لا، وهل يستتاب أم لا، والذي سيذكره علاقة الأمر بالسياسة الشرعية.</w:t>
      </w:r>
    </w:p>
    <w:p w:rsidR="005F44B2" w:rsidRPr="00DA75F8" w:rsidRDefault="005F44B2" w:rsidP="007B6769">
      <w:pPr>
        <w:pStyle w:val="a0"/>
        <w:rPr>
          <w:rtl/>
        </w:rPr>
      </w:pPr>
      <w:r w:rsidRPr="00DA75F8">
        <w:rPr>
          <w:rFonts w:hint="cs"/>
          <w:rtl/>
        </w:rPr>
        <w:t>السحر</w:t>
      </w:r>
      <w:r w:rsidRPr="00DA75F8">
        <w:rPr>
          <w:rtl/>
        </w:rPr>
        <w:t xml:space="preserve"> أمر كائن من حيث تأثيره، وتصوره ووجوديته</w:t>
      </w:r>
      <w:r w:rsidRPr="00DA75F8">
        <w:rPr>
          <w:vertAlign w:val="superscript"/>
          <w:rtl/>
        </w:rPr>
        <w:t>(</w:t>
      </w:r>
      <w:r w:rsidRPr="00DA75F8">
        <w:rPr>
          <w:rStyle w:val="FootnoteReference"/>
          <w:rFonts w:cs="Arabic Transparent"/>
          <w:rtl/>
        </w:rPr>
        <w:footnoteReference w:id="364"/>
      </w:r>
      <w:r w:rsidRPr="00DA75F8">
        <w:rPr>
          <w:vertAlign w:val="superscript"/>
          <w:rtl/>
        </w:rPr>
        <w:t>)</w:t>
      </w:r>
      <w:r w:rsidRPr="00DA75F8">
        <w:rPr>
          <w:rFonts w:hint="cs"/>
          <w:rtl/>
        </w:rPr>
        <w:t>،</w:t>
      </w:r>
      <w:r w:rsidRPr="00DA75F8">
        <w:rPr>
          <w:rtl/>
        </w:rPr>
        <w:t xml:space="preserve"> ويُعتبر حرامًا بالإجماع، وقال ابن قدامة: " فإن تعلم السحر وتعليمه حرام لا نعلم فيه خلافا بين أهل العلم"</w:t>
      </w:r>
      <w:r w:rsidRPr="00DA75F8">
        <w:rPr>
          <w:vertAlign w:val="superscript"/>
          <w:rtl/>
        </w:rPr>
        <w:t>(</w:t>
      </w:r>
      <w:r w:rsidRPr="00DA75F8">
        <w:rPr>
          <w:rStyle w:val="FootnoteReference"/>
          <w:rFonts w:cs="Arabic Transparent"/>
          <w:rtl/>
        </w:rPr>
        <w:footnoteReference w:id="365"/>
      </w:r>
      <w:r w:rsidRPr="00DA75F8">
        <w:rPr>
          <w:vertAlign w:val="superscript"/>
          <w:rtl/>
        </w:rPr>
        <w:t>)</w:t>
      </w:r>
      <w:r w:rsidRPr="00DA75F8">
        <w:rPr>
          <w:rtl/>
        </w:rPr>
        <w:t xml:space="preserve"> والسحر لا يؤدي إلا إلى الأذى والضرر بالناس</w:t>
      </w:r>
      <w:r w:rsidRPr="00DA75F8">
        <w:rPr>
          <w:vertAlign w:val="superscript"/>
          <w:rtl/>
        </w:rPr>
        <w:t xml:space="preserve"> (</w:t>
      </w:r>
      <w:r w:rsidRPr="00DA75F8">
        <w:rPr>
          <w:rStyle w:val="FootnoteReference"/>
          <w:rFonts w:cs="Arabic Transparent"/>
          <w:rtl/>
        </w:rPr>
        <w:footnoteReference w:id="36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وتظهر</w:t>
      </w:r>
      <w:r w:rsidRPr="00DA75F8">
        <w:rPr>
          <w:rtl/>
        </w:rPr>
        <w:t xml:space="preserve"> لنا علاقة السحر بالسياسة الشرعية في السحر الذي لايوجب كفر الساحر، وقد ذكر ابن عابدين ثلاثة أقسام للسحر، وبيّن في أي منهم فيها الكفر، حيث قال: " أن السحر اسم جنس لثلاثة أنواع: الأول: السِّيمِيَاءُ ، وهي ما يركب من خواص أرضية كدهن خاص أو كلمات خاصة توجب إدراك الحو</w:t>
      </w:r>
      <w:r w:rsidRPr="00DA75F8">
        <w:rPr>
          <w:rFonts w:hint="cs"/>
          <w:rtl/>
        </w:rPr>
        <w:t>اس</w:t>
      </w:r>
      <w:r w:rsidRPr="00DA75F8">
        <w:rPr>
          <w:rtl/>
        </w:rPr>
        <w:t xml:space="preserve"> الخمس أو بعضها بما له وجود حقيقي، أو بما هو تخيل صرف من مأكول أو مشموم أو غيرهما.</w:t>
      </w:r>
    </w:p>
    <w:p w:rsidR="005F44B2" w:rsidRPr="00DA75F8" w:rsidRDefault="005F44B2" w:rsidP="007B6769">
      <w:pPr>
        <w:pStyle w:val="a0"/>
        <w:rPr>
          <w:rtl/>
        </w:rPr>
      </w:pPr>
      <w:r w:rsidRPr="00DA75F8">
        <w:rPr>
          <w:rFonts w:hint="cs"/>
          <w:rtl/>
        </w:rPr>
        <w:t>الثاني</w:t>
      </w:r>
      <w:r w:rsidRPr="00DA75F8">
        <w:rPr>
          <w:rtl/>
        </w:rPr>
        <w:t>: الْهِيمْيَاءُ ، وهي ما يوجب ذلك مضافا لآثار سماوية لا أرضية.</w:t>
      </w:r>
    </w:p>
    <w:p w:rsidR="005F44B2" w:rsidRPr="00DA75F8" w:rsidRDefault="005F44B2" w:rsidP="007B6769">
      <w:pPr>
        <w:pStyle w:val="a0"/>
        <w:rPr>
          <w:rtl/>
        </w:rPr>
      </w:pPr>
      <w:r w:rsidRPr="00DA75F8">
        <w:rPr>
          <w:rFonts w:hint="cs"/>
          <w:rtl/>
        </w:rPr>
        <w:t>الثالث</w:t>
      </w:r>
      <w:r w:rsidRPr="00DA75F8">
        <w:rPr>
          <w:rtl/>
        </w:rPr>
        <w:t>: بعض خواص الحقائق، كما يؤخذ سبع أحجار يرمى بها نوع من الكلاب إذا رمى بحجر عضه، فإذا عضها الكلب وطرحت في ماء فمن شربه ظهرت عليه آثار خاصة فهذه أنواع السحر الثلاثة، قد تقع بما هو كفر من لفظ أو اعتقاد أو فعل، وقد تقع بغيره كوضع الأحجار. وللسحر فصول كثيرة في كتبهم. فليس كل ما يسمى سحرا كفرا، إذ ليس التكفير به لما يترتب عليه من ال</w:t>
      </w:r>
      <w:r w:rsidRPr="00DA75F8">
        <w:rPr>
          <w:rFonts w:hint="cs"/>
          <w:rtl/>
        </w:rPr>
        <w:t>ضرر</w:t>
      </w:r>
      <w:r w:rsidRPr="00DA75F8">
        <w:rPr>
          <w:rtl/>
        </w:rPr>
        <w:t xml:space="preserve"> بل لما يقع به مما هو كفر كاعتقاد انفراد الكواكب: بالربوبية أو إهانة قرآن أو كلام مكفر ونحو ذلك اهـ ملخصا، وهذا موافق لكلام إمام الهدى أبي منصور الماتريدي، ثم إنه لا يلزم من عدم كفره مطلقا عدم قتله؛ لأن قتله بسبب سعيه بالفساد كما مر. فإذا ثبت إضراره بسحره ولو بغير مكفر: يقتل دفعا لشره كالخناق وقطاع الطريق."</w:t>
      </w:r>
      <w:r w:rsidRPr="00DA75F8">
        <w:rPr>
          <w:vertAlign w:val="superscript"/>
          <w:rtl/>
        </w:rPr>
        <w:t>(</w:t>
      </w:r>
      <w:r w:rsidRPr="00DA75F8">
        <w:rPr>
          <w:rStyle w:val="FootnoteReference"/>
          <w:rFonts w:cs="Arabic Transparent"/>
          <w:rtl/>
        </w:rPr>
        <w:footnoteReference w:id="367"/>
      </w:r>
      <w:r w:rsidRPr="00DA75F8">
        <w:rPr>
          <w:vertAlign w:val="superscript"/>
          <w:rtl/>
        </w:rPr>
        <w:t>)</w:t>
      </w:r>
      <w:r w:rsidRPr="00DA75F8">
        <w:rPr>
          <w:rtl/>
        </w:rPr>
        <w:t xml:space="preserve">.  </w:t>
      </w:r>
    </w:p>
    <w:p w:rsidR="005F44B2" w:rsidRPr="00DA75F8" w:rsidRDefault="005F44B2" w:rsidP="007B6769">
      <w:pPr>
        <w:pStyle w:val="a0"/>
        <w:rPr>
          <w:rtl/>
        </w:rPr>
      </w:pPr>
      <w:r w:rsidRPr="00DA75F8">
        <w:rPr>
          <w:rFonts w:hint="cs"/>
          <w:rtl/>
        </w:rPr>
        <w:t>والسحر</w:t>
      </w:r>
      <w:r w:rsidRPr="00DA75F8">
        <w:rPr>
          <w:rtl/>
        </w:rPr>
        <w:t xml:space="preserve"> لايصدر إلا لضرر على الناس، والساحر يُقتل لسعيه في الأرض فسادًا ولدفع ضرره وشره عن الناس</w:t>
      </w:r>
      <w:r w:rsidRPr="00DA75F8">
        <w:rPr>
          <w:vertAlign w:val="superscript"/>
          <w:rtl/>
        </w:rPr>
        <w:t>(</w:t>
      </w:r>
      <w:r w:rsidRPr="00DA75F8">
        <w:rPr>
          <w:rStyle w:val="FootnoteReference"/>
          <w:rFonts w:cs="Arabic Transparent"/>
          <w:rtl/>
        </w:rPr>
        <w:footnoteReference w:id="368"/>
      </w:r>
      <w:r w:rsidRPr="00DA75F8">
        <w:rPr>
          <w:vertAlign w:val="superscript"/>
          <w:rtl/>
        </w:rPr>
        <w:t>)</w:t>
      </w:r>
      <w:r w:rsidRPr="00DA75F8">
        <w:rPr>
          <w:rFonts w:hint="cs"/>
          <w:rtl/>
        </w:rPr>
        <w:t>،</w:t>
      </w:r>
      <w:r w:rsidRPr="00DA75F8">
        <w:rPr>
          <w:rtl/>
        </w:rPr>
        <w:t xml:space="preserve"> والساحر يؤذي بسحره أموال العباد وأبدانهم</w:t>
      </w:r>
      <w:r w:rsidRPr="00DA75F8">
        <w:rPr>
          <w:vertAlign w:val="superscript"/>
          <w:rtl/>
        </w:rPr>
        <w:t>(</w:t>
      </w:r>
      <w:r w:rsidRPr="00DA75F8">
        <w:rPr>
          <w:rStyle w:val="FootnoteReference"/>
          <w:rFonts w:cs="Arabic Transparent"/>
          <w:rtl/>
        </w:rPr>
        <w:footnoteReference w:id="369"/>
      </w:r>
      <w:r w:rsidRPr="00DA75F8">
        <w:rPr>
          <w:vertAlign w:val="superscript"/>
          <w:rtl/>
        </w:rPr>
        <w:t>)</w:t>
      </w:r>
      <w:r w:rsidRPr="00DA75F8">
        <w:rPr>
          <w:rFonts w:hint="cs"/>
          <w:rtl/>
        </w:rPr>
        <w:t>،</w:t>
      </w:r>
      <w:r w:rsidRPr="00DA75F8">
        <w:rPr>
          <w:rtl/>
        </w:rPr>
        <w:t xml:space="preserve"> وشبّه ابن عابدين قتل الساحر بقتل قاطع الطريق والخناق</w:t>
      </w:r>
      <w:r w:rsidRPr="00DA75F8">
        <w:rPr>
          <w:vertAlign w:val="superscript"/>
          <w:rtl/>
        </w:rPr>
        <w:t>(</w:t>
      </w:r>
      <w:r w:rsidRPr="00DA75F8">
        <w:rPr>
          <w:rStyle w:val="FootnoteReference"/>
          <w:rFonts w:cs="Arabic Transparent"/>
          <w:rtl/>
        </w:rPr>
        <w:footnoteReference w:id="37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أود</w:t>
      </w:r>
      <w:r w:rsidRPr="00DA75F8">
        <w:rPr>
          <w:rtl/>
        </w:rPr>
        <w:t xml:space="preserve"> أن أذكركم أن موضوعنا ليس كل السحرة بل الساحر الذي لا يجب تكفير بسحره كما أفاد</w:t>
      </w:r>
      <w:r>
        <w:rPr>
          <w:rFonts w:hint="cs"/>
          <w:rtl/>
        </w:rPr>
        <w:t>ه</w:t>
      </w:r>
      <w:r w:rsidRPr="00DA75F8">
        <w:rPr>
          <w:rtl/>
        </w:rPr>
        <w:t xml:space="preserve"> ابن عابدين، ومع كل هذا فقد ثبت لنا من كلام ابن عابدين عن السحر وتشبيهه بقاطع الطريق والخناق في القتل ان قتل الساحر من باب السياسة </w:t>
      </w:r>
      <w:r w:rsidRPr="00DA75F8">
        <w:rPr>
          <w:rFonts w:hint="cs"/>
          <w:rtl/>
        </w:rPr>
        <w:t>الشرعية،</w:t>
      </w:r>
      <w:r w:rsidRPr="00DA75F8">
        <w:rPr>
          <w:rtl/>
        </w:rPr>
        <w:t xml:space="preserve"> لأنه يُقتل  بسبب ضرره على الناس ولهذا السبب يدخل قتل الساحر في باب السياسة الشرعية، فبقتله يتخلص الناس من ضرره، وهذا فيه مصلحة الأمة، وعرفنا أن مصلحة الأمة هي غاية السياسة الشرعية.</w:t>
      </w:r>
    </w:p>
    <w:p w:rsidR="005F44B2" w:rsidRPr="00DA75F8" w:rsidRDefault="005F44B2" w:rsidP="005E6A96">
      <w:pPr>
        <w:pStyle w:val="a3"/>
        <w:rPr>
          <w:rtl/>
        </w:rPr>
      </w:pPr>
      <w:bookmarkStart w:id="34" w:name="_Toc447092576"/>
      <w:r w:rsidRPr="00DA75F8">
        <w:rPr>
          <w:rFonts w:hint="cs"/>
          <w:rtl/>
        </w:rPr>
        <w:t>المطلب</w:t>
      </w:r>
      <w:r w:rsidRPr="00DA75F8">
        <w:rPr>
          <w:rtl/>
        </w:rPr>
        <w:t xml:space="preserve"> السادس: قتل من سبّ النبيّ - صلى الله عليه وسلم - من أهل الذمة</w:t>
      </w:r>
      <w:bookmarkEnd w:id="34"/>
    </w:p>
    <w:p w:rsidR="005F44B2" w:rsidRPr="00DA75F8" w:rsidRDefault="005F44B2" w:rsidP="007B6769">
      <w:pPr>
        <w:pStyle w:val="a0"/>
        <w:rPr>
          <w:rtl/>
        </w:rPr>
      </w:pPr>
      <w:r w:rsidRPr="00DA75F8">
        <w:rPr>
          <w:rFonts w:hint="cs"/>
          <w:rtl/>
        </w:rPr>
        <w:t>السبّ</w:t>
      </w:r>
      <w:r w:rsidRPr="00DA75F8">
        <w:rPr>
          <w:rtl/>
        </w:rPr>
        <w:t xml:space="preserve"> مرادف للشتم، كلاهما بمعنى واحد وهو كلام قبيح وما في</w:t>
      </w:r>
      <w:r w:rsidRPr="00DA75F8">
        <w:rPr>
          <w:rFonts w:hint="cs"/>
          <w:rtl/>
        </w:rPr>
        <w:t>ه</w:t>
      </w:r>
      <w:r w:rsidRPr="00DA75F8">
        <w:rPr>
          <w:rtl/>
        </w:rPr>
        <w:t xml:space="preserve"> قذف</w:t>
      </w:r>
      <w:r w:rsidRPr="00DA75F8">
        <w:rPr>
          <w:vertAlign w:val="superscript"/>
          <w:rtl/>
        </w:rPr>
        <w:t>(</w:t>
      </w:r>
      <w:r w:rsidRPr="00DA75F8">
        <w:rPr>
          <w:rStyle w:val="FootnoteReference"/>
          <w:rFonts w:cs="Arabic Transparent"/>
          <w:rtl/>
        </w:rPr>
        <w:footnoteReference w:id="37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والذمة</w:t>
      </w:r>
      <w:r w:rsidRPr="00DA75F8">
        <w:rPr>
          <w:rtl/>
        </w:rPr>
        <w:t xml:space="preserve"> لغة بمعنى الأمان والعهد، وأهل العهد هم أهل الذمة، ورجل ذمي يعني رجل له عهد</w:t>
      </w:r>
      <w:r w:rsidRPr="00DA75F8">
        <w:rPr>
          <w:vertAlign w:val="superscript"/>
          <w:rtl/>
        </w:rPr>
        <w:t>(</w:t>
      </w:r>
      <w:r w:rsidRPr="00DA75F8">
        <w:rPr>
          <w:rStyle w:val="FootnoteReference"/>
          <w:rFonts w:cs="Arabic Transparent"/>
          <w:rtl/>
        </w:rPr>
        <w:footnoteReference w:id="372"/>
      </w:r>
      <w:r w:rsidRPr="00DA75F8">
        <w:rPr>
          <w:vertAlign w:val="superscript"/>
          <w:rtl/>
        </w:rPr>
        <w:t>)</w:t>
      </w:r>
      <w:r w:rsidRPr="00DA75F8">
        <w:rPr>
          <w:rtl/>
        </w:rPr>
        <w:t>.</w:t>
      </w:r>
    </w:p>
    <w:p w:rsidR="005F44B2" w:rsidRPr="00DA75F8" w:rsidRDefault="005F44B2" w:rsidP="00CF7B40">
      <w:pPr>
        <w:pStyle w:val="a0"/>
        <w:rPr>
          <w:rtl/>
        </w:rPr>
      </w:pPr>
      <w:r w:rsidRPr="00DA75F8">
        <w:rPr>
          <w:rFonts w:hint="cs"/>
          <w:rtl/>
        </w:rPr>
        <w:t>وفي</w:t>
      </w:r>
      <w:r w:rsidRPr="00DA75F8">
        <w:rPr>
          <w:rtl/>
        </w:rPr>
        <w:t xml:space="preserve"> اصطلاح الفقهاء: </w:t>
      </w:r>
      <w:r>
        <w:rPr>
          <w:rFonts w:hint="cs"/>
          <w:rtl/>
        </w:rPr>
        <w:t>أن</w:t>
      </w:r>
      <w:r>
        <w:rPr>
          <w:rtl/>
        </w:rPr>
        <w:t xml:space="preserve"> كلمة الذمب من الذمة وهو العهد مع الإمام</w:t>
      </w:r>
      <w:r>
        <w:rPr>
          <w:vertAlign w:val="superscript"/>
          <w:rtl/>
        </w:rPr>
        <w:t>(</w:t>
      </w:r>
      <w:r>
        <w:rPr>
          <w:rStyle w:val="FootnoteReference"/>
          <w:rFonts w:cs="Arabic Transparent"/>
          <w:rtl/>
        </w:rPr>
        <w:footnoteReference w:id="373"/>
      </w:r>
      <w:r>
        <w:rPr>
          <w:vertAlign w:val="superscript"/>
          <w:rtl/>
        </w:rPr>
        <w:t>)</w:t>
      </w:r>
      <w:r>
        <w:rPr>
          <w:rtl/>
        </w:rPr>
        <w:t xml:space="preserve"> وقال في كشاف القناع:</w:t>
      </w:r>
      <w:r w:rsidRPr="00DA75F8">
        <w:rPr>
          <w:rtl/>
        </w:rPr>
        <w:t xml:space="preserve">" </w:t>
      </w:r>
      <w:r w:rsidRPr="00CF7B40">
        <w:rPr>
          <w:rFonts w:hint="cs"/>
          <w:rtl/>
        </w:rPr>
        <w:t>معنى</w:t>
      </w:r>
      <w:r w:rsidRPr="00CF7B40">
        <w:rPr>
          <w:rtl/>
        </w:rPr>
        <w:t xml:space="preserve"> عهد الذمة إقرار بعض الكفار على كفره بشرط بذل الجزية، والتزام أحك</w:t>
      </w:r>
      <w:r w:rsidRPr="00CF7B40">
        <w:rPr>
          <w:rFonts w:hint="cs"/>
          <w:rtl/>
        </w:rPr>
        <w:t>ام</w:t>
      </w:r>
      <w:r w:rsidRPr="00CF7B40">
        <w:rPr>
          <w:rtl/>
        </w:rPr>
        <w:t xml:space="preserve"> الملة</w:t>
      </w:r>
      <w:r w:rsidRPr="00DA75F8">
        <w:rPr>
          <w:rtl/>
        </w:rPr>
        <w:t>"</w:t>
      </w:r>
      <w:r w:rsidRPr="00DA75F8">
        <w:rPr>
          <w:vertAlign w:val="superscript"/>
          <w:rtl/>
        </w:rPr>
        <w:t>(</w:t>
      </w:r>
      <w:r w:rsidRPr="00DA75F8">
        <w:rPr>
          <w:rStyle w:val="FootnoteReference"/>
          <w:rFonts w:cs="Arabic Transparent"/>
          <w:rtl/>
        </w:rPr>
        <w:footnoteReference w:id="374"/>
      </w:r>
      <w:r w:rsidRPr="00DA75F8">
        <w:rPr>
          <w:vertAlign w:val="superscript"/>
          <w:rtl/>
        </w:rPr>
        <w:t>)</w:t>
      </w:r>
      <w:r w:rsidRPr="00DA75F8">
        <w:rPr>
          <w:rtl/>
        </w:rPr>
        <w:t>.</w:t>
      </w:r>
    </w:p>
    <w:p w:rsidR="005F44B2" w:rsidRPr="00DA75F8" w:rsidRDefault="005F44B2" w:rsidP="00E07C3A">
      <w:pPr>
        <w:pStyle w:val="a0"/>
        <w:rPr>
          <w:rtl/>
        </w:rPr>
      </w:pPr>
      <w:r w:rsidRPr="00DA75F8">
        <w:rPr>
          <w:rFonts w:hint="cs"/>
          <w:rtl/>
        </w:rPr>
        <w:t>من</w:t>
      </w:r>
      <w:r w:rsidRPr="00DA75F8">
        <w:rPr>
          <w:rtl/>
        </w:rPr>
        <w:t xml:space="preserve"> المعلوم أن من سبّ النبي – صلى الله عليهه وسلم – إذا كان مسلمًا يكون كافرًا ومرتدًا، </w:t>
      </w:r>
      <w:r>
        <w:rPr>
          <w:rFonts w:hint="cs"/>
          <w:rtl/>
        </w:rPr>
        <w:t>واتفق</w:t>
      </w:r>
      <w:r w:rsidRPr="00DA75F8">
        <w:rPr>
          <w:rtl/>
        </w:rPr>
        <w:t xml:space="preserve"> معظم العلماء على قتله حدًا قبل توبته، وفيه تفصيلات واختلافات بين المذاهب</w:t>
      </w:r>
      <w:r w:rsidRPr="00DA75F8">
        <w:rPr>
          <w:vertAlign w:val="superscript"/>
          <w:rtl/>
        </w:rPr>
        <w:t>(</w:t>
      </w:r>
      <w:r w:rsidRPr="00DA75F8">
        <w:rPr>
          <w:rStyle w:val="FootnoteReference"/>
          <w:rFonts w:cs="Arabic Transparent"/>
          <w:rtl/>
        </w:rPr>
        <w:footnoteReference w:id="37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وبعد</w:t>
      </w:r>
      <w:r w:rsidRPr="00DA75F8">
        <w:rPr>
          <w:rtl/>
        </w:rPr>
        <w:t xml:space="preserve"> هذا نعلم أن الذمي من أهل العقد، تعاقده يكون مع الإمام، ومن الممكن للإمام أن يزيد في شروط العقد كيف ما أراد، ولو نكث الذم</w:t>
      </w:r>
      <w:r w:rsidRPr="00DA75F8">
        <w:rPr>
          <w:rFonts w:hint="cs"/>
          <w:rtl/>
        </w:rPr>
        <w:t>ي</w:t>
      </w:r>
      <w:r w:rsidRPr="00DA75F8">
        <w:rPr>
          <w:rtl/>
        </w:rPr>
        <w:t xml:space="preserve"> عقده فللإمام أن يقتله بسبب انتقاض العقد.</w:t>
      </w:r>
    </w:p>
    <w:p w:rsidR="005F44B2" w:rsidRPr="00DA75F8" w:rsidRDefault="005F44B2" w:rsidP="007B6769">
      <w:pPr>
        <w:pStyle w:val="a0"/>
        <w:rPr>
          <w:rtl/>
        </w:rPr>
      </w:pPr>
      <w:r w:rsidRPr="00DA75F8">
        <w:rPr>
          <w:rFonts w:hint="cs"/>
          <w:rtl/>
        </w:rPr>
        <w:t>وأما</w:t>
      </w:r>
      <w:r w:rsidRPr="00DA75F8">
        <w:rPr>
          <w:rtl/>
        </w:rPr>
        <w:t xml:space="preserve"> الذمي فلو سبّ النبي – صلى الله عليه وسلم –</w:t>
      </w:r>
      <w:r w:rsidRPr="00DA75F8">
        <w:rPr>
          <w:rFonts w:hint="cs"/>
          <w:rtl/>
        </w:rPr>
        <w:t>ولم</w:t>
      </w:r>
      <w:r w:rsidRPr="00DA75F8">
        <w:rPr>
          <w:rtl/>
        </w:rPr>
        <w:t xml:space="preserve"> يكن السّبّ مذكورًا في شروط العقد، فما الحكم فيه ؟</w:t>
      </w:r>
    </w:p>
    <w:p w:rsidR="005F44B2" w:rsidRPr="00DA75F8" w:rsidRDefault="005F44B2" w:rsidP="007B6769">
      <w:pPr>
        <w:pStyle w:val="a0"/>
        <w:rPr>
          <w:rtl/>
        </w:rPr>
      </w:pPr>
      <w:r w:rsidRPr="00DA75F8">
        <w:rPr>
          <w:rFonts w:hint="cs"/>
          <w:rtl/>
        </w:rPr>
        <w:t>بعد</w:t>
      </w:r>
      <w:r w:rsidRPr="00DA75F8">
        <w:rPr>
          <w:rtl/>
        </w:rPr>
        <w:t xml:space="preserve"> البحث وجدنا أن حكم هذا الذمي يعتمد على إعلانهالشتم والاعتداء وتكراره، فإذا أعلن شتمه أو اعتداءه  يقتل</w:t>
      </w:r>
      <w:r w:rsidRPr="00DA75F8">
        <w:rPr>
          <w:vertAlign w:val="superscript"/>
          <w:rtl/>
        </w:rPr>
        <w:t>(</w:t>
      </w:r>
      <w:r w:rsidRPr="00DA75F8">
        <w:rPr>
          <w:rStyle w:val="FootnoteReference"/>
          <w:rFonts w:cs="Arabic Transparent"/>
          <w:rtl/>
        </w:rPr>
        <w:footnoteReference w:id="376"/>
      </w:r>
      <w:r w:rsidRPr="00DA75F8">
        <w:rPr>
          <w:vertAlign w:val="superscript"/>
          <w:rtl/>
        </w:rPr>
        <w:t>)</w:t>
      </w:r>
      <w:r w:rsidRPr="00DA75F8">
        <w:rPr>
          <w:rFonts w:hint="cs"/>
          <w:rtl/>
        </w:rPr>
        <w:t>،</w:t>
      </w:r>
      <w:r w:rsidRPr="00DA75F8">
        <w:rPr>
          <w:rtl/>
        </w:rPr>
        <w:t xml:space="preserve"> وأما إذا لم يعلن أو لم تتكرّر جريمته لم يُقتل، لأن عهد الذمي لا ينتقض بالسبّ، ولكن يعزّر بفعل إظهاره، وقد عرفنا في بداية المبحث أن للإمام أن يزيد في حد الجريمة إذا رأى المصلحة، ولذا إذا تكرّر  سبّه فللإمام أن يقتله سياسة</w:t>
      </w:r>
      <w:r w:rsidRPr="00DA75F8">
        <w:rPr>
          <w:vertAlign w:val="superscript"/>
          <w:rtl/>
        </w:rPr>
        <w:t>(</w:t>
      </w:r>
      <w:r w:rsidRPr="00DA75F8">
        <w:rPr>
          <w:rStyle w:val="FootnoteReference"/>
          <w:rFonts w:cs="Arabic Transparent"/>
          <w:rtl/>
        </w:rPr>
        <w:footnoteReference w:id="377"/>
      </w:r>
      <w:r w:rsidRPr="00DA75F8">
        <w:rPr>
          <w:vertAlign w:val="superscript"/>
          <w:rtl/>
        </w:rPr>
        <w:t>)</w:t>
      </w:r>
      <w:r w:rsidRPr="00DA75F8">
        <w:rPr>
          <w:rtl/>
        </w:rPr>
        <w:t>.</w:t>
      </w:r>
    </w:p>
    <w:p w:rsidR="005F44B2" w:rsidRPr="00DA75F8" w:rsidRDefault="005F44B2" w:rsidP="00863D93">
      <w:pPr>
        <w:pStyle w:val="a0"/>
        <w:rPr>
          <w:rtl/>
        </w:rPr>
      </w:pPr>
      <w:r w:rsidRPr="00DA75F8">
        <w:rPr>
          <w:rFonts w:hint="cs"/>
          <w:rtl/>
        </w:rPr>
        <w:t>مما</w:t>
      </w:r>
      <w:r w:rsidRPr="00DA75F8">
        <w:rPr>
          <w:rtl/>
        </w:rPr>
        <w:t xml:space="preserve"> سبق ثبت لنا جواز قتل الذمي الذي أكثرَ من سب النبي – صلى الله عليه وسلم –</w:t>
      </w:r>
      <w:r w:rsidRPr="00DA75F8">
        <w:rPr>
          <w:rFonts w:hint="cs"/>
          <w:rtl/>
        </w:rPr>
        <w:t>،</w:t>
      </w:r>
      <w:r w:rsidRPr="00DA75F8">
        <w:rPr>
          <w:rtl/>
        </w:rPr>
        <w:t xml:space="preserve"> بل إنّ ابن عابدين يرى جو</w:t>
      </w:r>
      <w:r w:rsidRPr="00DA75F8">
        <w:rPr>
          <w:rFonts w:hint="cs"/>
          <w:rtl/>
        </w:rPr>
        <w:t>از</w:t>
      </w:r>
      <w:r w:rsidRPr="00DA75F8">
        <w:rPr>
          <w:rtl/>
        </w:rPr>
        <w:t xml:space="preserve"> قتله حتى لو أسلم بعد أخذ، وهذا قتل سياسة، لأن جريمته تعاظمت بالتكرار</w:t>
      </w:r>
      <w:r w:rsidRPr="00DA75F8">
        <w:rPr>
          <w:vertAlign w:val="superscript"/>
          <w:rtl/>
        </w:rPr>
        <w:t>(</w:t>
      </w:r>
      <w:r w:rsidRPr="00DA75F8">
        <w:rPr>
          <w:rStyle w:val="FootnoteReference"/>
          <w:rFonts w:cs="Arabic Transparent"/>
          <w:rtl/>
        </w:rPr>
        <w:footnoteReference w:id="37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وهذا</w:t>
      </w:r>
      <w:r w:rsidRPr="00DA75F8">
        <w:rPr>
          <w:rtl/>
        </w:rPr>
        <w:t xml:space="preserve"> المثال يُظهر لنا تطبيقًالتعريف ابن عابدين للسياسة، حيث كان قد عرّفها بأنها " شرع مغلظ"، وقتل الذمي في هذا المثال تطبيق على (شرع مغلظ) بسبب إظهار شتمه وتكراره، وبهذا فإن رأى الإمام المصلحة في قتله، فله الحكم قتله سياسة.</w:t>
      </w:r>
    </w:p>
    <w:p w:rsidR="005F44B2" w:rsidRPr="00DA75F8" w:rsidRDefault="005F44B2" w:rsidP="005E6A96">
      <w:pPr>
        <w:pStyle w:val="a3"/>
        <w:rPr>
          <w:rtl/>
        </w:rPr>
      </w:pPr>
      <w:bookmarkStart w:id="35" w:name="_Toc447092577"/>
      <w:r w:rsidRPr="00DA75F8">
        <w:rPr>
          <w:rFonts w:hint="cs"/>
          <w:rtl/>
        </w:rPr>
        <w:t>المطلب</w:t>
      </w:r>
      <w:r w:rsidRPr="00DA75F8">
        <w:rPr>
          <w:rtl/>
        </w:rPr>
        <w:t xml:space="preserve"> السابع: قتل المبتدع سياسة</w:t>
      </w:r>
      <w:bookmarkEnd w:id="35"/>
    </w:p>
    <w:p w:rsidR="005F44B2" w:rsidRPr="00DA75F8" w:rsidRDefault="005F44B2" w:rsidP="007B6769">
      <w:pPr>
        <w:pStyle w:val="a0"/>
        <w:rPr>
          <w:rtl/>
        </w:rPr>
      </w:pPr>
      <w:r w:rsidRPr="00DA75F8">
        <w:rPr>
          <w:rFonts w:hint="cs"/>
          <w:rtl/>
        </w:rPr>
        <w:t>بدع</w:t>
      </w:r>
      <w:r w:rsidRPr="00DA75F8">
        <w:rPr>
          <w:rtl/>
        </w:rPr>
        <w:t xml:space="preserve"> في اللغة " بدَع الشيءَ يَبْدَعُه بَدْعاً وابْتَدَعَه: أَنشأَه وبدأَه، والبَدِيعُ والبِدْعُ: الشيء الذي يكون أَولًا</w:t>
      </w:r>
      <w:r w:rsidRPr="00DA75F8">
        <w:rPr>
          <w:vertAlign w:val="superscript"/>
          <w:rtl/>
        </w:rPr>
        <w:t>(</w:t>
      </w:r>
      <w:r w:rsidRPr="00DA75F8">
        <w:rPr>
          <w:rStyle w:val="FootnoteReference"/>
          <w:rFonts w:cs="Arabic Transparent"/>
          <w:rtl/>
        </w:rPr>
        <w:footnoteReference w:id="379"/>
      </w:r>
      <w:r w:rsidRPr="00DA75F8">
        <w:rPr>
          <w:vertAlign w:val="superscript"/>
          <w:rtl/>
        </w:rPr>
        <w:t>)</w:t>
      </w:r>
      <w:r w:rsidRPr="00DA75F8">
        <w:rPr>
          <w:rFonts w:hint="cs"/>
          <w:rtl/>
        </w:rPr>
        <w:t>،</w:t>
      </w:r>
      <w:r w:rsidRPr="00DA75F8">
        <w:rPr>
          <w:rtl/>
        </w:rPr>
        <w:t xml:space="preserve"> وعرّف ابن عابدين المبتدَع أنه شيء محدَث لم يُسبق نظيره</w:t>
      </w:r>
      <w:r w:rsidRPr="00DA75F8">
        <w:rPr>
          <w:vertAlign w:val="superscript"/>
          <w:rtl/>
        </w:rPr>
        <w:t>(</w:t>
      </w:r>
      <w:r w:rsidRPr="00DA75F8">
        <w:rPr>
          <w:rStyle w:val="FootnoteReference"/>
          <w:rFonts w:cs="Arabic Transparent"/>
          <w:rtl/>
        </w:rPr>
        <w:footnoteReference w:id="38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w:t>
      </w:r>
      <w:r w:rsidRPr="00DA75F8">
        <w:rPr>
          <w:rtl/>
        </w:rPr>
        <w:t xml:space="preserve"> في الشرع لايخرج عن التعريف اللغوي، وقد تنوع تعريف البدعة، ومن العلماء من أخذها وتوسع في مفهومها على كل محدث ليس موجودًا في الكتاب أو السنة، ومنهم من أخذها وقصَرَها فقال:إن البدعة كلها ضلالة</w:t>
      </w:r>
      <w:r w:rsidRPr="00DA75F8">
        <w:rPr>
          <w:vertAlign w:val="superscript"/>
          <w:rtl/>
        </w:rPr>
        <w:t>(</w:t>
      </w:r>
      <w:r w:rsidRPr="00DA75F8">
        <w:rPr>
          <w:rStyle w:val="FootnoteReference"/>
          <w:rFonts w:cs="Arabic Transparent"/>
          <w:rtl/>
        </w:rPr>
        <w:footnoteReference w:id="38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وعرّفها</w:t>
      </w:r>
      <w:r w:rsidRPr="00DA75F8">
        <w:rPr>
          <w:rtl/>
        </w:rPr>
        <w:t xml:space="preserve"> الشاطبي من جهتين: " "طريقة في الدين مخترعة، تضاهي الشريعة، يقصد بالسلوك عليها المبالغة في التعبد لله سبحانه". وهذا على رأي من لا يدخل العادات في معنى البدعة، وإنما يخصهابالعبادات، وأما على رأي من أدخل الأعمال العادية في معنى البدعة فيقول: "البدعة طريقة في الدين مخترعة، تضاهي الشرعية، يقصد بالسلوك عليها ما يقصد بالطريقة الشرعية</w:t>
      </w:r>
      <w:r w:rsidRPr="00DA75F8">
        <w:rPr>
          <w:vertAlign w:val="superscript"/>
          <w:rtl/>
        </w:rPr>
        <w:t>(</w:t>
      </w:r>
      <w:r w:rsidRPr="00DA75F8">
        <w:rPr>
          <w:rStyle w:val="FootnoteReference"/>
          <w:rFonts w:cs="Arabic Transparent"/>
          <w:rtl/>
        </w:rPr>
        <w:footnoteReference w:id="38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أما</w:t>
      </w:r>
      <w:r w:rsidRPr="00DA75F8">
        <w:rPr>
          <w:rtl/>
        </w:rPr>
        <w:t xml:space="preserve"> الغزالي فقد توّع في مفهوم البدعةفقال: " وما يقال إنه أبدع بعد رسول الله صلى الله عليه وسلم فليس كل ما أبدع منهيا بل المنهي بدعة تضاد سنة ثابتة وترفع أمرا من الشرع مع بقاء علته بل الإبداع قد يجب في بعض الأحوال إذا تغيرت الأسباب"</w:t>
      </w:r>
      <w:r w:rsidRPr="00DA75F8">
        <w:rPr>
          <w:vertAlign w:val="superscript"/>
          <w:rtl/>
        </w:rPr>
        <w:t>(</w:t>
      </w:r>
      <w:r w:rsidRPr="00DA75F8">
        <w:rPr>
          <w:rStyle w:val="FootnoteReference"/>
          <w:rFonts w:cs="Arabic Transparent"/>
          <w:rtl/>
        </w:rPr>
        <w:footnoteReference w:id="383"/>
      </w:r>
      <w:r w:rsidRPr="00DA75F8">
        <w:rPr>
          <w:vertAlign w:val="superscript"/>
          <w:rtl/>
        </w:rPr>
        <w:t>)</w:t>
      </w:r>
      <w:r w:rsidRPr="00DA75F8">
        <w:rPr>
          <w:rtl/>
        </w:rPr>
        <w:t>.</w:t>
      </w:r>
    </w:p>
    <w:p w:rsidR="005F44B2" w:rsidRPr="00DA75F8" w:rsidRDefault="005F44B2" w:rsidP="007B6769">
      <w:pPr>
        <w:pStyle w:val="a0"/>
        <w:rPr>
          <w:rtl/>
        </w:rPr>
      </w:pPr>
      <w:r w:rsidRPr="00DA75F8">
        <w:rPr>
          <w:rtl/>
        </w:rPr>
        <w:t xml:space="preserve"> وابن عابدين من الموسعين في تعريف البدعة، حيث قسّم البدعة إلى خمسة أقسام، فقال "محرمة، وإلا فقد تكون واجبة، كنصب الأدلة للرد على أهل الفرق الضالة، وتعلم النحو المفهم للكتاب والسنة ومندوبة كإحداث نحو رباط ومدرسة وكل إحسان لم ي</w:t>
      </w:r>
      <w:r w:rsidRPr="00DA75F8">
        <w:rPr>
          <w:rFonts w:hint="cs"/>
          <w:rtl/>
        </w:rPr>
        <w:t>كن</w:t>
      </w:r>
      <w:r w:rsidRPr="00DA75F8">
        <w:rPr>
          <w:rtl/>
        </w:rPr>
        <w:t xml:space="preserve"> في الصدر الأول، ومكرو</w:t>
      </w:r>
      <w:r w:rsidRPr="00DA75F8">
        <w:rPr>
          <w:rFonts w:hint="cs"/>
          <w:rtl/>
        </w:rPr>
        <w:t>هة</w:t>
      </w:r>
      <w:r w:rsidRPr="00DA75F8">
        <w:rPr>
          <w:rtl/>
        </w:rPr>
        <w:t xml:space="preserve"> كزخرفة المساجد، ومباحة كالتوسع بلذيذ المآكل والمشارب والثياب"</w:t>
      </w:r>
      <w:r w:rsidRPr="00DA75F8">
        <w:rPr>
          <w:vertAlign w:val="superscript"/>
          <w:rtl/>
        </w:rPr>
        <w:t>(</w:t>
      </w:r>
      <w:r w:rsidRPr="00DA75F8">
        <w:rPr>
          <w:rStyle w:val="FootnoteReference"/>
          <w:rFonts w:cs="Arabic Transparent"/>
          <w:rtl/>
        </w:rPr>
        <w:footnoteReference w:id="38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هذا</w:t>
      </w:r>
      <w:r w:rsidRPr="00DA75F8">
        <w:rPr>
          <w:rtl/>
        </w:rPr>
        <w:t xml:space="preserve"> تقسيم للبدعة مهم جدا، لأن كلمة البدعة في يومنا تجري </w:t>
      </w:r>
      <w:r w:rsidRPr="00DA75F8">
        <w:rPr>
          <w:rFonts w:hint="cs"/>
          <w:rtl/>
        </w:rPr>
        <w:t>على</w:t>
      </w:r>
      <w:r w:rsidRPr="00DA75F8">
        <w:rPr>
          <w:rtl/>
        </w:rPr>
        <w:t xml:space="preserve"> كل لسان، والناس يتساه</w:t>
      </w:r>
      <w:r w:rsidRPr="00DA75F8">
        <w:rPr>
          <w:rFonts w:hint="cs"/>
          <w:rtl/>
        </w:rPr>
        <w:t>لون</w:t>
      </w:r>
      <w:r w:rsidRPr="00DA75F8">
        <w:rPr>
          <w:rtl/>
        </w:rPr>
        <w:t xml:space="preserve"> في استخدامها، وإذا سمعوا كلمة البدعة يتبادر إلى أذهانهم الشيء السّيّء، وهي البدعة المحرمة أو المكروهة بحسب التقسيم السابق، لأنهم لايعرفون أقسامها، لذلك يطلقون كلمة البدعة على كل محدَث، </w:t>
      </w:r>
      <w:r>
        <w:rPr>
          <w:rFonts w:hint="cs"/>
          <w:rtl/>
        </w:rPr>
        <w:t>وهذا</w:t>
      </w:r>
      <w:r>
        <w:rPr>
          <w:rtl/>
        </w:rPr>
        <w:t xml:space="preserve"> الاستخدام يسبّب فهمًا خاطئًا</w:t>
      </w:r>
      <w:r w:rsidRPr="00DA75F8">
        <w:rPr>
          <w:rtl/>
        </w:rPr>
        <w:t xml:space="preserve"> بين الناس، لذلك يجب على الناس فهم معنى البدعة وأقسامها فهم</w:t>
      </w:r>
      <w:r>
        <w:rPr>
          <w:rFonts w:hint="cs"/>
          <w:rtl/>
        </w:rPr>
        <w:t>ا</w:t>
      </w:r>
      <w:r>
        <w:rPr>
          <w:rtl/>
        </w:rPr>
        <w:t xml:space="preserve"> تاما لتجنب الفهم الخ</w:t>
      </w:r>
      <w:r w:rsidRPr="00DA75F8">
        <w:rPr>
          <w:rFonts w:hint="cs"/>
          <w:rtl/>
        </w:rPr>
        <w:t>طأ</w:t>
      </w:r>
      <w:r w:rsidRPr="00DA75F8">
        <w:rPr>
          <w:rtl/>
        </w:rPr>
        <w:t xml:space="preserve"> بينهم.</w:t>
      </w:r>
    </w:p>
    <w:p w:rsidR="005F44B2" w:rsidRPr="00DA75F8" w:rsidRDefault="005F44B2" w:rsidP="007B6769">
      <w:pPr>
        <w:pStyle w:val="a0"/>
        <w:rPr>
          <w:rtl/>
        </w:rPr>
      </w:pPr>
      <w:r w:rsidRPr="00DA75F8">
        <w:rPr>
          <w:rFonts w:hint="cs"/>
          <w:rtl/>
        </w:rPr>
        <w:t>وموضوعنا</w:t>
      </w:r>
      <w:r w:rsidRPr="00DA75F8">
        <w:rPr>
          <w:rtl/>
        </w:rPr>
        <w:t xml:space="preserve"> هو البدعة المحرمة والمكروهة، وهنا يجب علينا أن نقسمها أيضا إلى قسمين لنصل إلى علاقتها بالسياسة الشرعية، وهما: بدعة توجب الكفر، وبدعة لاتوجب الكفر، والبدعة التي توجب الكفر ليست موضوعنا لانطباق أحكام الكفر عليها ولا تدخل فيها السياسة.</w:t>
      </w:r>
    </w:p>
    <w:p w:rsidR="005F44B2" w:rsidRPr="00DA75F8" w:rsidRDefault="005F44B2" w:rsidP="007B6769">
      <w:pPr>
        <w:pStyle w:val="a0"/>
        <w:rPr>
          <w:rtl/>
        </w:rPr>
      </w:pPr>
      <w:r w:rsidRPr="00DA75F8">
        <w:rPr>
          <w:rFonts w:hint="cs"/>
          <w:rtl/>
        </w:rPr>
        <w:t>أما</w:t>
      </w:r>
      <w:r w:rsidRPr="00DA75F8">
        <w:rPr>
          <w:rtl/>
        </w:rPr>
        <w:t xml:space="preserve"> البدعة التي لاتوجب الكفر وفي موضوعنا لأن عقوبتها التعزير وفي بعض الأحوال يقتل صاحبها سياسة لدرء ضرره علن الناس والدين، والباحث سيذكر قتل المبتدع سياسة بضرب الأمثلة عند ابن عابدين.</w:t>
      </w:r>
    </w:p>
    <w:p w:rsidR="005F44B2" w:rsidRPr="00DA75F8" w:rsidRDefault="005F44B2" w:rsidP="00366C0E">
      <w:pPr>
        <w:pStyle w:val="a0"/>
        <w:rPr>
          <w:rtl/>
        </w:rPr>
      </w:pPr>
      <w:r w:rsidRPr="00DA75F8">
        <w:rPr>
          <w:rFonts w:hint="cs"/>
          <w:rtl/>
        </w:rPr>
        <w:t>كما</w:t>
      </w:r>
      <w:r w:rsidRPr="00DA75F8">
        <w:rPr>
          <w:rtl/>
        </w:rPr>
        <w:t xml:space="preserve"> قلنا آنفًا البدعة التي لاتوجب الكفر عق</w:t>
      </w:r>
      <w:r>
        <w:rPr>
          <w:rFonts w:hint="cs"/>
          <w:rtl/>
        </w:rPr>
        <w:t>و</w:t>
      </w:r>
      <w:r w:rsidRPr="00DA75F8">
        <w:rPr>
          <w:rFonts w:hint="cs"/>
          <w:rtl/>
        </w:rPr>
        <w:t>تها</w:t>
      </w:r>
      <w:r w:rsidRPr="00DA75F8">
        <w:rPr>
          <w:rtl/>
        </w:rPr>
        <w:t xml:space="preserve"> التعزير، وهذا التعزير يمنع البدعة، إذا لم تُمنَع البدعة في الوجه الأول، وتُزاد عقوبة في التعزير، أي يعاقب المبتدع بوجه يمكن منعه من بدعته، مثلا إن لم يمكن إلابحبس وضرب فيجوز حبسه وضربه، وأيضًا لو لم يمكن المنع إلا بقتل فيجوز قتل المبتدع وقتله سياسة</w:t>
      </w:r>
      <w:r w:rsidRPr="00DA75F8">
        <w:rPr>
          <w:vertAlign w:val="superscript"/>
          <w:rtl/>
        </w:rPr>
        <w:t>(</w:t>
      </w:r>
      <w:r w:rsidRPr="00DA75F8">
        <w:rPr>
          <w:rStyle w:val="FootnoteReference"/>
          <w:rFonts w:cs="Arabic Transparent"/>
          <w:rtl/>
        </w:rPr>
        <w:footnoteReference w:id="38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وأيضًا</w:t>
      </w:r>
      <w:r w:rsidRPr="00DA75F8">
        <w:rPr>
          <w:rtl/>
        </w:rPr>
        <w:t xml:space="preserve"> للسلطان أن يقتل المبتدعَ الذي يدعو الناس لبدعته وان لم يحكم بكفره، ولكن يتوهّم منه إشاعة البدعة بين الناس، وسبب قتله منع فساده، وفساده أعظم وأعمّ من جهة تأثيره على دين الإسلام</w:t>
      </w:r>
      <w:r w:rsidRPr="00DA75F8">
        <w:rPr>
          <w:vertAlign w:val="superscript"/>
          <w:rtl/>
        </w:rPr>
        <w:t>(</w:t>
      </w:r>
      <w:r w:rsidRPr="00DA75F8">
        <w:rPr>
          <w:rStyle w:val="FootnoteReference"/>
          <w:rFonts w:cs="Arabic Transparent"/>
          <w:rtl/>
        </w:rPr>
        <w:footnoteReference w:id="386"/>
      </w:r>
      <w:r w:rsidRPr="00DA75F8">
        <w:rPr>
          <w:vertAlign w:val="superscript"/>
          <w:rtl/>
        </w:rPr>
        <w:t>)</w:t>
      </w:r>
      <w:r w:rsidRPr="00DA75F8">
        <w:rPr>
          <w:rFonts w:hint="cs"/>
          <w:rtl/>
        </w:rPr>
        <w:t>،</w:t>
      </w:r>
      <w:r w:rsidRPr="00DA75F8">
        <w:rPr>
          <w:rtl/>
        </w:rPr>
        <w:t xml:space="preserve"> والمبتدع يُقتل أيضًا بإظهار بدعته</w:t>
      </w:r>
      <w:r w:rsidRPr="00DA75F8">
        <w:rPr>
          <w:vertAlign w:val="superscript"/>
          <w:rtl/>
        </w:rPr>
        <w:t>(</w:t>
      </w:r>
      <w:r w:rsidRPr="00DA75F8">
        <w:rPr>
          <w:rStyle w:val="FootnoteReference"/>
          <w:rFonts w:cs="Arabic Transparent"/>
          <w:rtl/>
        </w:rPr>
        <w:footnoteReference w:id="387"/>
      </w:r>
      <w:r w:rsidRPr="00DA75F8">
        <w:rPr>
          <w:vertAlign w:val="superscript"/>
          <w:rtl/>
        </w:rPr>
        <w:t>)</w:t>
      </w:r>
      <w:r w:rsidRPr="00DA75F8">
        <w:rPr>
          <w:rFonts w:hint="cs"/>
          <w:rtl/>
        </w:rPr>
        <w:t>،</w:t>
      </w:r>
      <w:r w:rsidRPr="00DA75F8">
        <w:rPr>
          <w:rtl/>
        </w:rPr>
        <w:t xml:space="preserve"> وتكرار جريمته وهذا قتل سياسة</w:t>
      </w:r>
      <w:r w:rsidRPr="00DA75F8">
        <w:rPr>
          <w:vertAlign w:val="superscript"/>
          <w:rtl/>
        </w:rPr>
        <w:t xml:space="preserve"> (</w:t>
      </w:r>
      <w:r w:rsidRPr="00DA75F8">
        <w:rPr>
          <w:rStyle w:val="FootnoteReference"/>
          <w:rFonts w:cs="Arabic Transparent"/>
          <w:rtl/>
        </w:rPr>
        <w:footnoteReference w:id="388"/>
      </w:r>
      <w:r w:rsidRPr="00DA75F8">
        <w:rPr>
          <w:vertAlign w:val="superscript"/>
          <w:rtl/>
        </w:rPr>
        <w:t>)</w:t>
      </w:r>
      <w:r w:rsidRPr="00DA75F8">
        <w:rPr>
          <w:rtl/>
        </w:rPr>
        <w:t>.</w:t>
      </w:r>
    </w:p>
    <w:p w:rsidR="005F44B2" w:rsidRPr="00DA75F8" w:rsidRDefault="005F44B2" w:rsidP="00366C0E">
      <w:pPr>
        <w:pStyle w:val="a0"/>
        <w:rPr>
          <w:rtl/>
        </w:rPr>
      </w:pPr>
      <w:r w:rsidRPr="00DA75F8">
        <w:rPr>
          <w:rFonts w:hint="cs"/>
          <w:rtl/>
        </w:rPr>
        <w:t>وقد</w:t>
      </w:r>
      <w:r w:rsidRPr="00DA75F8">
        <w:rPr>
          <w:rtl/>
        </w:rPr>
        <w:t xml:space="preserve"> ثبت لنا إلى الآن، أنه يجوز قتل المبتدع سياسة إذا كانت البدعة لاتوجب الكفر، وأما </w:t>
      </w:r>
      <w:r>
        <w:rPr>
          <w:rFonts w:hint="cs"/>
          <w:rtl/>
        </w:rPr>
        <w:t>إذا</w:t>
      </w:r>
      <w:r w:rsidRPr="00DA75F8">
        <w:rPr>
          <w:rtl/>
        </w:rPr>
        <w:t xml:space="preserve"> كانت البدعة توجب الكفر فيُقتل أيضا، ولكن ليس سياسةً بل بسبب كفره، والعلة </w:t>
      </w:r>
      <w:r>
        <w:rPr>
          <w:rFonts w:hint="cs"/>
          <w:rtl/>
        </w:rPr>
        <w:t>في</w:t>
      </w:r>
      <w:r w:rsidRPr="00DA75F8">
        <w:rPr>
          <w:rtl/>
        </w:rPr>
        <w:t xml:space="preserve"> قتل المبتدع هي البدعة المخالفة للشرع، ولذلك أمكن قتل المبتدع سياسة على بعض الأمور، ومنها إظهار بدعته، ودعوة الناس إليها، وتكرار جريمته، والخوف من انتشارها، وهو إنّما يُقتل لدرء ضرره عن الدين والناس، وفساد المبتدع أو تأثيره على الناس أعمّ و أشدّ من حيث الدين، ويُمن</w:t>
      </w:r>
      <w:r w:rsidRPr="00DA75F8">
        <w:rPr>
          <w:rFonts w:hint="cs"/>
          <w:rtl/>
        </w:rPr>
        <w:t>ع</w:t>
      </w:r>
      <w:r w:rsidRPr="00DA75F8">
        <w:rPr>
          <w:rtl/>
        </w:rPr>
        <w:t xml:space="preserve"> هذا بقتله. وقتل المبتدع من باب السياسة الشرعية، لأنّ في قتله مصلحة الدين والأمة.</w:t>
      </w:r>
    </w:p>
    <w:p w:rsidR="005F44B2" w:rsidRPr="00DA75F8" w:rsidRDefault="005F44B2" w:rsidP="005E6A96">
      <w:pPr>
        <w:pStyle w:val="a3"/>
        <w:rPr>
          <w:rtl/>
        </w:rPr>
      </w:pPr>
      <w:bookmarkStart w:id="36" w:name="_Toc447092578"/>
      <w:r w:rsidRPr="00DA75F8">
        <w:rPr>
          <w:rFonts w:hint="cs"/>
          <w:rtl/>
        </w:rPr>
        <w:t>المطلب</w:t>
      </w:r>
      <w:r w:rsidRPr="00DA75F8">
        <w:rPr>
          <w:rtl/>
        </w:rPr>
        <w:t xml:space="preserve"> الثامن: قتل الباغي سياسة</w:t>
      </w:r>
      <w:bookmarkEnd w:id="36"/>
    </w:p>
    <w:p w:rsidR="005F44B2" w:rsidRPr="00DA75F8" w:rsidRDefault="005F44B2" w:rsidP="007B6769">
      <w:pPr>
        <w:pStyle w:val="a0"/>
        <w:rPr>
          <w:rtl/>
        </w:rPr>
      </w:pPr>
      <w:r w:rsidRPr="00DA75F8">
        <w:rPr>
          <w:rFonts w:hint="cs"/>
          <w:rtl/>
        </w:rPr>
        <w:t>البغي</w:t>
      </w:r>
      <w:r w:rsidRPr="00DA75F8">
        <w:rPr>
          <w:rtl/>
        </w:rPr>
        <w:t xml:space="preserve"> لغة بمعنى الظلم والاعتداء، وبغى: سعى بالفساد، واسم الفاعل منه باغ، والجمع بغاة، والفرقة منه الباغية</w:t>
      </w:r>
      <w:r w:rsidRPr="00DA75F8">
        <w:rPr>
          <w:vertAlign w:val="superscript"/>
          <w:rtl/>
        </w:rPr>
        <w:t>(</w:t>
      </w:r>
      <w:r w:rsidRPr="00DA75F8">
        <w:rPr>
          <w:rStyle w:val="FootnoteReference"/>
          <w:rFonts w:cs="Arabic Transparent"/>
          <w:rtl/>
        </w:rPr>
        <w:footnoteReference w:id="389"/>
      </w:r>
      <w:r w:rsidRPr="00DA75F8">
        <w:rPr>
          <w:vertAlign w:val="superscript"/>
          <w:rtl/>
        </w:rPr>
        <w:t>)</w:t>
      </w:r>
      <w:r w:rsidRPr="00DA75F8">
        <w:rPr>
          <w:rtl/>
        </w:rPr>
        <w:t>.</w:t>
      </w:r>
    </w:p>
    <w:p w:rsidR="005F44B2" w:rsidRPr="00DA75F8" w:rsidRDefault="005F44B2" w:rsidP="007B6769">
      <w:pPr>
        <w:pStyle w:val="a0"/>
        <w:rPr>
          <w:caps/>
          <w:rtl/>
        </w:rPr>
      </w:pPr>
      <w:r w:rsidRPr="00DA75F8">
        <w:rPr>
          <w:rFonts w:hint="cs"/>
          <w:rtl/>
        </w:rPr>
        <w:t>وقال</w:t>
      </w:r>
      <w:r w:rsidRPr="00DA75F8">
        <w:rPr>
          <w:rtl/>
        </w:rPr>
        <w:t xml:space="preserve"> ابن نجيم عن البغي : " الباغي في عرف الفقهاء الخارج عن الإمام الحق"</w:t>
      </w:r>
      <w:r w:rsidRPr="00DA75F8">
        <w:rPr>
          <w:vertAlign w:val="superscript"/>
          <w:rtl/>
        </w:rPr>
        <w:t>(</w:t>
      </w:r>
      <w:r w:rsidRPr="00DA75F8">
        <w:rPr>
          <w:rStyle w:val="FootnoteReference"/>
          <w:rFonts w:cs="Arabic Transparent"/>
          <w:rtl/>
        </w:rPr>
        <w:footnoteReference w:id="39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ذكر ابن عابدين التعريف العرفي حيث قال: " الب</w:t>
      </w:r>
      <w:r w:rsidRPr="00DA75F8">
        <w:rPr>
          <w:rFonts w:hint="cs"/>
          <w:rtl/>
        </w:rPr>
        <w:t>غاة</w:t>
      </w:r>
      <w:r w:rsidRPr="00DA75F8">
        <w:rPr>
          <w:rtl/>
        </w:rPr>
        <w:t xml:space="preserve"> عرفا الطالبون لما لا يحل من جور وظلم"</w:t>
      </w:r>
      <w:r w:rsidRPr="00DA75F8">
        <w:rPr>
          <w:vertAlign w:val="superscript"/>
          <w:rtl/>
        </w:rPr>
        <w:t>(</w:t>
      </w:r>
      <w:r w:rsidRPr="00DA75F8">
        <w:rPr>
          <w:rStyle w:val="FootnoteReference"/>
          <w:rFonts w:cs="Arabic Transparent"/>
          <w:rtl/>
        </w:rPr>
        <w:footnoteReference w:id="391"/>
      </w:r>
      <w:r w:rsidRPr="00DA75F8">
        <w:rPr>
          <w:vertAlign w:val="superscript"/>
          <w:rtl/>
        </w:rPr>
        <w:t>)</w:t>
      </w:r>
      <w:r w:rsidRPr="00DA75F8">
        <w:rPr>
          <w:rtl/>
        </w:rPr>
        <w:t>.</w:t>
      </w:r>
    </w:p>
    <w:p w:rsidR="005F44B2" w:rsidRDefault="005F44B2" w:rsidP="00366C0E">
      <w:pPr>
        <w:pStyle w:val="a0"/>
        <w:rPr>
          <w:rtl/>
        </w:rPr>
      </w:pPr>
      <w:r w:rsidRPr="00DA75F8">
        <w:rPr>
          <w:rFonts w:hint="cs"/>
          <w:rtl/>
        </w:rPr>
        <w:t>وفي</w:t>
      </w:r>
      <w:r w:rsidRPr="00DA75F8">
        <w:rPr>
          <w:rtl/>
        </w:rPr>
        <w:t xml:space="preserve"> الشرع: " قوم مسلمون خرجوا على إمام العدل ولم يستبيحوا ما استباحه الخوارج من دماء المسلمين وسبي ذراريهم"</w:t>
      </w:r>
      <w:r w:rsidRPr="00DA75F8">
        <w:rPr>
          <w:vertAlign w:val="superscript"/>
          <w:rtl/>
        </w:rPr>
        <w:t>(</w:t>
      </w:r>
      <w:r w:rsidRPr="00DA75F8">
        <w:rPr>
          <w:rStyle w:val="FootnoteReference"/>
          <w:rFonts w:cs="Arabic Transparent"/>
          <w:rtl/>
        </w:rPr>
        <w:footnoteReference w:id="392"/>
      </w:r>
      <w:r w:rsidRPr="00DA75F8">
        <w:rPr>
          <w:vertAlign w:val="superscript"/>
          <w:rtl/>
        </w:rPr>
        <w:t>)</w:t>
      </w:r>
      <w:r w:rsidRPr="00DA75F8">
        <w:rPr>
          <w:rFonts w:hint="cs"/>
          <w:rtl/>
        </w:rPr>
        <w:t>،</w:t>
      </w:r>
      <w:r w:rsidRPr="00DA75F8">
        <w:rPr>
          <w:rtl/>
        </w:rPr>
        <w:t xml:space="preserve"> وفي موضع آخر قال " هم قوم مسلمون خرجوا عن طاعة الإمام بغير حق"</w:t>
      </w:r>
      <w:r w:rsidRPr="00DA75F8">
        <w:rPr>
          <w:vertAlign w:val="superscript"/>
          <w:rtl/>
        </w:rPr>
        <w:t>(</w:t>
      </w:r>
      <w:r w:rsidRPr="00DA75F8">
        <w:rPr>
          <w:rStyle w:val="FootnoteReference"/>
          <w:rFonts w:cs="Arabic Transparent"/>
          <w:rtl/>
        </w:rPr>
        <w:footnoteReference w:id="393"/>
      </w:r>
      <w:r w:rsidRPr="00DA75F8">
        <w:rPr>
          <w:vertAlign w:val="superscript"/>
          <w:rtl/>
        </w:rPr>
        <w:t>)</w:t>
      </w:r>
      <w:r w:rsidRPr="00DA75F8">
        <w:rPr>
          <w:rtl/>
        </w:rPr>
        <w:t>.</w:t>
      </w:r>
    </w:p>
    <w:p w:rsidR="005F44B2" w:rsidRPr="00DA75F8" w:rsidRDefault="005F44B2" w:rsidP="00366C0E">
      <w:pPr>
        <w:pStyle w:val="a0"/>
        <w:rPr>
          <w:rtl/>
        </w:rPr>
      </w:pPr>
      <w:r w:rsidRPr="00DA75F8">
        <w:rPr>
          <w:rFonts w:hint="cs"/>
          <w:rtl/>
        </w:rPr>
        <w:t>وعرفها</w:t>
      </w:r>
      <w:r w:rsidRPr="00DA75F8">
        <w:rPr>
          <w:rtl/>
        </w:rPr>
        <w:t xml:space="preserve"> في (( كشاف القناع)) بأنها: " مصدر بغى يبغي إذا اعتدى والمراد هنا الظلمة الخارجون عن طاعة الإمام المعتدون عليه"</w:t>
      </w:r>
      <w:r w:rsidRPr="00DA75F8">
        <w:rPr>
          <w:vertAlign w:val="superscript"/>
          <w:rtl/>
        </w:rPr>
        <w:t>(</w:t>
      </w:r>
      <w:r w:rsidRPr="00DA75F8">
        <w:rPr>
          <w:rStyle w:val="FootnoteReference"/>
          <w:rFonts w:cs="Arabic Transparent"/>
          <w:rtl/>
        </w:rPr>
        <w:footnoteReference w:id="394"/>
      </w:r>
      <w:r w:rsidRPr="00DA75F8">
        <w:rPr>
          <w:vertAlign w:val="superscript"/>
          <w:rtl/>
        </w:rPr>
        <w:t>)</w:t>
      </w:r>
      <w:r w:rsidRPr="00DA75F8">
        <w:rPr>
          <w:rtl/>
        </w:rPr>
        <w:t>.</w:t>
      </w:r>
    </w:p>
    <w:p w:rsidR="005F44B2" w:rsidRPr="00DA75F8" w:rsidRDefault="005F44B2" w:rsidP="007B6769">
      <w:pPr>
        <w:pStyle w:val="a0"/>
      </w:pPr>
      <w:r w:rsidRPr="00DA75F8">
        <w:rPr>
          <w:rFonts w:hint="cs"/>
          <w:rtl/>
        </w:rPr>
        <w:t>نرى</w:t>
      </w:r>
      <w:r w:rsidRPr="00DA75F8">
        <w:rPr>
          <w:rtl/>
        </w:rPr>
        <w:t xml:space="preserve"> أن ابن عابدين يذكر البغاة في (( رد المحتار))، حيث يقول عنهم: أنهم يضرّون أنفسهم وغيرهم، ودمهم هدر، لذا إذا قتلَ العادلُ باغيا ليس </w:t>
      </w:r>
      <w:r>
        <w:rPr>
          <w:rFonts w:hint="cs"/>
          <w:rtl/>
        </w:rPr>
        <w:t>ع</w:t>
      </w:r>
      <w:r w:rsidRPr="00DA75F8">
        <w:rPr>
          <w:rFonts w:hint="cs"/>
          <w:rtl/>
        </w:rPr>
        <w:t>ل</w:t>
      </w:r>
      <w:r>
        <w:rPr>
          <w:rFonts w:hint="cs"/>
          <w:rtl/>
        </w:rPr>
        <w:t>ي</w:t>
      </w:r>
      <w:r w:rsidRPr="00DA75F8">
        <w:rPr>
          <w:rFonts w:hint="cs"/>
          <w:rtl/>
        </w:rPr>
        <w:t>ه</w:t>
      </w:r>
      <w:r w:rsidRPr="00DA75F8">
        <w:rPr>
          <w:rtl/>
        </w:rPr>
        <w:t xml:space="preserve"> قصاص، ولا دية، ولا ضمان لو أتلف ماله، ويجب للإمام دفع شرهم من الأمة ولو كان بالقتل، لدفع ضرر أعمّ</w:t>
      </w:r>
      <w:r w:rsidRPr="00DA75F8">
        <w:rPr>
          <w:vertAlign w:val="superscript"/>
          <w:rtl/>
        </w:rPr>
        <w:t>(</w:t>
      </w:r>
      <w:r w:rsidRPr="00DA75F8">
        <w:rPr>
          <w:rStyle w:val="FootnoteReference"/>
          <w:rFonts w:cs="Arabic Transparent"/>
          <w:rtl/>
        </w:rPr>
        <w:footnoteReference w:id="395"/>
      </w:r>
      <w:r w:rsidRPr="00DA75F8">
        <w:rPr>
          <w:vertAlign w:val="superscript"/>
          <w:rtl/>
        </w:rPr>
        <w:t>)</w:t>
      </w:r>
      <w:r w:rsidRPr="00DA75F8">
        <w:rPr>
          <w:rFonts w:hint="cs"/>
          <w:rtl/>
        </w:rPr>
        <w:t>،</w:t>
      </w:r>
      <w:r w:rsidRPr="00DA75F8">
        <w:rPr>
          <w:rtl/>
        </w:rPr>
        <w:t xml:space="preserve"> لأن عدد البغاة يزداد عبر الزمن ويصبحون أقوى إن لم يمنعوا، وبغير ذلك يعم ضررهم على الأمة، وإن قتل البغاة سياسة</w:t>
      </w:r>
      <w:r w:rsidRPr="00DA75F8">
        <w:rPr>
          <w:vertAlign w:val="superscript"/>
          <w:rtl/>
        </w:rPr>
        <w:t>(</w:t>
      </w:r>
      <w:r w:rsidRPr="00DA75F8">
        <w:rPr>
          <w:rStyle w:val="FootnoteReference"/>
          <w:rFonts w:cs="Arabic Transparent"/>
          <w:rtl/>
        </w:rPr>
        <w:footnoteReference w:id="396"/>
      </w:r>
      <w:r w:rsidRPr="00DA75F8">
        <w:rPr>
          <w:vertAlign w:val="superscript"/>
          <w:rtl/>
        </w:rPr>
        <w:t>)</w:t>
      </w:r>
      <w:r w:rsidRPr="00DA75F8">
        <w:rPr>
          <w:rFonts w:hint="cs"/>
          <w:rtl/>
        </w:rPr>
        <w:t>،</w:t>
      </w:r>
      <w:r w:rsidRPr="00DA75F8">
        <w:rPr>
          <w:rtl/>
        </w:rPr>
        <w:t xml:space="preserve"> وقد قال عن قتل البغاة أنهم يُقتلون لدفع ضررهم وشرهم عن العباد</w:t>
      </w:r>
      <w:r w:rsidRPr="00DA75F8">
        <w:rPr>
          <w:vertAlign w:val="superscript"/>
          <w:rtl/>
        </w:rPr>
        <w:t>(</w:t>
      </w:r>
      <w:r w:rsidRPr="00DA75F8">
        <w:rPr>
          <w:rStyle w:val="FootnoteReference"/>
          <w:rFonts w:cs="Arabic Transparent"/>
          <w:rtl/>
        </w:rPr>
        <w:footnoteReference w:id="39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شبّه</w:t>
      </w:r>
      <w:r w:rsidRPr="00DA75F8">
        <w:rPr>
          <w:rtl/>
        </w:rPr>
        <w:t xml:space="preserve"> ابن عابدين البغاة باللصوص وقطاع الطريق بحيث أن كل هذه الفرق من أهل الفتنة</w:t>
      </w:r>
      <w:r w:rsidRPr="00DA75F8">
        <w:rPr>
          <w:vertAlign w:val="superscript"/>
          <w:rtl/>
        </w:rPr>
        <w:t>(</w:t>
      </w:r>
      <w:r w:rsidRPr="00DA75F8">
        <w:rPr>
          <w:rStyle w:val="FootnoteReference"/>
          <w:rFonts w:cs="Arabic Transparent"/>
          <w:rtl/>
        </w:rPr>
        <w:footnoteReference w:id="398"/>
      </w:r>
      <w:r w:rsidRPr="00DA75F8">
        <w:rPr>
          <w:vertAlign w:val="superscript"/>
          <w:rtl/>
        </w:rPr>
        <w:t>)</w:t>
      </w:r>
      <w:r w:rsidRPr="00DA75F8">
        <w:rPr>
          <w:rFonts w:hint="cs"/>
          <w:rtl/>
        </w:rPr>
        <w:t>،</w:t>
      </w:r>
      <w:r w:rsidRPr="00DA75F8">
        <w:rPr>
          <w:rtl/>
        </w:rPr>
        <w:t xml:space="preserve"> وعرفنا سابقًا أن قاطع الطريق واللص يُقتلان سياسة لدفع ضررهم عن الأمة، والبغاة من أهل الفتنة، والفتنة من أعظم وأعمّ المضرات على الأمة، لأنها تسبب تفرق</w:t>
      </w:r>
      <w:r w:rsidRPr="00DA75F8">
        <w:rPr>
          <w:rFonts w:hint="cs"/>
          <w:rtl/>
        </w:rPr>
        <w:t>ة</w:t>
      </w:r>
      <w:r w:rsidRPr="00DA75F8">
        <w:rPr>
          <w:rtl/>
        </w:rPr>
        <w:t xml:space="preserve"> المسلمين، والسياسة الش</w:t>
      </w:r>
      <w:r w:rsidRPr="00DA75F8">
        <w:rPr>
          <w:rFonts w:hint="cs"/>
          <w:rtl/>
        </w:rPr>
        <w:t>رعية</w:t>
      </w:r>
      <w:r w:rsidRPr="00DA75F8">
        <w:rPr>
          <w:rtl/>
        </w:rPr>
        <w:t xml:space="preserve"> تُعنى بمصلحة الأمة، والتفرقة ليست من المصلحة، لذا يجب أن تتخلّص منها بأي وجه كان، إذن يجب منع بغي البغاة ولو كان بالقتل، وهذا القتل يدخل في باب السياسة الشرعية.</w:t>
      </w:r>
    </w:p>
    <w:p w:rsidR="005F44B2" w:rsidRPr="00DA75F8" w:rsidRDefault="005F44B2" w:rsidP="005E6A96">
      <w:pPr>
        <w:pStyle w:val="a3"/>
      </w:pPr>
      <w:bookmarkStart w:id="37" w:name="_Toc447092579"/>
      <w:r w:rsidRPr="00DA75F8">
        <w:rPr>
          <w:rFonts w:hint="cs"/>
          <w:rtl/>
        </w:rPr>
        <w:t>المطلب</w:t>
      </w:r>
      <w:r w:rsidRPr="00DA75F8">
        <w:rPr>
          <w:rtl/>
        </w:rPr>
        <w:t xml:space="preserve"> التاسع: قتل الزنديق سياسة</w:t>
      </w:r>
      <w:bookmarkEnd w:id="37"/>
    </w:p>
    <w:p w:rsidR="005F44B2" w:rsidRPr="00DA75F8" w:rsidRDefault="005F44B2" w:rsidP="007B6769">
      <w:pPr>
        <w:pStyle w:val="a0"/>
        <w:rPr>
          <w:rtl/>
        </w:rPr>
      </w:pPr>
      <w:r w:rsidRPr="00DA75F8">
        <w:rPr>
          <w:rFonts w:hint="cs"/>
          <w:rtl/>
        </w:rPr>
        <w:t>الزنديق</w:t>
      </w:r>
      <w:r w:rsidRPr="00DA75F8">
        <w:rPr>
          <w:rtl/>
        </w:rPr>
        <w:t xml:space="preserve"> هو من الفارسية ومعرّب، والجمع </w:t>
      </w:r>
      <w:r w:rsidRPr="00DA75F8">
        <w:rPr>
          <w:rFonts w:hint="cs"/>
          <w:rtl/>
        </w:rPr>
        <w:t>منه</w:t>
      </w:r>
      <w:r w:rsidRPr="00DA75F8">
        <w:rPr>
          <w:rtl/>
        </w:rPr>
        <w:t xml:space="preserve"> الزنادقة، والاسم الز</w:t>
      </w:r>
      <w:r w:rsidRPr="00DA75F8">
        <w:rPr>
          <w:rFonts w:hint="cs"/>
          <w:rtl/>
        </w:rPr>
        <w:t>ندقة،</w:t>
      </w:r>
      <w:r w:rsidRPr="00DA75F8">
        <w:rPr>
          <w:rtl/>
        </w:rPr>
        <w:t xml:space="preserve"> يُقال ببقاء الدهر، وزندقته أنه لايؤمن بالآخرة ووحدانية الخالق</w:t>
      </w:r>
      <w:r w:rsidRPr="00DA75F8">
        <w:rPr>
          <w:vertAlign w:val="superscript"/>
          <w:rtl/>
        </w:rPr>
        <w:t>(</w:t>
      </w:r>
      <w:r w:rsidRPr="00DA75F8">
        <w:rPr>
          <w:rStyle w:val="FootnoteReference"/>
          <w:rFonts w:cs="Arabic Transparent"/>
          <w:rtl/>
        </w:rPr>
        <w:footnoteReference w:id="399"/>
      </w:r>
      <w:r w:rsidRPr="00DA75F8">
        <w:rPr>
          <w:vertAlign w:val="superscript"/>
          <w:rtl/>
        </w:rPr>
        <w:t>)</w:t>
      </w:r>
      <w:r w:rsidRPr="00DA75F8">
        <w:rPr>
          <w:rtl/>
        </w:rPr>
        <w:t>.</w:t>
      </w:r>
    </w:p>
    <w:p w:rsidR="005F44B2" w:rsidRPr="00DA75F8" w:rsidRDefault="005F44B2" w:rsidP="00D86BB9">
      <w:pPr>
        <w:pStyle w:val="a0"/>
        <w:rPr>
          <w:rtl/>
        </w:rPr>
      </w:pPr>
      <w:r w:rsidRPr="00DA75F8">
        <w:rPr>
          <w:rFonts w:hint="cs"/>
          <w:rtl/>
        </w:rPr>
        <w:t>وعرّفه</w:t>
      </w:r>
      <w:r w:rsidRPr="00DA75F8">
        <w:rPr>
          <w:rtl/>
        </w:rPr>
        <w:t xml:space="preserve"> ابن عابدين اصطلاحا، حيث قال " من لا يتدين بدين"</w:t>
      </w:r>
      <w:r w:rsidRPr="00DA75F8">
        <w:rPr>
          <w:vertAlign w:val="superscript"/>
          <w:rtl/>
        </w:rPr>
        <w:t>(</w:t>
      </w:r>
      <w:r w:rsidRPr="00DA75F8">
        <w:rPr>
          <w:rStyle w:val="FootnoteReference"/>
          <w:rFonts w:cs="Arabic Transparent"/>
          <w:rtl/>
        </w:rPr>
        <w:footnoteReference w:id="400"/>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عرّفه</w:t>
      </w:r>
      <w:r w:rsidRPr="00DA75F8">
        <w:rPr>
          <w:rtl/>
        </w:rPr>
        <w:t xml:space="preserve"> ابن تيمية: " وهو أن يظهر الإسلام ويبطن غيره سواء أبطن دينا من الأديان"</w:t>
      </w:r>
      <w:r w:rsidRPr="00DA75F8">
        <w:rPr>
          <w:vertAlign w:val="superscript"/>
          <w:rtl/>
        </w:rPr>
        <w:t>(</w:t>
      </w:r>
      <w:r w:rsidRPr="00DA75F8">
        <w:rPr>
          <w:rStyle w:val="FootnoteReference"/>
          <w:rFonts w:cs="Arabic Transparent"/>
          <w:rtl/>
        </w:rPr>
        <w:footnoteReference w:id="40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وعرّفه</w:t>
      </w:r>
      <w:r w:rsidRPr="00DA75F8">
        <w:rPr>
          <w:rtl/>
        </w:rPr>
        <w:t xml:space="preserve"> ابن قدامة بأنه: " هو الذي يظهر الإسلام ويستسر بالكف"</w:t>
      </w:r>
      <w:r w:rsidRPr="00DA75F8">
        <w:rPr>
          <w:vertAlign w:val="superscript"/>
          <w:rtl/>
        </w:rPr>
        <w:t>(</w:t>
      </w:r>
      <w:r w:rsidRPr="00DA75F8">
        <w:rPr>
          <w:rStyle w:val="FootnoteReference"/>
          <w:rFonts w:cs="Arabic Transparent"/>
          <w:rtl/>
        </w:rPr>
        <w:footnoteReference w:id="402"/>
      </w:r>
      <w:r w:rsidRPr="00DA75F8">
        <w:rPr>
          <w:vertAlign w:val="superscript"/>
          <w:rtl/>
        </w:rPr>
        <w:t>)</w:t>
      </w:r>
      <w:r w:rsidRPr="00DA75F8">
        <w:rPr>
          <w:rtl/>
        </w:rPr>
        <w:t>.</w:t>
      </w:r>
    </w:p>
    <w:p w:rsidR="005F44B2" w:rsidRPr="00DA75F8" w:rsidRDefault="005F44B2" w:rsidP="008B2341">
      <w:pPr>
        <w:pStyle w:val="a0"/>
        <w:rPr>
          <w:rtl/>
        </w:rPr>
      </w:pPr>
      <w:r w:rsidRPr="00DA75F8">
        <w:rPr>
          <w:rFonts w:hint="cs"/>
          <w:rtl/>
        </w:rPr>
        <w:t>لابد</w:t>
      </w:r>
      <w:r w:rsidRPr="00DA75F8">
        <w:rPr>
          <w:rtl/>
        </w:rPr>
        <w:t xml:space="preserve"> للباحث أن يبيّن هنا الزنديق الذي يدخل في موضوعنا، والزنديق قد يكون مسلما وقد يكون كافرا من الأصل، وتُقسّم الزندقة إلى ثلاثة أقسام وسيبيّن الباحث أي منها يدخل</w:t>
      </w:r>
      <w:r>
        <w:rPr>
          <w:rtl/>
        </w:rPr>
        <w:t xml:space="preserve">  في</w:t>
      </w:r>
      <w:r w:rsidRPr="00DA75F8">
        <w:rPr>
          <w:rtl/>
        </w:rPr>
        <w:t xml:space="preserve"> موضوعنا: فالزنديق إما أن يكون زنديقا من الأصل على الشرك، أو يكون ذميا في البداية فيتزندق بعد ذلك، أو يكون مسلما ف</w:t>
      </w:r>
      <w:r w:rsidRPr="00DA75F8">
        <w:rPr>
          <w:rFonts w:hint="cs"/>
          <w:rtl/>
        </w:rPr>
        <w:t>يتزندق</w:t>
      </w:r>
      <w:r w:rsidRPr="00DA75F8">
        <w:rPr>
          <w:rtl/>
        </w:rPr>
        <w:t xml:space="preserve"> بعده، والقسم الأخير ليس من موضوعنا لأن المسلم بزندقته يصبح مرتدا، ويقع عليه حكم المرتد</w:t>
      </w:r>
      <w:r w:rsidRPr="00DA75F8">
        <w:rPr>
          <w:vertAlign w:val="superscript"/>
          <w:rtl/>
        </w:rPr>
        <w:t>(</w:t>
      </w:r>
      <w:r w:rsidRPr="00DA75F8">
        <w:rPr>
          <w:rStyle w:val="FootnoteReference"/>
          <w:rFonts w:cs="Arabic Transparent"/>
          <w:rtl/>
        </w:rPr>
        <w:footnoteReference w:id="403"/>
      </w:r>
      <w:r w:rsidRPr="00DA75F8">
        <w:rPr>
          <w:vertAlign w:val="superscript"/>
          <w:rtl/>
        </w:rPr>
        <w:t>)</w:t>
      </w:r>
      <w:r w:rsidRPr="00DA75F8">
        <w:rPr>
          <w:rFonts w:hint="cs"/>
          <w:rtl/>
        </w:rPr>
        <w:t>،</w:t>
      </w:r>
      <w:r w:rsidRPr="00DA75F8">
        <w:rPr>
          <w:rtl/>
        </w:rPr>
        <w:t xml:space="preserve"> والزنديق لا تقبل توبته إذا أخذ قبل توبته،ولكن </w:t>
      </w:r>
      <w:r w:rsidRPr="00DA75F8">
        <w:rPr>
          <w:rFonts w:hint="cs"/>
          <w:rtl/>
        </w:rPr>
        <w:t>لو</w:t>
      </w:r>
      <w:r w:rsidRPr="00DA75F8">
        <w:rPr>
          <w:rtl/>
        </w:rPr>
        <w:t xml:space="preserve"> تاب قبل أخذه تقبل توبته</w:t>
      </w:r>
      <w:r w:rsidRPr="00DA75F8">
        <w:rPr>
          <w:vertAlign w:val="superscript"/>
          <w:rtl/>
        </w:rPr>
        <w:t>(</w:t>
      </w:r>
      <w:r w:rsidRPr="00DA75F8">
        <w:rPr>
          <w:rStyle w:val="FootnoteReference"/>
          <w:rFonts w:cs="Arabic Transparent"/>
          <w:rtl/>
        </w:rPr>
        <w:footnoteReference w:id="40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ذكر</w:t>
      </w:r>
      <w:r w:rsidRPr="00DA75F8">
        <w:rPr>
          <w:rtl/>
        </w:rPr>
        <w:t xml:space="preserve"> ابن عابدين قتل الزنديق مع قتل السارق والخناق وقطاع الطريق والساحر، واللوطي</w:t>
      </w:r>
      <w:r w:rsidRPr="00DA75F8">
        <w:rPr>
          <w:vertAlign w:val="superscript"/>
          <w:rtl/>
        </w:rPr>
        <w:t>(</w:t>
      </w:r>
      <w:r w:rsidRPr="00DA75F8">
        <w:rPr>
          <w:rStyle w:val="FootnoteReference"/>
          <w:rFonts w:cs="Arabic Transparent"/>
          <w:rtl/>
        </w:rPr>
        <w:footnoteReference w:id="405"/>
      </w:r>
      <w:r w:rsidRPr="00DA75F8">
        <w:rPr>
          <w:vertAlign w:val="superscript"/>
          <w:rtl/>
        </w:rPr>
        <w:t>)</w:t>
      </w:r>
      <w:r w:rsidRPr="00DA75F8">
        <w:rPr>
          <w:rFonts w:hint="cs"/>
          <w:rtl/>
        </w:rPr>
        <w:t>،</w:t>
      </w:r>
      <w:r w:rsidRPr="00DA75F8">
        <w:rPr>
          <w:rtl/>
        </w:rPr>
        <w:t xml:space="preserve"> أيضًا شبّه ابن عابدين قتل المرتد الذي تكرّرت ردته بقتل الزنديق</w:t>
      </w:r>
      <w:r w:rsidRPr="00DA75F8">
        <w:rPr>
          <w:vertAlign w:val="superscript"/>
          <w:rtl/>
        </w:rPr>
        <w:t>(</w:t>
      </w:r>
      <w:r w:rsidRPr="00DA75F8">
        <w:rPr>
          <w:rStyle w:val="FootnoteReference"/>
          <w:rFonts w:cs="Arabic Transparent"/>
          <w:rtl/>
        </w:rPr>
        <w:footnoteReference w:id="406"/>
      </w:r>
      <w:r w:rsidRPr="00DA75F8">
        <w:rPr>
          <w:vertAlign w:val="superscript"/>
          <w:rtl/>
        </w:rPr>
        <w:t>)</w:t>
      </w:r>
      <w:r w:rsidRPr="00DA75F8">
        <w:rPr>
          <w:rFonts w:hint="cs"/>
          <w:rtl/>
        </w:rPr>
        <w:t>،</w:t>
      </w:r>
      <w:r w:rsidRPr="00DA75F8">
        <w:rPr>
          <w:rtl/>
        </w:rPr>
        <w:t xml:space="preserve"> ونفهم من ذكره مع هؤلاء وتشبيهه بهم أن حكم قتل الزنديق مثل حكم قتل هؤلاء</w:t>
      </w:r>
      <w:r>
        <w:rPr>
          <w:rFonts w:hint="cs"/>
          <w:rtl/>
        </w:rPr>
        <w:t>،</w:t>
      </w:r>
      <w:r w:rsidRPr="00DA75F8">
        <w:rPr>
          <w:rtl/>
        </w:rPr>
        <w:t xml:space="preserve"> وقد عرفنا من قبل أن قتلهم سياسة، وهم كما عرفنا يُقتلون لتكرّر جريمتهم ولدفع ضررهم عن العباد، إذن الزنديق يقتل سياسة عند تكرّر جريمته وبسبب ردع شرّه وضرره عن العباد، كما أفاده ابن عابدين حيث قال: " وأما الزنديق والساحر، فإنما قتلا وإن تابا لا لخلوص الردة، وإنما لدفع شرهما، وضرر</w:t>
      </w:r>
      <w:r w:rsidRPr="00DA75F8">
        <w:rPr>
          <w:rFonts w:hint="cs"/>
          <w:rtl/>
        </w:rPr>
        <w:t>هما</w:t>
      </w:r>
      <w:r w:rsidRPr="00DA75F8">
        <w:rPr>
          <w:rtl/>
        </w:rPr>
        <w:t xml:space="preserve"> عن العباد"</w:t>
      </w:r>
      <w:r w:rsidRPr="00DA75F8">
        <w:rPr>
          <w:vertAlign w:val="superscript"/>
          <w:rtl/>
        </w:rPr>
        <w:t>(</w:t>
      </w:r>
      <w:r w:rsidRPr="00DA75F8">
        <w:rPr>
          <w:rStyle w:val="FootnoteReference"/>
          <w:rFonts w:cs="Arabic Transparent"/>
          <w:rtl/>
        </w:rPr>
        <w:footnoteReference w:id="407"/>
      </w:r>
      <w:r w:rsidRPr="00DA75F8">
        <w:rPr>
          <w:vertAlign w:val="superscript"/>
          <w:rtl/>
        </w:rPr>
        <w:t>)</w:t>
      </w:r>
      <w:r w:rsidRPr="00DA75F8">
        <w:rPr>
          <w:rFonts w:hint="cs"/>
          <w:rtl/>
        </w:rPr>
        <w:t>،</w:t>
      </w:r>
      <w:r w:rsidRPr="00DA75F8">
        <w:rPr>
          <w:rtl/>
        </w:rPr>
        <w:t xml:space="preserve"> ونبّه ابن عابدين إلى أنّ ضرر الزنديق الداعي أشد، حيث قال: " وضرر الزنديق الداعي إلى الإلحاد أشد؛ لأن ضرره في الدين، فإنه يضل ضَعَفة اليقين بإلحاده، وإظهاره لهم سمة المسلمين، فلهذا قتلوا كقطاع الطريق، بل هؤلاء أضر"</w:t>
      </w:r>
      <w:r w:rsidRPr="00DA75F8">
        <w:rPr>
          <w:vertAlign w:val="superscript"/>
          <w:rtl/>
        </w:rPr>
        <w:t>(</w:t>
      </w:r>
      <w:r w:rsidRPr="00DA75F8">
        <w:rPr>
          <w:rStyle w:val="FootnoteReference"/>
          <w:rFonts w:cs="Arabic Transparent"/>
          <w:rtl/>
        </w:rPr>
        <w:footnoteReference w:id="408"/>
      </w:r>
      <w:r w:rsidRPr="00DA75F8">
        <w:rPr>
          <w:vertAlign w:val="superscript"/>
          <w:rtl/>
        </w:rPr>
        <w:t>)</w:t>
      </w:r>
      <w:r w:rsidRPr="00DA75F8">
        <w:rPr>
          <w:rtl/>
        </w:rPr>
        <w:t>.</w:t>
      </w:r>
    </w:p>
    <w:p w:rsidR="005F44B2" w:rsidRDefault="005F44B2" w:rsidP="007B6769">
      <w:pPr>
        <w:pStyle w:val="a0"/>
        <w:rPr>
          <w:rtl/>
        </w:rPr>
      </w:pPr>
      <w:r w:rsidRPr="00DA75F8">
        <w:rPr>
          <w:rFonts w:hint="cs"/>
          <w:rtl/>
        </w:rPr>
        <w:t>وقد</w:t>
      </w:r>
      <w:r w:rsidRPr="00DA75F8">
        <w:rPr>
          <w:rtl/>
        </w:rPr>
        <w:t xml:space="preserve"> ثبت لنا عن الزنديق أنه يقتل سياسة لدفع شرّه وضرره عن العباد.</w:t>
      </w:r>
    </w:p>
    <w:p w:rsidR="005F44B2" w:rsidRPr="00DA75F8" w:rsidRDefault="005F44B2" w:rsidP="007B6769">
      <w:pPr>
        <w:pStyle w:val="a0"/>
        <w:rPr>
          <w:rtl/>
        </w:rPr>
      </w:pPr>
      <w:r>
        <w:rPr>
          <w:rFonts w:hint="cs"/>
          <w:rtl/>
        </w:rPr>
        <w:t>ويجب</w:t>
      </w:r>
      <w:r>
        <w:rPr>
          <w:rtl/>
        </w:rPr>
        <w:t xml:space="preserve"> أن نأكد على نقطة وهي أنه لا يلجأ للقتل الا آخر شيئ، فإنه تمّ الردع بغير القتل وجي الأخذ به.</w:t>
      </w:r>
    </w:p>
    <w:p w:rsidR="005F44B2" w:rsidRPr="00DA75F8" w:rsidRDefault="005F44B2" w:rsidP="005E6A96">
      <w:pPr>
        <w:pStyle w:val="a3"/>
        <w:rPr>
          <w:rtl/>
        </w:rPr>
      </w:pPr>
      <w:bookmarkStart w:id="38" w:name="_Toc447092580"/>
      <w:r w:rsidRPr="00DA75F8">
        <w:rPr>
          <w:rFonts w:hint="cs"/>
          <w:rtl/>
        </w:rPr>
        <w:t>المطلب</w:t>
      </w:r>
      <w:r w:rsidRPr="00DA75F8">
        <w:rPr>
          <w:rtl/>
        </w:rPr>
        <w:t xml:space="preserve"> العاشر: قتل الأعونة والسعاة عند الحاكم سياسة</w:t>
      </w:r>
      <w:bookmarkEnd w:id="38"/>
    </w:p>
    <w:p w:rsidR="005F44B2" w:rsidRPr="00DA75F8" w:rsidRDefault="005F44B2" w:rsidP="00292AEE">
      <w:pPr>
        <w:pStyle w:val="a0"/>
        <w:rPr>
          <w:rtl/>
        </w:rPr>
      </w:pPr>
      <w:r w:rsidRPr="00DA75F8">
        <w:rPr>
          <w:rFonts w:hint="cs"/>
          <w:rtl/>
        </w:rPr>
        <w:t>بيّن</w:t>
      </w:r>
      <w:r w:rsidRPr="00DA75F8">
        <w:rPr>
          <w:rtl/>
        </w:rPr>
        <w:t xml:space="preserve"> ابن عابدين الأعونة والسعاة في كتابه ((رد المختار))، حيث قال: " والأعونة والسعاة عطفُ تفسيرٍ أو عطف خاص على عام، فيشمل كل من كان من أهل الفساد كالساحر وقاطع الطريق واللص واللوطي والخناق ونحوهم ممن عم ضرره ولا ينزجر بغير القتل"</w:t>
      </w:r>
      <w:r w:rsidRPr="00DA75F8">
        <w:rPr>
          <w:vertAlign w:val="superscript"/>
          <w:rtl/>
        </w:rPr>
        <w:t>(</w:t>
      </w:r>
      <w:r w:rsidRPr="00DA75F8">
        <w:rPr>
          <w:rStyle w:val="FootnoteReference"/>
          <w:rFonts w:cs="Arabic Transparent"/>
          <w:rtl/>
        </w:rPr>
        <w:footnoteReference w:id="409"/>
      </w:r>
      <w:r w:rsidRPr="00DA75F8">
        <w:rPr>
          <w:vertAlign w:val="superscript"/>
          <w:rtl/>
        </w:rPr>
        <w:t>)</w:t>
      </w:r>
      <w:r w:rsidRPr="00DA75F8">
        <w:rPr>
          <w:rtl/>
        </w:rPr>
        <w:t xml:space="preserve"> وقال عن الأعونة: " كأنه جمع معين أو عوان بمعناه، والمراد به الساعي إلى الحكام بالإفساد، عطف السعاة عليه عطف تفسير"</w:t>
      </w:r>
      <w:r w:rsidRPr="00DA75F8">
        <w:rPr>
          <w:vertAlign w:val="superscript"/>
          <w:rtl/>
        </w:rPr>
        <w:t>(</w:t>
      </w:r>
      <w:r w:rsidRPr="00DA75F8">
        <w:rPr>
          <w:rStyle w:val="FootnoteReference"/>
          <w:rFonts w:cs="Arabic Transparent"/>
          <w:rtl/>
        </w:rPr>
        <w:footnoteReference w:id="410"/>
      </w:r>
      <w:r w:rsidRPr="00DA75F8">
        <w:rPr>
          <w:vertAlign w:val="superscript"/>
          <w:rtl/>
        </w:rPr>
        <w:t>)</w:t>
      </w:r>
      <w:r w:rsidRPr="00DA75F8">
        <w:rPr>
          <w:rtl/>
        </w:rPr>
        <w:t>.</w:t>
      </w:r>
      <w:r>
        <w:rPr>
          <w:rtl/>
        </w:rPr>
        <w:t xml:space="preserve"> والأعونة.</w:t>
      </w:r>
    </w:p>
    <w:p w:rsidR="005F44B2" w:rsidRPr="00DA75F8" w:rsidRDefault="005F44B2" w:rsidP="0046335D">
      <w:pPr>
        <w:pStyle w:val="a0"/>
        <w:rPr>
          <w:rtl/>
        </w:rPr>
      </w:pPr>
      <w:r w:rsidRPr="00DA75F8">
        <w:rPr>
          <w:rFonts w:hint="cs"/>
          <w:rtl/>
        </w:rPr>
        <w:t>فإذا</w:t>
      </w:r>
      <w:r w:rsidRPr="00DA75F8">
        <w:rPr>
          <w:rtl/>
        </w:rPr>
        <w:t xml:space="preserve"> تبيّن خيانة وزير أو نائب أو موظف للدولة لمسؤ</w:t>
      </w:r>
      <w:r>
        <w:rPr>
          <w:rFonts w:hint="cs"/>
          <w:rtl/>
        </w:rPr>
        <w:t>وليته</w:t>
      </w:r>
      <w:r>
        <w:rPr>
          <w:rtl/>
        </w:rPr>
        <w:t xml:space="preserve"> الملقاة على عاتقه في عمله</w:t>
      </w:r>
      <w:r w:rsidRPr="00DA75F8">
        <w:rPr>
          <w:rtl/>
        </w:rPr>
        <w:t xml:space="preserve"> وكان لهذه الخيانة أو الفساد أثر كبير على شريحة من المجتمع، فللقاضيأن بقتله وذلك ضمن الضوابط الشرعية، بحيث إذا تم ردع الجاني أو الجناة بأقل من القتل فلا يحق للقاضي أن يحكم بالقتل.</w:t>
      </w:r>
    </w:p>
    <w:p w:rsidR="005F44B2" w:rsidRPr="00DA75F8" w:rsidRDefault="005F44B2" w:rsidP="007B6769">
      <w:pPr>
        <w:pStyle w:val="a0"/>
        <w:rPr>
          <w:rtl/>
        </w:rPr>
      </w:pPr>
      <w:r w:rsidRPr="00DA75F8">
        <w:rPr>
          <w:rFonts w:hint="cs"/>
          <w:rtl/>
        </w:rPr>
        <w:t>وعرفنا</w:t>
      </w:r>
      <w:r w:rsidRPr="00DA75F8">
        <w:rPr>
          <w:rtl/>
        </w:rPr>
        <w:t xml:space="preserve"> من قبل أن هؤلاء - يعني الساحر واللص وقاطع الطريق والخناقواللوطي -يُقتلون سياسة إذا توفّرت شروط قتلهم، وأيضًا يحل قتل الأعونة والسعاة سياسة في أيام الفتنة ويُثاب قاتلهم، وسبب قتلهم هو سعيهم في الأرض فسادا، ولدفع شرهم، وضررهم عن العباد</w:t>
      </w:r>
      <w:r w:rsidRPr="00DA75F8">
        <w:rPr>
          <w:vertAlign w:val="superscript"/>
          <w:rtl/>
        </w:rPr>
        <w:t>(</w:t>
      </w:r>
      <w:r w:rsidRPr="00DA75F8">
        <w:rPr>
          <w:rStyle w:val="FootnoteReference"/>
          <w:rFonts w:cs="Arabic Transparent"/>
          <w:rtl/>
        </w:rPr>
        <w:footnoteReference w:id="41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ثبت لنا أنه يباح قتل الأعونة والسعاة في أيام الفتنة، لأنهم ينشرون فسادهم في الأرض بين الناس، وهذا يُضرّ بالعباد، ولمنع ضررهم عن العباد يحل قتلهم، ومع قتلهم عرفنا أيضا من قبل أنه يثاب قاتلهم.</w:t>
      </w:r>
    </w:p>
    <w:p w:rsidR="005F44B2" w:rsidRDefault="005F44B2" w:rsidP="007B6769">
      <w:pPr>
        <w:pStyle w:val="a0"/>
        <w:rPr>
          <w:rtl/>
        </w:rPr>
      </w:pPr>
      <w:r w:rsidRPr="00DA75F8">
        <w:rPr>
          <w:rFonts w:hint="cs"/>
          <w:rtl/>
        </w:rPr>
        <w:t>وقتل</w:t>
      </w:r>
      <w:r w:rsidRPr="00DA75F8">
        <w:rPr>
          <w:rtl/>
        </w:rPr>
        <w:t xml:space="preserve"> السعاة والأعونة من السياسة الشرعية لأن الهدف من قتلهم هو منع ضررهم عن العباد، وهذا قصد السياسة الشرعية وهو مصل</w:t>
      </w:r>
      <w:r w:rsidRPr="00DA75F8">
        <w:rPr>
          <w:rFonts w:hint="cs"/>
          <w:rtl/>
        </w:rPr>
        <w:t>حة</w:t>
      </w:r>
      <w:r w:rsidRPr="00DA75F8">
        <w:rPr>
          <w:rtl/>
        </w:rPr>
        <w:t xml:space="preserve"> الأمة، إذن يجوز قتل السعاة والأعونة سياسة في أيام الفتنة.</w:t>
      </w:r>
    </w:p>
    <w:p w:rsidR="005F44B2" w:rsidRPr="00DA75F8" w:rsidRDefault="005F44B2" w:rsidP="007B6769">
      <w:pPr>
        <w:pStyle w:val="a0"/>
        <w:rPr>
          <w:rtl/>
        </w:rPr>
      </w:pPr>
      <w:r>
        <w:rPr>
          <w:rFonts w:hint="cs"/>
          <w:rtl/>
        </w:rPr>
        <w:t>ومع</w:t>
      </w:r>
      <w:r>
        <w:rPr>
          <w:rtl/>
        </w:rPr>
        <w:t xml:space="preserve">  ذلك أركز على فكرة أن القتل آخر العلاج وليس أوله كل المشكلة، كما أقول إذا قتل شخص عقوبة سياسة سيكون هذا السلوك له صداه في المجتمع فيردع من تسوّل له نفسه في الضرر والإيذاء غيره.</w:t>
      </w:r>
    </w:p>
    <w:p w:rsidR="005F44B2" w:rsidRPr="00DA75F8" w:rsidRDefault="005F44B2" w:rsidP="005E6A96">
      <w:pPr>
        <w:bidi w:val="0"/>
        <w:spacing w:line="360" w:lineRule="auto"/>
        <w:rPr>
          <w:sz w:val="28"/>
          <w:szCs w:val="28"/>
          <w:rtl/>
        </w:rPr>
      </w:pPr>
      <w:r w:rsidRPr="00DA75F8">
        <w:rPr>
          <w:rtl/>
        </w:rPr>
        <w:br w:type="page"/>
      </w:r>
    </w:p>
    <w:p w:rsidR="005F44B2" w:rsidRPr="00DA75F8" w:rsidRDefault="005F44B2" w:rsidP="005E6A96">
      <w:pPr>
        <w:pStyle w:val="a2"/>
        <w:rPr>
          <w:rtl/>
        </w:rPr>
      </w:pPr>
      <w:bookmarkStart w:id="39" w:name="_Toc447092581"/>
      <w:r w:rsidRPr="00DA75F8">
        <w:rPr>
          <w:rFonts w:hint="cs"/>
          <w:rtl/>
        </w:rPr>
        <w:t>المبحث</w:t>
      </w:r>
      <w:r w:rsidRPr="00DA75F8">
        <w:rPr>
          <w:rtl/>
        </w:rPr>
        <w:t xml:space="preserve"> الثاني: تطبيقات السياسة الشرعية في مجالات مختلفة عند ابن عابدين</w:t>
      </w:r>
      <w:bookmarkEnd w:id="39"/>
    </w:p>
    <w:p w:rsidR="005F44B2" w:rsidRPr="00DA75F8" w:rsidRDefault="005F44B2" w:rsidP="007B6769">
      <w:pPr>
        <w:pStyle w:val="a0"/>
        <w:rPr>
          <w:rtl/>
        </w:rPr>
      </w:pPr>
      <w:r w:rsidRPr="00DA75F8">
        <w:rPr>
          <w:rFonts w:hint="cs"/>
          <w:rtl/>
        </w:rPr>
        <w:t>سيقوم</w:t>
      </w:r>
      <w:r w:rsidRPr="00DA75F8">
        <w:rPr>
          <w:rtl/>
        </w:rPr>
        <w:t xml:space="preserve"> الباحث في هذا المبحث بإبراز بعض التطبيقات السياسة الشرعية في مجالات مختلفة عند ابن عابدين، حيث سأقوم بذكر أمثلة على المواضيع المظروحة، وقد نص ابن عابدين في بعض الأمثلة على أنها من السياسة الشرعية</w:t>
      </w:r>
    </w:p>
    <w:p w:rsidR="005F44B2" w:rsidRPr="00DA75F8" w:rsidRDefault="005F44B2" w:rsidP="005E6A96">
      <w:pPr>
        <w:pStyle w:val="a3"/>
        <w:rPr>
          <w:rtl/>
        </w:rPr>
      </w:pPr>
      <w:bookmarkStart w:id="40" w:name="_Toc447092582"/>
      <w:r w:rsidRPr="00DA75F8">
        <w:rPr>
          <w:rFonts w:hint="cs"/>
          <w:rtl/>
        </w:rPr>
        <w:t>المطلب</w:t>
      </w:r>
      <w:r w:rsidRPr="00DA75F8">
        <w:rPr>
          <w:rtl/>
        </w:rPr>
        <w:t xml:space="preserve"> الأول: أخذ الأجرة على الطاعات</w:t>
      </w:r>
      <w:bookmarkEnd w:id="40"/>
    </w:p>
    <w:p w:rsidR="005F44B2" w:rsidRPr="00DA75F8" w:rsidRDefault="005F44B2" w:rsidP="00E07C3A">
      <w:pPr>
        <w:pStyle w:val="a0"/>
        <w:rPr>
          <w:rtl/>
        </w:rPr>
      </w:pPr>
      <w:r w:rsidRPr="00DA75F8">
        <w:rPr>
          <w:rFonts w:hint="cs"/>
          <w:rtl/>
        </w:rPr>
        <w:t>الطاعات</w:t>
      </w:r>
      <w:r w:rsidRPr="00DA75F8">
        <w:rPr>
          <w:rtl/>
        </w:rPr>
        <w:t xml:space="preserve"> هي الأذان، والإمامة، والإقامة، وتعليم القرآن والفقه، ونحو ذل</w:t>
      </w:r>
      <w:r w:rsidRPr="00DA75F8">
        <w:rPr>
          <w:rFonts w:hint="cs"/>
          <w:rtl/>
        </w:rPr>
        <w:t>ك،</w:t>
      </w:r>
      <w:r w:rsidRPr="00DA75F8">
        <w:rPr>
          <w:rtl/>
        </w:rPr>
        <w:t xml:space="preserve"> ومن الممكن أن نقسّم آراء العلماء إلى قسمين في جواز أخذ الأجرة على الطاعات، أحدهما لايجوِّز أخذ الأجرة وهو رأي المتقدمين من الحنفية</w:t>
      </w:r>
      <w:r w:rsidRPr="00DA75F8">
        <w:rPr>
          <w:vertAlign w:val="superscript"/>
          <w:rtl/>
        </w:rPr>
        <w:t>(</w:t>
      </w:r>
      <w:r w:rsidRPr="00DA75F8">
        <w:rPr>
          <w:rStyle w:val="FootnoteReference"/>
          <w:rFonts w:cs="Arabic Transparent"/>
          <w:rtl/>
        </w:rPr>
        <w:footnoteReference w:id="412"/>
      </w:r>
      <w:r w:rsidRPr="00DA75F8">
        <w:rPr>
          <w:vertAlign w:val="superscript"/>
          <w:rtl/>
        </w:rPr>
        <w:t>)</w:t>
      </w:r>
      <w:r w:rsidRPr="00DA75F8">
        <w:rPr>
          <w:rFonts w:hint="cs"/>
          <w:rtl/>
        </w:rPr>
        <w:t>،والمالكية</w:t>
      </w:r>
      <w:r w:rsidRPr="00DA75F8">
        <w:rPr>
          <w:vertAlign w:val="superscript"/>
          <w:rtl/>
        </w:rPr>
        <w:t>(</w:t>
      </w:r>
      <w:r w:rsidRPr="00DA75F8">
        <w:rPr>
          <w:rStyle w:val="FootnoteReference"/>
          <w:rFonts w:cs="Arabic Transparent"/>
          <w:rtl/>
        </w:rPr>
        <w:footnoteReference w:id="413"/>
      </w:r>
      <w:r w:rsidRPr="00DA75F8">
        <w:rPr>
          <w:vertAlign w:val="superscript"/>
          <w:rtl/>
        </w:rPr>
        <w:t>)</w:t>
      </w:r>
      <w:r>
        <w:rPr>
          <w:rFonts w:hint="cs"/>
          <w:rtl/>
        </w:rPr>
        <w:t>،</w:t>
      </w:r>
      <w:r>
        <w:rPr>
          <w:rtl/>
        </w:rPr>
        <w:t xml:space="preserve"> </w:t>
      </w:r>
      <w:r w:rsidRPr="00DA75F8">
        <w:rPr>
          <w:rFonts w:hint="cs"/>
          <w:rtl/>
        </w:rPr>
        <w:t>والشافعية</w:t>
      </w:r>
      <w:r w:rsidRPr="00DA75F8">
        <w:rPr>
          <w:vertAlign w:val="superscript"/>
          <w:rtl/>
        </w:rPr>
        <w:t>(</w:t>
      </w:r>
      <w:r w:rsidRPr="00DA75F8">
        <w:rPr>
          <w:rStyle w:val="FootnoteReference"/>
          <w:rFonts w:cs="Arabic Transparent"/>
          <w:rtl/>
        </w:rPr>
        <w:footnoteReference w:id="414"/>
      </w:r>
      <w:r w:rsidRPr="00DA75F8">
        <w:rPr>
          <w:vertAlign w:val="superscript"/>
          <w:rtl/>
        </w:rPr>
        <w:t>)</w:t>
      </w:r>
      <w:r w:rsidRPr="00DA75F8">
        <w:rPr>
          <w:rFonts w:hint="cs"/>
          <w:rtl/>
        </w:rPr>
        <w:t>،والحنابلة</w:t>
      </w:r>
      <w:r w:rsidRPr="00DA75F8">
        <w:rPr>
          <w:vertAlign w:val="superscript"/>
          <w:rtl/>
        </w:rPr>
        <w:t>(</w:t>
      </w:r>
      <w:r w:rsidRPr="00DA75F8">
        <w:rPr>
          <w:rStyle w:val="FootnoteReference"/>
          <w:rFonts w:cs="Arabic Transparent"/>
          <w:rtl/>
        </w:rPr>
        <w:footnoteReference w:id="415"/>
      </w:r>
      <w:r w:rsidRPr="00DA75F8">
        <w:rPr>
          <w:vertAlign w:val="superscript"/>
          <w:rtl/>
        </w:rPr>
        <w:t>)</w:t>
      </w:r>
      <w:r>
        <w:rPr>
          <w:rtl/>
        </w:rPr>
        <w:t xml:space="preserve"> والقول </w:t>
      </w:r>
      <w:r w:rsidRPr="00DA75F8">
        <w:rPr>
          <w:rFonts w:hint="cs"/>
          <w:rtl/>
        </w:rPr>
        <w:t>الآخر</w:t>
      </w:r>
      <w:r w:rsidRPr="00DA75F8">
        <w:rPr>
          <w:rtl/>
        </w:rPr>
        <w:t xml:space="preserve"> يجوِّز ذلك، وهم المتأخرون</w:t>
      </w:r>
      <w:r w:rsidRPr="00DA75F8">
        <w:rPr>
          <w:vertAlign w:val="superscript"/>
          <w:rtl/>
        </w:rPr>
        <w:t>(</w:t>
      </w:r>
      <w:r w:rsidRPr="00DA75F8">
        <w:rPr>
          <w:rStyle w:val="FootnoteReference"/>
          <w:rFonts w:cs="Arabic Transparent"/>
          <w:rtl/>
        </w:rPr>
        <w:footnoteReference w:id="416"/>
      </w:r>
      <w:r w:rsidRPr="00DA75F8">
        <w:rPr>
          <w:vertAlign w:val="superscript"/>
          <w:rtl/>
        </w:rPr>
        <w:t>)</w:t>
      </w:r>
      <w:r w:rsidRPr="00DA75F8">
        <w:rPr>
          <w:rtl/>
        </w:rPr>
        <w:t>.</w:t>
      </w:r>
    </w:p>
    <w:p w:rsidR="005F44B2" w:rsidRPr="00DA75F8" w:rsidRDefault="005F44B2" w:rsidP="009A148F">
      <w:pPr>
        <w:pStyle w:val="a0"/>
        <w:rPr>
          <w:rtl/>
        </w:rPr>
      </w:pPr>
      <w:r w:rsidRPr="00DA75F8">
        <w:rPr>
          <w:rFonts w:hint="cs"/>
          <w:rtl/>
        </w:rPr>
        <w:t>والأصل</w:t>
      </w:r>
      <w:r w:rsidRPr="00DA75F8">
        <w:rPr>
          <w:rtl/>
        </w:rPr>
        <w:t xml:space="preserve"> عند من يرى عدم جواز الاستئجار على الطاعات أنها </w:t>
      </w:r>
      <w:r>
        <w:rPr>
          <w:rFonts w:hint="cs"/>
          <w:rtl/>
        </w:rPr>
        <w:t>قربةإلى</w:t>
      </w:r>
      <w:r w:rsidRPr="00DA75F8">
        <w:rPr>
          <w:rtl/>
        </w:rPr>
        <w:t xml:space="preserve"> الله تعالى</w:t>
      </w:r>
      <w:r w:rsidRPr="00DA75F8">
        <w:rPr>
          <w:vertAlign w:val="superscript"/>
          <w:rtl/>
        </w:rPr>
        <w:t>(</w:t>
      </w:r>
      <w:r w:rsidRPr="00DA75F8">
        <w:rPr>
          <w:rStyle w:val="FootnoteReference"/>
          <w:rFonts w:cs="Arabic Transparent"/>
          <w:rtl/>
        </w:rPr>
        <w:footnoteReference w:id="417"/>
      </w:r>
      <w:r w:rsidRPr="00DA75F8">
        <w:rPr>
          <w:vertAlign w:val="superscript"/>
          <w:rtl/>
        </w:rPr>
        <w:t>)</w:t>
      </w:r>
      <w:r w:rsidRPr="00DA75F8">
        <w:rPr>
          <w:rFonts w:hint="cs"/>
          <w:rtl/>
        </w:rPr>
        <w:t>،</w:t>
      </w:r>
      <w:r w:rsidRPr="00DA75F8">
        <w:rPr>
          <w:rtl/>
        </w:rPr>
        <w:t xml:space="preserve"> ويؤيّدون رأيهم  بقول الله تعالى</w:t>
      </w:r>
      <w:r w:rsidRPr="00DA75F8">
        <w:rPr>
          <w:rFonts w:hint="cs"/>
          <w:rtl/>
        </w:rPr>
        <w:t>،</w:t>
      </w:r>
      <w:r w:rsidRPr="00DA75F8">
        <w:rPr>
          <w:rtl/>
        </w:rPr>
        <w:t xml:space="preserve"> حيث قال الله تعالى : " وَأَنْ لَيْسَ لِلإِنْسَانِ إَلَّا مَا سَعَى"</w:t>
      </w:r>
      <w:r w:rsidRPr="00DA75F8">
        <w:rPr>
          <w:vertAlign w:val="superscript"/>
          <w:rtl/>
        </w:rPr>
        <w:t>(</w:t>
      </w:r>
      <w:r w:rsidRPr="00DA75F8">
        <w:rPr>
          <w:rStyle w:val="FootnoteReference"/>
          <w:rFonts w:cs="Arabic Transparent"/>
          <w:rtl/>
        </w:rPr>
        <w:footnoteReference w:id="41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واحتجوا</w:t>
      </w:r>
      <w:r w:rsidRPr="00DA75F8">
        <w:rPr>
          <w:rtl/>
        </w:rPr>
        <w:t xml:space="preserve"> أيضًا على عدم جواز الاستئجار على الطاعة بحديث عبد الرحمن بن شِبْل: سمعت رسول الله – صلى الله عليه وسلم – يقول: " اقْرؤوا القرآن، ولاتغْلوا فيه، ولاتجْفُوا عنه، ولاتأكلوا به، ولاتستكثروا به"</w:t>
      </w:r>
      <w:r w:rsidRPr="00DA75F8">
        <w:rPr>
          <w:vertAlign w:val="superscript"/>
          <w:rtl/>
        </w:rPr>
        <w:t>(</w:t>
      </w:r>
      <w:r w:rsidRPr="00DA75F8">
        <w:rPr>
          <w:rStyle w:val="FootnoteReference"/>
          <w:rFonts w:cs="Arabic Transparent"/>
          <w:rtl/>
        </w:rPr>
        <w:footnoteReference w:id="41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وذكرابن</w:t>
      </w:r>
      <w:r w:rsidRPr="00DA75F8">
        <w:rPr>
          <w:rtl/>
        </w:rPr>
        <w:t xml:space="preserve"> عابدين سبب عدم جواز الاستئجار عند من يراهفي رسالته ما نصه: "أن كل طاعة يختص بها المسلم لايجوز الاستئجار عليها؛ لأن هذه الأشياء طاعة وقربة عن العامل"</w:t>
      </w:r>
      <w:r w:rsidRPr="00DA75F8">
        <w:rPr>
          <w:vertAlign w:val="superscript"/>
          <w:rtl/>
        </w:rPr>
        <w:t>(</w:t>
      </w:r>
      <w:r w:rsidRPr="00DA75F8">
        <w:rPr>
          <w:rStyle w:val="FootnoteReference"/>
          <w:rFonts w:cs="Arabic Transparent"/>
          <w:rtl/>
        </w:rPr>
        <w:footnoteReference w:id="420"/>
      </w:r>
      <w:r w:rsidRPr="00DA75F8">
        <w:rPr>
          <w:vertAlign w:val="superscript"/>
          <w:rtl/>
        </w:rPr>
        <w:t>)</w:t>
      </w:r>
      <w:r w:rsidRPr="00DA75F8">
        <w:rPr>
          <w:rFonts w:hint="cs"/>
          <w:rtl/>
        </w:rPr>
        <w:t>،</w:t>
      </w:r>
      <w:r w:rsidRPr="00DA75F8">
        <w:rPr>
          <w:rtl/>
        </w:rPr>
        <w:t xml:space="preserve"> وكلام البهوتي يدعم هذا الكلام، بما نصه: " ولأن من شرط صحة هذه الأفعال كونها قربة إلى الله تعالى فلم يصح أخذ الأجرة عليها"</w:t>
      </w:r>
      <w:r w:rsidRPr="00DA75F8">
        <w:rPr>
          <w:vertAlign w:val="superscript"/>
          <w:rtl/>
        </w:rPr>
        <w:t>(</w:t>
      </w:r>
      <w:r w:rsidRPr="00DA75F8">
        <w:rPr>
          <w:rStyle w:val="FootnoteReference"/>
          <w:rFonts w:cs="Arabic Transparent"/>
          <w:rtl/>
        </w:rPr>
        <w:footnoteReference w:id="421"/>
      </w:r>
      <w:r w:rsidRPr="00DA75F8">
        <w:rPr>
          <w:vertAlign w:val="superscript"/>
          <w:rtl/>
        </w:rPr>
        <w:t>)</w:t>
      </w:r>
    </w:p>
    <w:p w:rsidR="005F44B2" w:rsidRPr="00DA75F8" w:rsidRDefault="005F44B2" w:rsidP="007B6769">
      <w:pPr>
        <w:pStyle w:val="a0"/>
        <w:rPr>
          <w:rtl/>
        </w:rPr>
      </w:pPr>
      <w:r w:rsidRPr="00DA75F8">
        <w:rPr>
          <w:rFonts w:hint="cs"/>
          <w:rtl/>
        </w:rPr>
        <w:t>وسبب</w:t>
      </w:r>
      <w:r w:rsidRPr="00DA75F8">
        <w:rPr>
          <w:rtl/>
        </w:rPr>
        <w:t xml:space="preserve"> عدم جواز الاستئجار على الطاعات عندهم هو أن الطاعات تُفعل قربة لله تعالى،  </w:t>
      </w:r>
      <w:r>
        <w:rPr>
          <w:rFonts w:hint="cs"/>
          <w:rtl/>
        </w:rPr>
        <w:t>وهذا</w:t>
      </w:r>
      <w:r>
        <w:rPr>
          <w:rtl/>
        </w:rPr>
        <w:t xml:space="preserve"> </w:t>
      </w:r>
      <w:r w:rsidRPr="00DA75F8">
        <w:rPr>
          <w:rFonts w:hint="cs"/>
          <w:rtl/>
        </w:rPr>
        <w:t>نفهمه</w:t>
      </w:r>
      <w:r w:rsidRPr="00DA75F8">
        <w:rPr>
          <w:rtl/>
        </w:rPr>
        <w:t xml:space="preserve"> من عبارة ابن عابدين، حيث يقول: " منع الاستئجار والجعالة على شيء من الطاعات، سواء كانت واجبة أو لا، كالأذان ونحوه، وإنما جاز الاستئجار على الرقية، ولو كانت بالقرآن، لأنها لم تفعل قربة لله تعالى، بل للتداوي، فهي كصنعة ال</w:t>
      </w:r>
      <w:r w:rsidRPr="00DA75F8">
        <w:rPr>
          <w:rFonts w:hint="cs"/>
          <w:rtl/>
        </w:rPr>
        <w:t>طب</w:t>
      </w:r>
      <w:r w:rsidRPr="00DA75F8">
        <w:rPr>
          <w:rtl/>
        </w:rPr>
        <w:t xml:space="preserve"> وغيرها من الصنائع"</w:t>
      </w:r>
      <w:r w:rsidRPr="00DA75F8">
        <w:rPr>
          <w:vertAlign w:val="superscript"/>
          <w:rtl/>
        </w:rPr>
        <w:t>(</w:t>
      </w:r>
      <w:r w:rsidRPr="00DA75F8">
        <w:rPr>
          <w:rStyle w:val="FootnoteReference"/>
          <w:rFonts w:cs="Arabic Transparent"/>
          <w:rtl/>
        </w:rPr>
        <w:footnoteReference w:id="422"/>
      </w:r>
      <w:r w:rsidRPr="00DA75F8">
        <w:rPr>
          <w:vertAlign w:val="superscript"/>
          <w:rtl/>
        </w:rPr>
        <w:t>)</w:t>
      </w:r>
      <w:r w:rsidRPr="00DA75F8">
        <w:rPr>
          <w:rFonts w:hint="cs"/>
          <w:rtl/>
        </w:rPr>
        <w:t>،</w:t>
      </w:r>
      <w:r w:rsidRPr="00DA75F8">
        <w:rPr>
          <w:rtl/>
        </w:rPr>
        <w:t xml:space="preserve"> أشار هذا ا</w:t>
      </w:r>
      <w:r w:rsidRPr="00DA75F8">
        <w:rPr>
          <w:rFonts w:hint="cs"/>
          <w:rtl/>
        </w:rPr>
        <w:t>لنص</w:t>
      </w:r>
      <w:r w:rsidRPr="00DA75F8">
        <w:rPr>
          <w:rtl/>
        </w:rPr>
        <w:t xml:space="preserve"> إلى جواز الاستئجار على الطاعات التي ليست قربة لله تعالى، والرقيةُ منها، لأنها ليست عبادة بل تُقام لأجل التداوي لذا لايوجد المانع بأخذ الأجرة في مقابلها.</w:t>
      </w:r>
    </w:p>
    <w:p w:rsidR="005F44B2" w:rsidRPr="00DA75F8" w:rsidRDefault="005F44B2" w:rsidP="007B6769">
      <w:pPr>
        <w:pStyle w:val="a0"/>
        <w:rPr>
          <w:rtl/>
        </w:rPr>
      </w:pPr>
      <w:r w:rsidRPr="00DA75F8">
        <w:rPr>
          <w:rtl/>
        </w:rPr>
        <w:t xml:space="preserve"> قدّم الباحث آنفًا أن المتقدمين لم يجوزوا الاستئجار على الطاعات، وتغير الأمر عبر الزمان وبالتالي تغيرت الظروف، فأصبح بعض المتقدمين يجوزون الاستئجار على الطاعات، فجوزوا أولا الاستئجار على تعليم القرآن وبعده على الطاعات الأخرى، وهذا كما يلي: </w:t>
      </w:r>
    </w:p>
    <w:p w:rsidR="005F44B2" w:rsidRPr="00DA75F8" w:rsidRDefault="005F44B2" w:rsidP="007B6769">
      <w:pPr>
        <w:pStyle w:val="a0"/>
        <w:rPr>
          <w:rtl/>
        </w:rPr>
      </w:pPr>
      <w:r w:rsidRPr="00DA75F8">
        <w:rPr>
          <w:rFonts w:hint="cs"/>
          <w:rtl/>
        </w:rPr>
        <w:t>استثنى</w:t>
      </w:r>
      <w:r w:rsidRPr="00DA75F8">
        <w:rPr>
          <w:rtl/>
        </w:rPr>
        <w:t xml:space="preserve"> بعض العلماء التعليم وأبقوا ما عداه على عدم جوازه، وسبب تجويزهم الاستئجار على تعليم </w:t>
      </w:r>
      <w:r w:rsidRPr="00DA75F8">
        <w:rPr>
          <w:rFonts w:hint="cs"/>
          <w:rtl/>
        </w:rPr>
        <w:t>القرآن</w:t>
      </w:r>
      <w:r w:rsidRPr="00DA75F8">
        <w:rPr>
          <w:rtl/>
        </w:rPr>
        <w:t xml:space="preserve"> هو مصلحة المعلّم، لأنه لو اشتغل بالتعليم بلا أجرة لخابت مكاسبه</w:t>
      </w:r>
      <w:r>
        <w:rPr>
          <w:rtl/>
        </w:rPr>
        <w:t xml:space="preserve"> وكثرة حاجته للناس</w:t>
      </w:r>
      <w:r w:rsidRPr="00DA75F8">
        <w:rPr>
          <w:rFonts w:hint="cs"/>
          <w:rtl/>
        </w:rPr>
        <w:t>،</w:t>
      </w:r>
      <w:r w:rsidRPr="00DA75F8">
        <w:rPr>
          <w:rtl/>
        </w:rPr>
        <w:t xml:space="preserve"> ومن هذا الحال نصل إلى النتيجة الضرورية وهو: التعليم بلا أجرة ضرر علىالمعلّم، لأن الحياة مستحيلة بدون أي مكاسب، والمعلم يحتاج إلى المكاسب لدوام حياته، وهذا من مصلحته ومن مصلحة الأمة و الدين، لأن المعلّم إن لم يأخذ الأجرة على التعليم فسيترك التعليم ويشتغل بما يُقيته، فإن حاجتهم إلى الأجرة تمنعهم من التعليم، ونتيجة لذ</w:t>
      </w:r>
      <w:r w:rsidRPr="00DA75F8">
        <w:rPr>
          <w:rFonts w:hint="cs"/>
          <w:rtl/>
        </w:rPr>
        <w:t>لك</w:t>
      </w:r>
      <w:r w:rsidRPr="00DA75F8">
        <w:rPr>
          <w:rtl/>
        </w:rPr>
        <w:t xml:space="preserve"> سيذهب القرآن، وعلّلوا الجواز بالضرورة، وهي الخوف من ضياع القرآن، وبسبب هذا أفتوا جواز التعليم بالأجرة</w:t>
      </w:r>
      <w:r w:rsidRPr="00DA75F8">
        <w:rPr>
          <w:vertAlign w:val="superscript"/>
          <w:rtl/>
        </w:rPr>
        <w:t>(</w:t>
      </w:r>
      <w:r w:rsidRPr="00DA75F8">
        <w:rPr>
          <w:rStyle w:val="FootnoteReference"/>
          <w:rFonts w:cs="Arabic Transparent"/>
          <w:rtl/>
        </w:rPr>
        <w:footnoteReference w:id="42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بعد</w:t>
      </w:r>
      <w:r w:rsidRPr="00DA75F8">
        <w:rPr>
          <w:rtl/>
        </w:rPr>
        <w:t xml:space="preserve"> جواز تعليم القرآن بالأجرة، جوّزوا الاستئجار على تعليم الفقه والإمامة، والأذان ونحوها</w:t>
      </w:r>
      <w:r w:rsidRPr="00DA75F8">
        <w:rPr>
          <w:vertAlign w:val="superscript"/>
          <w:rtl/>
        </w:rPr>
        <w:t>(</w:t>
      </w:r>
      <w:r w:rsidRPr="00DA75F8">
        <w:rPr>
          <w:rStyle w:val="FootnoteReference"/>
          <w:rFonts w:cs="Arabic Transparent"/>
          <w:rtl/>
        </w:rPr>
        <w:footnoteReference w:id="424"/>
      </w:r>
      <w:r w:rsidRPr="00DA75F8">
        <w:rPr>
          <w:vertAlign w:val="superscript"/>
          <w:rtl/>
        </w:rPr>
        <w:t>)</w:t>
      </w:r>
      <w:r w:rsidRPr="00DA75F8">
        <w:rPr>
          <w:rtl/>
        </w:rPr>
        <w:t>. وقد بيّن ابن عابدين أن العلة في جواز الاستئجار على هذه الطاعات هي الضرورة واحتياج الناس إليها، وقال " ان هذا مقصور على هذه الأشياء دون ما عداها مما لا ضرورة إلى الاستئجار عليه"</w:t>
      </w:r>
      <w:r w:rsidRPr="00DA75F8">
        <w:rPr>
          <w:vertAlign w:val="superscript"/>
          <w:rtl/>
        </w:rPr>
        <w:t>(</w:t>
      </w:r>
      <w:r w:rsidRPr="00DA75F8">
        <w:rPr>
          <w:rStyle w:val="FootnoteReference"/>
          <w:rFonts w:cs="Arabic Transparent"/>
          <w:rtl/>
        </w:rPr>
        <w:footnoteReference w:id="425"/>
      </w:r>
      <w:r w:rsidRPr="00DA75F8">
        <w:rPr>
          <w:vertAlign w:val="superscript"/>
          <w:rtl/>
        </w:rPr>
        <w:t>)</w:t>
      </w:r>
      <w:r w:rsidRPr="00DA75F8">
        <w:rPr>
          <w:rFonts w:hint="cs"/>
          <w:rtl/>
        </w:rPr>
        <w:t>،</w:t>
      </w:r>
      <w:r w:rsidRPr="00DA75F8">
        <w:rPr>
          <w:rtl/>
        </w:rPr>
        <w:t xml:space="preserve"> وقصده من الأشياء: تعليم القراءة والفقه، والإمامة، والأذان.</w:t>
      </w:r>
    </w:p>
    <w:p w:rsidR="005F44B2" w:rsidRPr="00DA75F8" w:rsidRDefault="005F44B2" w:rsidP="007B6769">
      <w:pPr>
        <w:pStyle w:val="a0"/>
        <w:rPr>
          <w:rtl/>
        </w:rPr>
      </w:pPr>
      <w:r w:rsidRPr="00DA75F8">
        <w:rPr>
          <w:rFonts w:hint="cs"/>
          <w:rtl/>
        </w:rPr>
        <w:t>عرفنا</w:t>
      </w:r>
      <w:r w:rsidRPr="00DA75F8">
        <w:rPr>
          <w:rtl/>
        </w:rPr>
        <w:t xml:space="preserve"> مما سبق إلى الآن أن الاستئجار على الطاعات جائز، ولكن ليس على كل الطاعات بل الطاعات التي ظهر فيها ضرورة، مثل: التعليم ( القرآن، الفقه)، والإمامة، والأذان. وكانت ضرورته</w:t>
      </w:r>
      <w:r w:rsidRPr="00DA75F8">
        <w:rPr>
          <w:rFonts w:hint="cs"/>
          <w:rtl/>
        </w:rPr>
        <w:t>م</w:t>
      </w:r>
      <w:r w:rsidRPr="00DA75F8">
        <w:rPr>
          <w:rtl/>
        </w:rPr>
        <w:t xml:space="preserve"> للمصلحة من جهتين، الجه</w:t>
      </w:r>
      <w:r w:rsidRPr="00DA75F8">
        <w:rPr>
          <w:rFonts w:hint="cs"/>
          <w:rtl/>
        </w:rPr>
        <w:t>ة</w:t>
      </w:r>
      <w:r w:rsidRPr="00DA75F8">
        <w:rPr>
          <w:rtl/>
        </w:rPr>
        <w:t xml:space="preserve"> الأولى هي للمعلم أو الإمام أو المؤذن، والجهة الثانية هي للدين أو للأمة.</w:t>
      </w:r>
    </w:p>
    <w:p w:rsidR="005F44B2" w:rsidRPr="00DA75F8" w:rsidRDefault="005F44B2" w:rsidP="007B6769">
      <w:pPr>
        <w:pStyle w:val="a0"/>
        <w:rPr>
          <w:rtl/>
        </w:rPr>
      </w:pPr>
      <w:r w:rsidRPr="00DA75F8">
        <w:rPr>
          <w:rFonts w:hint="cs"/>
          <w:rtl/>
        </w:rPr>
        <w:t>وقول</w:t>
      </w:r>
      <w:r w:rsidRPr="00DA75F8">
        <w:rPr>
          <w:rtl/>
        </w:rPr>
        <w:t xml:space="preserve"> الموصلي عن سبب جواز الاستئجار يؤيّد هذا الكلام، وهو : " لحاجة الناسإليه وظهور التواني في الأمور الدينية، وكسل الناس في الاحتساب"</w:t>
      </w:r>
      <w:r w:rsidRPr="00DA75F8">
        <w:rPr>
          <w:vertAlign w:val="superscript"/>
          <w:rtl/>
        </w:rPr>
        <w:t>(</w:t>
      </w:r>
      <w:r w:rsidRPr="00DA75F8">
        <w:rPr>
          <w:rStyle w:val="FootnoteReference"/>
          <w:rFonts w:cs="Arabic Transparent"/>
          <w:rtl/>
        </w:rPr>
        <w:footnoteReference w:id="426"/>
      </w:r>
      <w:r w:rsidRPr="00DA75F8">
        <w:rPr>
          <w:vertAlign w:val="superscript"/>
          <w:rtl/>
        </w:rPr>
        <w:t>)</w:t>
      </w:r>
      <w:r w:rsidRPr="00DA75F8">
        <w:rPr>
          <w:rtl/>
        </w:rPr>
        <w:t>.</w:t>
      </w:r>
    </w:p>
    <w:p w:rsidR="005F44B2" w:rsidRPr="00DA75F8" w:rsidRDefault="005F44B2" w:rsidP="009A148F">
      <w:pPr>
        <w:pStyle w:val="a0"/>
        <w:rPr>
          <w:rtl/>
        </w:rPr>
      </w:pPr>
      <w:r w:rsidRPr="00DA75F8">
        <w:rPr>
          <w:rFonts w:hint="cs"/>
          <w:rtl/>
        </w:rPr>
        <w:t>وبالرجوع</w:t>
      </w:r>
      <w:r w:rsidRPr="00DA75F8">
        <w:rPr>
          <w:rtl/>
        </w:rPr>
        <w:t xml:space="preserve"> إلى الاستئجار على الطاعات في هذه الأيام يظهر أنهيوجد في بلاد الإسلام المساجد والمراكز لتعليم القرآن في كل حي على الأقل، وفيهما الإمام والمؤذّن والمعلّم</w:t>
      </w:r>
      <w:r>
        <w:rPr>
          <w:rFonts w:hint="cs"/>
          <w:rtl/>
        </w:rPr>
        <w:t>ين</w:t>
      </w:r>
      <w:r w:rsidRPr="00DA75F8">
        <w:rPr>
          <w:rtl/>
        </w:rPr>
        <w:t xml:space="preserve"> الذين وظّفتْهم الدولة بالأجرة، وهم يكسبون معاشهم بهذه الوظائف، والناس ويذهبون إلى المساجد يصلون الجماعة، ويذهبون إلى المراكز ويتعلمون فيها القرآن، إذا طبقنا فرضية عدم جواز الاستئجار على الطاعات، فسيترك الإمام والمؤذن والمعلّم وظائفهم وسيبحثون عن العمل بالأجرة لإقامة حياتهم، فمن المستح</w:t>
      </w:r>
      <w:r w:rsidRPr="00DA75F8">
        <w:rPr>
          <w:rFonts w:hint="cs"/>
          <w:rtl/>
        </w:rPr>
        <w:t>يل</w:t>
      </w:r>
      <w:r w:rsidRPr="00DA75F8">
        <w:rPr>
          <w:rtl/>
        </w:rPr>
        <w:t xml:space="preserve"> إقامة الحياة بدون الكسب، وهذا سيضرّ بالأمة والدين. وجوّز الفقهاء الاستئجار على هذه الطاعات لامتناع الضرر وهذا الجواز من باب السياسة الشرعية، وهكذا يُحافظ على مصالح المعلّمين والأئمة والمؤذّنين من جهة، ومصالح الدين من جهة أخرى.</w:t>
      </w:r>
    </w:p>
    <w:p w:rsidR="005F44B2" w:rsidRPr="00DA75F8" w:rsidRDefault="005F44B2" w:rsidP="005E6A96">
      <w:pPr>
        <w:pStyle w:val="a3"/>
        <w:rPr>
          <w:rtl/>
        </w:rPr>
      </w:pPr>
      <w:bookmarkStart w:id="41" w:name="_Toc447092583"/>
      <w:r w:rsidRPr="00DA75F8">
        <w:rPr>
          <w:rFonts w:hint="cs"/>
          <w:rtl/>
        </w:rPr>
        <w:t>المطلب</w:t>
      </w:r>
      <w:r w:rsidRPr="00DA75F8">
        <w:rPr>
          <w:rtl/>
        </w:rPr>
        <w:t xml:space="preserve"> الثاني: مسألة الحضانة</w:t>
      </w:r>
      <w:bookmarkEnd w:id="41"/>
    </w:p>
    <w:p w:rsidR="005F44B2" w:rsidRPr="00DA75F8" w:rsidRDefault="005F44B2" w:rsidP="007B6769">
      <w:pPr>
        <w:pStyle w:val="a0"/>
        <w:rPr>
          <w:rtl/>
        </w:rPr>
      </w:pPr>
      <w:r w:rsidRPr="00DA75F8">
        <w:rPr>
          <w:rFonts w:hint="cs"/>
          <w:rtl/>
        </w:rPr>
        <w:t>عرّف</w:t>
      </w:r>
      <w:r w:rsidRPr="00DA75F8">
        <w:rPr>
          <w:rtl/>
        </w:rPr>
        <w:t xml:space="preserve"> اللغويون الحضانة بأن</w:t>
      </w:r>
      <w:r w:rsidRPr="00DA75F8">
        <w:rPr>
          <w:rFonts w:hint="cs"/>
          <w:rtl/>
        </w:rPr>
        <w:t>ها</w:t>
      </w:r>
      <w:r w:rsidRPr="00DA75F8">
        <w:rPr>
          <w:rtl/>
        </w:rPr>
        <w:t xml:space="preserve">: حُضنا الشئ: جانباه. </w:t>
      </w:r>
      <w:r w:rsidRPr="00DA75F8">
        <w:rPr>
          <w:rFonts w:hint="cs"/>
          <w:rtl/>
        </w:rPr>
        <w:t>ونواحى</w:t>
      </w:r>
      <w:r w:rsidRPr="00DA75F8">
        <w:rPr>
          <w:rtl/>
        </w:rPr>
        <w:t xml:space="preserve"> كل شئ أحضانه، وحَضَنَ الطائر بيضه يَحْضُنُهُ، إذا ضمَّه إلى نفسه تحت جناحِه. وكذلك المرأة إذا حَضَنَتْ ولدها، وحاضِنَةُ الصبيّ: التي تقوم عليه في تربيته</w:t>
      </w:r>
      <w:r w:rsidRPr="00DA75F8">
        <w:rPr>
          <w:vertAlign w:val="superscript"/>
          <w:rtl/>
        </w:rPr>
        <w:t>(</w:t>
      </w:r>
      <w:r w:rsidRPr="00DA75F8">
        <w:rPr>
          <w:rStyle w:val="FootnoteReference"/>
          <w:rFonts w:cs="Arabic Transparent"/>
          <w:rtl/>
        </w:rPr>
        <w:footnoteReference w:id="427"/>
      </w:r>
      <w:r w:rsidRPr="00DA75F8">
        <w:rPr>
          <w:vertAlign w:val="superscript"/>
          <w:rtl/>
        </w:rPr>
        <w:t>)</w:t>
      </w:r>
      <w:r w:rsidRPr="00DA75F8">
        <w:rPr>
          <w:rtl/>
        </w:rPr>
        <w:t>.</w:t>
      </w:r>
    </w:p>
    <w:p w:rsidR="005F44B2" w:rsidRPr="00DA75F8" w:rsidRDefault="005F44B2" w:rsidP="00BE06AB">
      <w:pPr>
        <w:pStyle w:val="a0"/>
        <w:rPr>
          <w:rtl/>
        </w:rPr>
      </w:pPr>
      <w:r w:rsidRPr="00DA75F8">
        <w:rPr>
          <w:rFonts w:hint="cs"/>
          <w:rtl/>
        </w:rPr>
        <w:t>وعرّفها</w:t>
      </w:r>
      <w:r w:rsidRPr="00DA75F8">
        <w:rPr>
          <w:rtl/>
        </w:rPr>
        <w:t xml:space="preserve"> الموصلي، حيث قال: " حضنا الشيء: جانباه، وحضن الطائر بيضه يحضنه: إذا ضمه إلى نفسه تحت جناحه، فكأن المربي للولد يتخذه في حضنه وإلى جنبه، ولما كان الصغير عاجزا عن النظر في مصالح نفسه جعل الله تعالى ذلك إلى من يلي عليهم، ففوض الولاية في المال والعقود إلى الرجال، لأنهم بذلك أقوم وعليه أقدر، و</w:t>
      </w:r>
      <w:r w:rsidRPr="00DA75F8">
        <w:rPr>
          <w:rFonts w:hint="cs"/>
          <w:rtl/>
        </w:rPr>
        <w:t>فوض</w:t>
      </w:r>
      <w:r w:rsidRPr="00DA75F8">
        <w:rPr>
          <w:rtl/>
        </w:rPr>
        <w:t xml:space="preserve"> التربية إلى النساء لأنهن أشفق وأحنى وأقدر على التربية من الرجال وأقوى"</w:t>
      </w:r>
      <w:r w:rsidRPr="00DA75F8">
        <w:rPr>
          <w:vertAlign w:val="superscript"/>
          <w:rtl/>
        </w:rPr>
        <w:t>(</w:t>
      </w:r>
      <w:r w:rsidRPr="00DA75F8">
        <w:rPr>
          <w:rStyle w:val="FootnoteReference"/>
          <w:rFonts w:cs="Arabic Transparent"/>
          <w:rtl/>
        </w:rPr>
        <w:footnoteReference w:id="42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وعرّفها</w:t>
      </w:r>
      <w:r w:rsidRPr="00DA75F8">
        <w:rPr>
          <w:rtl/>
        </w:rPr>
        <w:t xml:space="preserve"> ابن عابدين شرعًا، حيث قال: " فهو تربية الولد لمن له حق الحضانة"</w:t>
      </w:r>
      <w:r w:rsidRPr="00DA75F8">
        <w:rPr>
          <w:vertAlign w:val="superscript"/>
          <w:rtl/>
        </w:rPr>
        <w:t>(</w:t>
      </w:r>
      <w:r w:rsidRPr="00DA75F8">
        <w:rPr>
          <w:rStyle w:val="FootnoteReference"/>
          <w:rFonts w:cs="Arabic Transparent"/>
          <w:rtl/>
        </w:rPr>
        <w:footnoteReference w:id="429"/>
      </w:r>
      <w:r w:rsidRPr="00DA75F8">
        <w:rPr>
          <w:vertAlign w:val="superscript"/>
          <w:rtl/>
        </w:rPr>
        <w:t>)</w:t>
      </w:r>
      <w:r w:rsidRPr="00DA75F8">
        <w:rPr>
          <w:rtl/>
        </w:rPr>
        <w:t>.</w:t>
      </w:r>
    </w:p>
    <w:p w:rsidR="005F44B2" w:rsidRPr="00DA75F8" w:rsidRDefault="005F44B2" w:rsidP="00BE06AB">
      <w:pPr>
        <w:pStyle w:val="a0"/>
        <w:rPr>
          <w:rtl/>
        </w:rPr>
      </w:pPr>
      <w:r w:rsidRPr="00DA75F8">
        <w:rPr>
          <w:rFonts w:hint="cs"/>
          <w:rtl/>
        </w:rPr>
        <w:t>وتكون</w:t>
      </w:r>
      <w:r w:rsidRPr="00DA75F8">
        <w:rPr>
          <w:rtl/>
        </w:rPr>
        <w:t xml:space="preserve"> الحضانة للصغير ويجب على الحاضن أن يحضن الطفل لينشأ في سلامة، وهذا حق الطفل، ولكن يحتمل تعطيل الحضانة بسبب بعض الظروف، وقد وضّح عبد الله الكيلاني ذلك وقال : " ولكن ربما تنشأ ظروف تؤدي إلى إنهاء الحياة الزوجية بالطلاق أو بموت الز</w:t>
      </w:r>
      <w:r>
        <w:rPr>
          <w:rFonts w:hint="cs"/>
          <w:rtl/>
        </w:rPr>
        <w:t>و</w:t>
      </w:r>
      <w:r w:rsidRPr="00DA75F8">
        <w:rPr>
          <w:rFonts w:hint="cs"/>
          <w:rtl/>
        </w:rPr>
        <w:t>ج،</w:t>
      </w:r>
      <w:r w:rsidRPr="00DA75F8">
        <w:rPr>
          <w:rtl/>
        </w:rPr>
        <w:t xml:space="preserve"> وعندئذ لابد من البحث عن الجو الذي سينشأ فيه الصغير، والفقه الإسلامي لم يترك هذا الأمر دون تنظيم، ولكنّه تدخل ليكفل للصغير جوًا مناسبًا يضمن له أفضل رعاية وأتم عناية"</w:t>
      </w:r>
      <w:r w:rsidRPr="00DA75F8">
        <w:rPr>
          <w:vertAlign w:val="superscript"/>
          <w:rtl/>
        </w:rPr>
        <w:t>(</w:t>
      </w:r>
      <w:r w:rsidRPr="00DA75F8">
        <w:rPr>
          <w:rStyle w:val="FootnoteReference"/>
          <w:rFonts w:cs="Arabic Transparent"/>
          <w:rtl/>
        </w:rPr>
        <w:footnoteReference w:id="430"/>
      </w:r>
      <w:r w:rsidRPr="00DA75F8">
        <w:rPr>
          <w:vertAlign w:val="superscript"/>
          <w:rtl/>
        </w:rPr>
        <w:t>)</w:t>
      </w:r>
      <w:r w:rsidRPr="00DA75F8">
        <w:rPr>
          <w:rtl/>
        </w:rPr>
        <w:t>.</w:t>
      </w:r>
    </w:p>
    <w:p w:rsidR="005F44B2" w:rsidRPr="00DA75F8" w:rsidRDefault="005F44B2" w:rsidP="009A148F">
      <w:pPr>
        <w:pStyle w:val="a0"/>
        <w:rPr>
          <w:rtl/>
        </w:rPr>
      </w:pPr>
      <w:r w:rsidRPr="00DA75F8">
        <w:rPr>
          <w:rFonts w:hint="cs"/>
          <w:rtl/>
        </w:rPr>
        <w:t>ومن</w:t>
      </w:r>
      <w:r w:rsidRPr="00DA75F8">
        <w:rPr>
          <w:rtl/>
        </w:rPr>
        <w:t xml:space="preserve"> شروط الحضانة أن تكون الحاضنة حرة، وبالغة، عاقلة، وأن لا تكون مرتدة، وأن تكون آمنة</w:t>
      </w:r>
      <w:r w:rsidRPr="00DA75F8">
        <w:rPr>
          <w:vertAlign w:val="superscript"/>
          <w:rtl/>
        </w:rPr>
        <w:t>(</w:t>
      </w:r>
      <w:r w:rsidRPr="00DA75F8">
        <w:rPr>
          <w:rStyle w:val="FootnoteReference"/>
          <w:rFonts w:cs="Arabic Transparent"/>
          <w:rtl/>
        </w:rPr>
        <w:footnoteReference w:id="431"/>
      </w:r>
      <w:r w:rsidRPr="00DA75F8">
        <w:rPr>
          <w:vertAlign w:val="superscript"/>
          <w:rtl/>
        </w:rPr>
        <w:t>)</w:t>
      </w:r>
      <w:r w:rsidRPr="00DA75F8">
        <w:rPr>
          <w:rtl/>
        </w:rPr>
        <w:t xml:space="preserve"> وأمينة، وأن تكون قادرة على خدمة الولد، وأن لا تكون مريضة ولا عجوزًا حيث تمتنع القدرة على تربية الولد ورعايته، وأن تخلو من زوج أجنبيّ</w:t>
      </w:r>
      <w:r w:rsidRPr="00DA75F8">
        <w:rPr>
          <w:vertAlign w:val="superscript"/>
          <w:rtl/>
        </w:rPr>
        <w:t>(</w:t>
      </w:r>
      <w:r w:rsidRPr="00DA75F8">
        <w:rPr>
          <w:rStyle w:val="FootnoteReference"/>
          <w:rFonts w:cs="Arabic Transparent"/>
          <w:rtl/>
        </w:rPr>
        <w:footnoteReference w:id="43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تظهر لنا علاقة السياسة الشرعية بالحضانة في الشرط الأخير الذي هو ألا تكون </w:t>
      </w:r>
      <w:r>
        <w:rPr>
          <w:rFonts w:hint="cs"/>
          <w:rtl/>
        </w:rPr>
        <w:t>ال</w:t>
      </w:r>
      <w:r w:rsidRPr="00DA75F8">
        <w:rPr>
          <w:rFonts w:hint="cs"/>
          <w:rtl/>
        </w:rPr>
        <w:t>حاضنة</w:t>
      </w:r>
      <w:r w:rsidRPr="00DA75F8">
        <w:rPr>
          <w:rtl/>
        </w:rPr>
        <w:t xml:space="preserve"> متزوجة من أجنبي غير ذي رحم للمحضون، إذ يشير ابن عابدين إلى أنه لايؤخذ حق الحضانة مباشرة من الأم بسبب زواجها من أجنبي، بل يُنظر في هذه الحالة إلى الظروف، لأن الأهم في الحضانة هو مصلحة الصغير، فلربما يصبح في حال أسوأ إذا أخذ من أمه، وفي هذه الحال من الأصوب للصغير أن </w:t>
      </w:r>
      <w:r w:rsidRPr="00DA75F8">
        <w:rPr>
          <w:rFonts w:hint="cs"/>
          <w:rtl/>
        </w:rPr>
        <w:t>يكون</w:t>
      </w:r>
      <w:r w:rsidRPr="00DA75F8">
        <w:rPr>
          <w:rtl/>
        </w:rPr>
        <w:t xml:space="preserve"> عند أمه وإن كان زوج</w:t>
      </w:r>
      <w:r w:rsidRPr="00DA75F8">
        <w:rPr>
          <w:rFonts w:hint="cs"/>
          <w:rtl/>
        </w:rPr>
        <w:t>ها</w:t>
      </w:r>
      <w:r w:rsidRPr="00DA75F8">
        <w:rPr>
          <w:rtl/>
        </w:rPr>
        <w:t xml:space="preserve"> أجنبي.</w:t>
      </w:r>
    </w:p>
    <w:p w:rsidR="005F44B2" w:rsidRPr="00DA75F8" w:rsidRDefault="005F44B2" w:rsidP="007B6769">
      <w:pPr>
        <w:pStyle w:val="a0"/>
        <w:rPr>
          <w:rtl/>
        </w:rPr>
      </w:pPr>
      <w:r w:rsidRPr="00DA75F8">
        <w:rPr>
          <w:rFonts w:hint="cs"/>
          <w:rtl/>
        </w:rPr>
        <w:t>وقد</w:t>
      </w:r>
      <w:r w:rsidRPr="00DA75F8">
        <w:rPr>
          <w:rtl/>
        </w:rPr>
        <w:t xml:space="preserve"> قال ابن عابدين عن هذا ما نصه: " أن سقوط الحضانة بذلك لدفع الضرر عن الصغير، فينبغي للمفتي أن يكون ذا بصيرة ليراعي الأصلح للولد، فإنه قد يكون له قريب مبغض له يتمنى موته، ويكون زوج أمه مشفقا عليه يعز عليه فراقه فيريد قريبه أخذه منها ليؤذيه ويؤذيها، أو ليأكل من نفقته أو نحو ذلك، وقد يكون له زوجة تؤذيه أضعاف ما يؤذيه زوج أمه الأجنبي، وقد يكون له أولاد يخشى على البنت منهم الفتنة لسكناها معهم، فإذا علم المفتي، أو القاضي شيئا من ذلك لا يحل له نزعه من أمه لأن مدار أمر الحضانة على نفع </w:t>
      </w:r>
      <w:r w:rsidRPr="00DA75F8">
        <w:rPr>
          <w:rFonts w:hint="cs"/>
          <w:rtl/>
        </w:rPr>
        <w:t>الولد</w:t>
      </w:r>
      <w:r w:rsidRPr="00DA75F8">
        <w:rPr>
          <w:rtl/>
        </w:rPr>
        <w:t>"</w:t>
      </w:r>
      <w:r w:rsidRPr="00DA75F8">
        <w:rPr>
          <w:vertAlign w:val="superscript"/>
          <w:rtl/>
        </w:rPr>
        <w:t>(</w:t>
      </w:r>
      <w:r w:rsidRPr="00DA75F8">
        <w:rPr>
          <w:rStyle w:val="FootnoteReference"/>
          <w:rFonts w:cs="Arabic Transparent"/>
          <w:rtl/>
        </w:rPr>
        <w:footnoteReference w:id="43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وفي</w:t>
      </w:r>
      <w:r w:rsidRPr="00DA75F8">
        <w:rPr>
          <w:rtl/>
        </w:rPr>
        <w:t xml:space="preserve"> هذا الصددفإن ابن عابدين حافظ على مصلحة الصغير، وهي الغاية من الحضانة، وبسبب هذا  ذُكر عنده أن عدم كونها حاضنة متزوجة من أجنبي غير ذي ر</w:t>
      </w:r>
      <w:r w:rsidRPr="00DA75F8">
        <w:rPr>
          <w:rFonts w:hint="cs"/>
          <w:rtl/>
        </w:rPr>
        <w:t>حم</w:t>
      </w:r>
      <w:r w:rsidRPr="00DA75F8">
        <w:rPr>
          <w:rtl/>
        </w:rPr>
        <w:t xml:space="preserve"> للمحضون ليس شرطًا في الحضانة، لأنه يُدرك عند الناس أن تزويج الأم بأجنبيّ ضد مصلحة الصغير.</w:t>
      </w:r>
    </w:p>
    <w:p w:rsidR="005F44B2" w:rsidRPr="00DA75F8" w:rsidRDefault="005F44B2" w:rsidP="007B6769">
      <w:pPr>
        <w:pStyle w:val="a0"/>
        <w:rPr>
          <w:rtl/>
        </w:rPr>
      </w:pPr>
      <w:r w:rsidRPr="00DA75F8">
        <w:rPr>
          <w:rFonts w:hint="cs"/>
          <w:rtl/>
        </w:rPr>
        <w:t>ولكن</w:t>
      </w:r>
      <w:r w:rsidRPr="00DA75F8">
        <w:rPr>
          <w:rtl/>
        </w:rPr>
        <w:t xml:space="preserve"> ابن عابدين أخذ هذا الشرط من ناحية أخرى وجوّز أن لا يسلب حق الحضانة من الأم مع تزويجها بأجنبيّ في بعض الحالات، وترك حكم الحضانة عند رأي القاضي أو الإمام، وفي هذه الحال يعني في حالة جريان تزويج الأم بأجنبيّ، فينبغي للحاكم أو للقاضي قبل أن يحكم لمن يعطي حق الحضانة أن ينظر إلى كلا الطرفين (الحاضنان)، وأن يبحث مسألة وضع الصغير سلبًا وإيجابًا في كلا الطرفين، ففي بعض الأحوال أن يبقى الصغير عند الأم ا</w:t>
      </w:r>
      <w:r w:rsidRPr="00DA75F8">
        <w:rPr>
          <w:rFonts w:hint="cs"/>
          <w:rtl/>
        </w:rPr>
        <w:t>لمتزوجة</w:t>
      </w:r>
      <w:r w:rsidRPr="00DA75F8">
        <w:rPr>
          <w:rtl/>
        </w:rPr>
        <w:t xml:space="preserve"> من أجنبي أحسن من أن يعطي إلى أبيه أو إلى من حُمّل حق الحضانة، وقد ذكرنا سابقًا بعض الأحوال التي ذكرها ابن عابدين.</w:t>
      </w:r>
    </w:p>
    <w:p w:rsidR="005F44B2" w:rsidRPr="00DA75F8" w:rsidRDefault="005F44B2" w:rsidP="007B6769">
      <w:pPr>
        <w:pStyle w:val="a0"/>
        <w:rPr>
          <w:rtl/>
        </w:rPr>
      </w:pPr>
      <w:r w:rsidRPr="00DA75F8">
        <w:rPr>
          <w:rFonts w:hint="cs"/>
          <w:rtl/>
        </w:rPr>
        <w:t>ومن</w:t>
      </w:r>
      <w:r w:rsidRPr="00DA75F8">
        <w:rPr>
          <w:rtl/>
        </w:rPr>
        <w:t xml:space="preserve"> الممكن أن لاتكون مصلحة الصغير عند أمه ولا عند أبيه ولا عند غيرهما، وهذا يعني في كل الحالات أن الصغير سيتعرّض لضرر، وفي هذا الحال يحكم القاضي أن يحضن الصغير مَن عنده أقلُّ ضرر، وفي هذا اختيار أهون الضررين.</w:t>
      </w:r>
    </w:p>
    <w:p w:rsidR="005F44B2" w:rsidRPr="00DA75F8" w:rsidRDefault="005F44B2" w:rsidP="007B6769">
      <w:pPr>
        <w:pStyle w:val="a0"/>
        <w:rPr>
          <w:rtl/>
        </w:rPr>
      </w:pPr>
      <w:r w:rsidRPr="00DA75F8">
        <w:rPr>
          <w:rFonts w:hint="cs"/>
          <w:rtl/>
        </w:rPr>
        <w:t>ونتيجة</w:t>
      </w:r>
      <w:r w:rsidRPr="00DA75F8">
        <w:rPr>
          <w:rtl/>
        </w:rPr>
        <w:t xml:space="preserve"> لما تقدم أعطى ابن عابدين حق الحكم للقاضي في حالة زواج أم المحضون من أجنبيّ، والقاضي يعطي حق الحضانة للأم إذا رأى ذلك مصلحة للصغير، فالحكم يعتمد على مصلحة الصغير.</w:t>
      </w:r>
    </w:p>
    <w:p w:rsidR="005F44B2" w:rsidRPr="00DA75F8" w:rsidRDefault="005F44B2" w:rsidP="007B6769">
      <w:pPr>
        <w:pStyle w:val="a0"/>
      </w:pPr>
      <w:r w:rsidRPr="00DA75F8">
        <w:rPr>
          <w:rFonts w:hint="cs"/>
          <w:rtl/>
        </w:rPr>
        <w:t>وبيّن</w:t>
      </w:r>
      <w:r w:rsidRPr="00DA75F8">
        <w:rPr>
          <w:rtl/>
        </w:rPr>
        <w:t xml:space="preserve"> </w:t>
      </w:r>
      <w:r w:rsidRPr="00DA75F8">
        <w:rPr>
          <w:rFonts w:hint="cs"/>
          <w:rtl/>
        </w:rPr>
        <w:t>لنا</w:t>
      </w:r>
      <w:r w:rsidRPr="00DA75F8">
        <w:rPr>
          <w:rtl/>
        </w:rPr>
        <w:t xml:space="preserve"> أن ترك حكم الحاضن يعود إلى رأي الإمام وأن مسألة الحضانة في هذه الحال يدخل في السياسة الشرعية. ورأى الباحث يتفق مع ابن عابدين، مع العلم أنه لم يذكر في مسألة الحضانة أنه من باب السياسة الشرعية ولكن الأخذ بهذا الكلام يؤيد العمل بالسياسة الشرعية.</w:t>
      </w:r>
    </w:p>
    <w:p w:rsidR="005F44B2" w:rsidRPr="00DA75F8" w:rsidRDefault="005F44B2" w:rsidP="005E6A96">
      <w:pPr>
        <w:pStyle w:val="a3"/>
        <w:rPr>
          <w:rtl/>
        </w:rPr>
      </w:pPr>
      <w:bookmarkStart w:id="42" w:name="_Toc447092584"/>
      <w:r w:rsidRPr="00DA75F8">
        <w:rPr>
          <w:rFonts w:hint="cs"/>
          <w:rtl/>
        </w:rPr>
        <w:t>المطلب</w:t>
      </w:r>
      <w:r w:rsidRPr="00DA75F8">
        <w:rPr>
          <w:rtl/>
        </w:rPr>
        <w:t xml:space="preserve"> الثالث: التغريب</w:t>
      </w:r>
      <w:bookmarkEnd w:id="42"/>
    </w:p>
    <w:p w:rsidR="005F44B2" w:rsidRPr="00DA75F8" w:rsidRDefault="005F44B2" w:rsidP="007B6769">
      <w:pPr>
        <w:pStyle w:val="a0"/>
        <w:rPr>
          <w:rtl/>
        </w:rPr>
      </w:pPr>
      <w:r w:rsidRPr="00DA75F8">
        <w:rPr>
          <w:rFonts w:hint="cs"/>
          <w:rtl/>
        </w:rPr>
        <w:t>التغريب</w:t>
      </w:r>
      <w:r w:rsidRPr="00DA75F8">
        <w:rPr>
          <w:rtl/>
        </w:rPr>
        <w:t xml:space="preserve"> في اللغة: النفي عن البلد والإبعاد عنها، وأصله غرب، فمثلًا: غربت الشمس غروبا: بعدت وتوارت، وغَرَبَ بمعنى بَعُدَ، مثلًا: اغْرُبْ عنِّي أي تباعدْ، اسم فاعل منه غريب يعني الشخص الذي ابتعد عن وطنه</w:t>
      </w:r>
      <w:r w:rsidRPr="00DA75F8">
        <w:rPr>
          <w:vertAlign w:val="superscript"/>
          <w:rtl/>
        </w:rPr>
        <w:t>(</w:t>
      </w:r>
      <w:r w:rsidRPr="00DA75F8">
        <w:rPr>
          <w:rStyle w:val="FootnoteReference"/>
          <w:rFonts w:cs="Arabic Transparent"/>
          <w:rtl/>
        </w:rPr>
        <w:footnoteReference w:id="43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والمعنى</w:t>
      </w:r>
      <w:r w:rsidRPr="00DA75F8">
        <w:rPr>
          <w:rtl/>
        </w:rPr>
        <w:t xml:space="preserve"> الاصطلاحي لايخرج عن المعنى اللغوي</w:t>
      </w:r>
      <w:r w:rsidRPr="00DA75F8">
        <w:rPr>
          <w:vertAlign w:val="superscript"/>
          <w:rtl/>
        </w:rPr>
        <w:t>(</w:t>
      </w:r>
      <w:r w:rsidRPr="00DA75F8">
        <w:rPr>
          <w:rStyle w:val="FootnoteReference"/>
          <w:rFonts w:cs="Arabic Transparent"/>
          <w:rtl/>
        </w:rPr>
        <w:footnoteReference w:id="435"/>
      </w:r>
      <w:r w:rsidRPr="00DA75F8">
        <w:rPr>
          <w:vertAlign w:val="superscript"/>
          <w:rtl/>
        </w:rPr>
        <w:t>)</w:t>
      </w:r>
      <w:r w:rsidRPr="00DA75F8">
        <w:rPr>
          <w:rFonts w:hint="cs"/>
          <w:rtl/>
        </w:rPr>
        <w:t>،</w:t>
      </w:r>
      <w:r w:rsidRPr="00DA75F8">
        <w:rPr>
          <w:rtl/>
        </w:rPr>
        <w:t xml:space="preserve"> حيث قال في النهاية: "التغريب النفي عن البلد الذي وقعت فيه الجناية"</w:t>
      </w:r>
      <w:r w:rsidRPr="00DA75F8">
        <w:rPr>
          <w:vertAlign w:val="superscript"/>
          <w:rtl/>
        </w:rPr>
        <w:t>(</w:t>
      </w:r>
      <w:r w:rsidRPr="00DA75F8">
        <w:rPr>
          <w:rStyle w:val="FootnoteReference"/>
          <w:rFonts w:cs="Arabic Transparent"/>
          <w:rtl/>
        </w:rPr>
        <w:footnoteReference w:id="436"/>
      </w:r>
      <w:r w:rsidRPr="00DA75F8">
        <w:rPr>
          <w:vertAlign w:val="superscript"/>
          <w:rtl/>
        </w:rPr>
        <w:t>)</w:t>
      </w:r>
      <w:r w:rsidRPr="00DA75F8">
        <w:rPr>
          <w:rtl/>
        </w:rPr>
        <w:t>.</w:t>
      </w:r>
    </w:p>
    <w:p w:rsidR="005F44B2" w:rsidRPr="00DA75F8" w:rsidRDefault="005F44B2" w:rsidP="00C90CA2">
      <w:pPr>
        <w:pStyle w:val="a0"/>
        <w:widowControl w:val="0"/>
        <w:rPr>
          <w:rtl/>
        </w:rPr>
      </w:pPr>
      <w:r w:rsidRPr="00DA75F8">
        <w:rPr>
          <w:rFonts w:hint="cs"/>
          <w:rtl/>
        </w:rPr>
        <w:t>وقد</w:t>
      </w:r>
      <w:r w:rsidRPr="00DA75F8">
        <w:rPr>
          <w:rtl/>
        </w:rPr>
        <w:t xml:space="preserve"> ربط ابن عابدين التغريب بالمصلحة، حيث قال: " لو غلب على ظن الإمام مصلحة في التغريب تعزيرا فله أن يفعله"</w:t>
      </w:r>
      <w:r w:rsidRPr="00DA75F8">
        <w:rPr>
          <w:vertAlign w:val="superscript"/>
          <w:rtl/>
        </w:rPr>
        <w:t>(</w:t>
      </w:r>
      <w:r w:rsidRPr="00DA75F8">
        <w:rPr>
          <w:rStyle w:val="FootnoteReference"/>
          <w:rFonts w:cs="Arabic Transparent"/>
          <w:rtl/>
        </w:rPr>
        <w:footnoteReference w:id="437"/>
      </w:r>
      <w:r w:rsidRPr="00DA75F8">
        <w:rPr>
          <w:vertAlign w:val="superscript"/>
          <w:rtl/>
        </w:rPr>
        <w:t>)</w:t>
      </w:r>
      <w:r w:rsidRPr="00DA75F8">
        <w:rPr>
          <w:rFonts w:hint="cs"/>
          <w:rtl/>
        </w:rPr>
        <w:t>،</w:t>
      </w:r>
      <w:r w:rsidRPr="00DA75F8">
        <w:rPr>
          <w:rtl/>
        </w:rPr>
        <w:t xml:space="preserve"> واحتجّ بحديث رسول ا</w:t>
      </w:r>
      <w:r w:rsidRPr="00DA75F8">
        <w:rPr>
          <w:rFonts w:hint="cs"/>
          <w:rtl/>
        </w:rPr>
        <w:t>لله</w:t>
      </w:r>
      <w:r w:rsidRPr="00DA75F8">
        <w:rPr>
          <w:rtl/>
        </w:rPr>
        <w:t xml:space="preserve"> – صلى الله عل</w:t>
      </w:r>
      <w:r w:rsidRPr="00DA75F8">
        <w:rPr>
          <w:rFonts w:hint="cs"/>
          <w:rtl/>
        </w:rPr>
        <w:t>يه</w:t>
      </w:r>
      <w:r w:rsidRPr="00DA75F8">
        <w:rPr>
          <w:rtl/>
        </w:rPr>
        <w:t xml:space="preserve"> وسلم – وبتصرفات الصحابة، والعلماء. وأشار إلى حديث البخاري: " حدثنا يحيى بن بكير، حدثنا الليث، عن عقيل، عن ابن شهاب، عن سعيد بن المسيب، عن أبي هريرة رضي الله عنه«أَنَّ رَسُولَ اللَّهِ صَلَّى اللهُ عَلَيْهِ وَسَلَّمَ قَضَى فِيمَنْ زَنَى وَلَمْ يُحْصَنْ بِنَفْيِ عَامٍ، بِإِقَامَةِ الحَدِّ عَلَيْهِ»"</w:t>
      </w:r>
      <w:r w:rsidRPr="00DA75F8">
        <w:rPr>
          <w:vertAlign w:val="superscript"/>
          <w:rtl/>
        </w:rPr>
        <w:t>(</w:t>
      </w:r>
      <w:r w:rsidRPr="00DA75F8">
        <w:rPr>
          <w:rStyle w:val="FootnoteReference"/>
          <w:rFonts w:cs="Arabic Transparent"/>
          <w:rtl/>
        </w:rPr>
        <w:footnoteReference w:id="438"/>
      </w:r>
      <w:r w:rsidRPr="00DA75F8">
        <w:rPr>
          <w:vertAlign w:val="superscript"/>
          <w:rtl/>
        </w:rPr>
        <w:t>)</w:t>
      </w:r>
      <w:r w:rsidRPr="00DA75F8">
        <w:rPr>
          <w:rtl/>
        </w:rPr>
        <w:t>.</w:t>
      </w:r>
    </w:p>
    <w:p w:rsidR="005F44B2" w:rsidRPr="00DA75F8" w:rsidRDefault="005F44B2" w:rsidP="007B6769">
      <w:pPr>
        <w:pStyle w:val="a0"/>
        <w:rPr>
          <w:u w:val="single"/>
          <w:rtl/>
        </w:rPr>
      </w:pPr>
      <w:r w:rsidRPr="00DA75F8">
        <w:rPr>
          <w:rFonts w:hint="cs"/>
          <w:rtl/>
        </w:rPr>
        <w:t>ومثّل</w:t>
      </w:r>
      <w:r w:rsidRPr="00DA75F8">
        <w:rPr>
          <w:rtl/>
        </w:rPr>
        <w:t xml:space="preserve"> على ذلك بتصرّف عمر – رضي الله عنه– حيث غرَّب نصر بن حجاج بسبب جماله</w:t>
      </w:r>
      <w:r w:rsidRPr="00DA75F8">
        <w:rPr>
          <w:vertAlign w:val="superscript"/>
          <w:rtl/>
        </w:rPr>
        <w:t>(</w:t>
      </w:r>
      <w:r w:rsidRPr="00DA75F8">
        <w:rPr>
          <w:rStyle w:val="FootnoteReference"/>
          <w:rFonts w:cs="Arabic Transparent"/>
          <w:rtl/>
        </w:rPr>
        <w:footnoteReference w:id="439"/>
      </w:r>
      <w:r w:rsidRPr="00DA75F8">
        <w:rPr>
          <w:vertAlign w:val="superscript"/>
          <w:rtl/>
        </w:rPr>
        <w:t>)</w:t>
      </w:r>
      <w:r w:rsidRPr="00DA75F8">
        <w:rPr>
          <w:rFonts w:hint="cs"/>
          <w:rtl/>
        </w:rPr>
        <w:t>،</w:t>
      </w:r>
      <w:r w:rsidRPr="00DA75F8">
        <w:rPr>
          <w:rtl/>
        </w:rPr>
        <w:t xml:space="preserve"> لأنه كان مصدر فتنة بين النساء لجماله، وعمر – رضي الله عنه– نفاه عن البلد ليمنع الفتنة، وقد ذكر الباحث هذا في أدلة السياسة الشرعية</w:t>
      </w:r>
      <w:r w:rsidRPr="00DA75F8">
        <w:rPr>
          <w:vertAlign w:val="superscript"/>
          <w:rtl/>
        </w:rPr>
        <w:t>(</w:t>
      </w:r>
      <w:r w:rsidRPr="00DA75F8">
        <w:rPr>
          <w:rStyle w:val="FootnoteReference"/>
          <w:rFonts w:cs="Arabic Transparent"/>
          <w:rtl/>
        </w:rPr>
        <w:footnoteReference w:id="440"/>
      </w:r>
      <w:r w:rsidRPr="00DA75F8">
        <w:rPr>
          <w:vertAlign w:val="superscript"/>
          <w:rtl/>
        </w:rPr>
        <w:t>)</w:t>
      </w:r>
      <w:r w:rsidRPr="00DA75F8">
        <w:rPr>
          <w:rFonts w:hint="cs"/>
          <w:rtl/>
        </w:rPr>
        <w:t>،</w:t>
      </w:r>
      <w:r w:rsidRPr="00DA75F8">
        <w:rPr>
          <w:rtl/>
        </w:rPr>
        <w:t xml:space="preserve"> وأنه نفاه بقصد مصلحة الأمة، وقال ابن عابدين عن فعل عمر -رضي الله عنه - : " فهو فعل لمصلحة وهي قطع الافتتان بسببه في دار الهجرة التي هي من أشرف البقاع، ففيه رد وردع عن منكر واجب الإزالة"</w:t>
      </w:r>
      <w:r w:rsidRPr="00DA75F8">
        <w:rPr>
          <w:vertAlign w:val="superscript"/>
          <w:rtl/>
        </w:rPr>
        <w:t>(</w:t>
      </w:r>
      <w:r w:rsidRPr="00DA75F8">
        <w:rPr>
          <w:rStyle w:val="FootnoteReference"/>
          <w:rFonts w:cs="Arabic Transparent"/>
          <w:rtl/>
        </w:rPr>
        <w:footnoteReference w:id="441"/>
      </w:r>
      <w:r w:rsidRPr="00DA75F8">
        <w:rPr>
          <w:vertAlign w:val="superscript"/>
          <w:rtl/>
        </w:rPr>
        <w:t>)</w:t>
      </w:r>
      <w:r w:rsidRPr="00DA75F8">
        <w:rPr>
          <w:rFonts w:hint="cs"/>
          <w:rtl/>
        </w:rPr>
        <w:t>،</w:t>
      </w:r>
      <w:r w:rsidRPr="00DA75F8">
        <w:rPr>
          <w:rtl/>
        </w:rPr>
        <w:t xml:space="preserve"> وقال السرخسي في المبسوط عن نفي عمر – رضي الله عنه–  : " فنفاه والجمال لا يوجب النفي ولكن فعل ذلك للمصلحة"</w:t>
      </w:r>
      <w:r w:rsidRPr="00DA75F8">
        <w:rPr>
          <w:vertAlign w:val="superscript"/>
          <w:rtl/>
        </w:rPr>
        <w:t>(</w:t>
      </w:r>
      <w:r w:rsidRPr="00DA75F8">
        <w:rPr>
          <w:rStyle w:val="FootnoteReference"/>
          <w:rFonts w:cs="Arabic Transparent"/>
          <w:rtl/>
        </w:rPr>
        <w:footnoteReference w:id="442"/>
      </w:r>
      <w:r w:rsidRPr="00DA75F8">
        <w:rPr>
          <w:vertAlign w:val="superscript"/>
          <w:rtl/>
        </w:rPr>
        <w:t>)</w:t>
      </w:r>
      <w:r w:rsidRPr="00DA75F8">
        <w:rPr>
          <w:rFonts w:hint="cs"/>
          <w:rtl/>
        </w:rPr>
        <w:t>،</w:t>
      </w:r>
      <w:r w:rsidRPr="00DA75F8">
        <w:rPr>
          <w:rtl/>
        </w:rPr>
        <w:t xml:space="preserve"> وأيضًا قال الآلوسي في تفسيره: " وقد يغرب الإمام لمصلحة يراها في غير ما ذكر كما صح أن عمر بن الخطاب رضي الله تعالى عنه غرب نصر بن حجاج إلى البصرة بسبب أنه لجماله افتتن بعض النساء به"</w:t>
      </w:r>
      <w:r w:rsidRPr="00DA75F8">
        <w:rPr>
          <w:vertAlign w:val="superscript"/>
          <w:rtl/>
        </w:rPr>
        <w:t>(</w:t>
      </w:r>
      <w:r w:rsidRPr="00DA75F8">
        <w:rPr>
          <w:rStyle w:val="FootnoteReference"/>
          <w:rFonts w:cs="Arabic Transparent"/>
          <w:rtl/>
        </w:rPr>
        <w:footnoteReference w:id="44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وبعد</w:t>
      </w:r>
      <w:r w:rsidRPr="00DA75F8">
        <w:rPr>
          <w:rtl/>
        </w:rPr>
        <w:t xml:space="preserve"> هذه القصة من الاحتمال أن يخطر سؤالٌ على بال الناس وهو ما الفائدة من تغريبه، لأن البصر</w:t>
      </w:r>
      <w:r w:rsidRPr="00DA75F8">
        <w:rPr>
          <w:rFonts w:hint="cs"/>
          <w:rtl/>
        </w:rPr>
        <w:t>ة</w:t>
      </w:r>
      <w:r w:rsidRPr="00DA75F8">
        <w:rPr>
          <w:rtl/>
        </w:rPr>
        <w:t xml:space="preserve"> أيضًا مثل المدينة، إذا افتتنت به النساء في المدينة فستفتتنت به في البصرة. ومن الممكن أن يزيل هذا السؤال عن الناس بأربعة نقاط، وهي:</w:t>
      </w:r>
    </w:p>
    <w:p w:rsidR="005F44B2" w:rsidRPr="00DA75F8" w:rsidRDefault="005F44B2" w:rsidP="007B6769">
      <w:pPr>
        <w:pStyle w:val="a0"/>
        <w:rPr>
          <w:rtl/>
        </w:rPr>
      </w:pPr>
      <w:r w:rsidRPr="00DA75F8">
        <w:rPr>
          <w:rFonts w:hint="cs"/>
          <w:rtl/>
        </w:rPr>
        <w:t>أولًا</w:t>
      </w:r>
      <w:r w:rsidRPr="00DA75F8">
        <w:rPr>
          <w:rtl/>
        </w:rPr>
        <w:t>: من المعروف أن البصرة والمدينة ليستا متساويان من جهة الحرمة في الإسلام، لذا إزالة الفتنة من المدينة أفضل من البصرة.</w:t>
      </w:r>
    </w:p>
    <w:p w:rsidR="005F44B2" w:rsidRPr="00DA75F8" w:rsidRDefault="005F44B2" w:rsidP="007B6769">
      <w:pPr>
        <w:pStyle w:val="a0"/>
        <w:rPr>
          <w:rStyle w:val="apple-converted-space"/>
          <w:rFonts w:ascii="Droid Arabic Naskh" w:hAnsi="Droid Arabic Naskh" w:cs="Arabic Transparent"/>
          <w:b/>
          <w:bCs/>
          <w:color w:val="070B79"/>
          <w:sz w:val="21"/>
          <w:szCs w:val="21"/>
          <w:shd w:val="clear" w:color="auto" w:fill="FFFFFF"/>
          <w:rtl/>
        </w:rPr>
      </w:pPr>
      <w:r w:rsidRPr="00DA75F8">
        <w:rPr>
          <w:rFonts w:hint="cs"/>
          <w:rtl/>
        </w:rPr>
        <w:t>ثانيًا</w:t>
      </w:r>
      <w:r w:rsidRPr="00DA75F8">
        <w:rPr>
          <w:rtl/>
        </w:rPr>
        <w:t>: أن تحقيق هذا التغريب وإعلام الناس به: يجعل مكافحة الفتنة دائعة في أنفس الأجيال، وهذا تقديم المصلحة العامة على المصلحة الخاصة.</w:t>
      </w:r>
    </w:p>
    <w:p w:rsidR="005F44B2" w:rsidRPr="00DA75F8" w:rsidRDefault="005F44B2" w:rsidP="007B6769">
      <w:pPr>
        <w:pStyle w:val="a0"/>
        <w:rPr>
          <w:rFonts w:ascii="Droid Arabic Naskh" w:hAnsi="Droid Arabic Naskh"/>
          <w:b/>
          <w:bCs/>
          <w:color w:val="070B79"/>
          <w:sz w:val="21"/>
          <w:szCs w:val="21"/>
          <w:shd w:val="clear" w:color="auto" w:fill="FFFFFF"/>
          <w:rtl/>
        </w:rPr>
      </w:pPr>
      <w:r w:rsidRPr="00DA75F8">
        <w:rPr>
          <w:rFonts w:hint="cs"/>
          <w:rtl/>
        </w:rPr>
        <w:t>ثالثًا</w:t>
      </w:r>
      <w:r w:rsidRPr="00DA75F8">
        <w:rPr>
          <w:rtl/>
        </w:rPr>
        <w:t>: وفي تغريب نصر بن حجاج تحفيز علىالإنتباه للفتنة، والناس في البصرة إذا عرفوا أنه غُرّب بالفتنة سيتقون من الفتنة، وسيحذرون منها.</w:t>
      </w:r>
    </w:p>
    <w:p w:rsidR="005F44B2" w:rsidRPr="00DA75F8" w:rsidRDefault="005F44B2" w:rsidP="007B6769">
      <w:pPr>
        <w:pStyle w:val="a0"/>
        <w:rPr>
          <w:rStyle w:val="apple-converted-space"/>
          <w:rFonts w:ascii="Droid Arabic Naskh" w:hAnsi="Droid Arabic Naskh" w:cs="Arabic Transparent"/>
          <w:b/>
          <w:bCs/>
          <w:color w:val="070B79"/>
          <w:sz w:val="21"/>
          <w:szCs w:val="21"/>
          <w:shd w:val="clear" w:color="auto" w:fill="FFFFFF"/>
          <w:rtl/>
        </w:rPr>
      </w:pPr>
      <w:r w:rsidRPr="00DA75F8">
        <w:rPr>
          <w:rFonts w:hint="cs"/>
          <w:rtl/>
        </w:rPr>
        <w:t>رابعًا</w:t>
      </w:r>
      <w:r w:rsidRPr="00DA75F8">
        <w:rPr>
          <w:rtl/>
        </w:rPr>
        <w:t>: أن المغترب ليس كمثل المستوطن، فإنه يعيش بعيدًا عن وطنه، وهذا يسبب الصعوبات للمغترب، وسيعمل ل</w:t>
      </w:r>
      <w:r w:rsidRPr="00DA75F8">
        <w:rPr>
          <w:rFonts w:hint="cs"/>
          <w:rtl/>
        </w:rPr>
        <w:t>دوام</w:t>
      </w:r>
      <w:r w:rsidRPr="00DA75F8">
        <w:rPr>
          <w:rtl/>
        </w:rPr>
        <w:t xml:space="preserve"> حياته، وعمله في الغ</w:t>
      </w:r>
      <w:r w:rsidRPr="00DA75F8">
        <w:rPr>
          <w:rFonts w:hint="cs"/>
          <w:rtl/>
        </w:rPr>
        <w:t>ربة</w:t>
      </w:r>
      <w:r w:rsidRPr="00DA75F8">
        <w:rPr>
          <w:rtl/>
        </w:rPr>
        <w:t xml:space="preserve"> أكثر صعوبةً من العمل في وطنه لأنه بعيد عن أهله وعشيرته، وهذا العمل يقلل من جماله</w:t>
      </w:r>
      <w:r w:rsidRPr="00DA75F8">
        <w:rPr>
          <w:vertAlign w:val="superscript"/>
          <w:rtl/>
        </w:rPr>
        <w:t>(</w:t>
      </w:r>
      <w:r w:rsidRPr="00DA75F8">
        <w:rPr>
          <w:rStyle w:val="FootnoteReference"/>
          <w:rFonts w:cs="Arabic Transparent"/>
          <w:rtl/>
        </w:rPr>
        <w:footnoteReference w:id="444"/>
      </w:r>
      <w:r w:rsidRPr="00DA75F8">
        <w:rPr>
          <w:vertAlign w:val="superscript"/>
          <w:rtl/>
        </w:rPr>
        <w:t>)</w:t>
      </w:r>
      <w:r w:rsidRPr="00DA75F8">
        <w:rPr>
          <w:rtl/>
        </w:rPr>
        <w:t>. ويؤيّد هذا قولُ شيخ الإسلام ابن تيمية - رحمه الله - : "إن عمر بن الخطاب نفى نصر بن حجاج من المدينة ومن وطنه إلى البصرة لما سمع تشبيب النساء به وتشبهه بهن وكان أولا قد أمر بأخذ شعره؛ ليزيل جماله الذي كان يفتن به النساء فلما رآه بعد ذلك من أحسن الناس وجنتين غمه ذلك فنفاه إلى البصرة ف</w:t>
      </w:r>
      <w:r w:rsidRPr="00DA75F8">
        <w:rPr>
          <w:rFonts w:hint="cs"/>
          <w:rtl/>
        </w:rPr>
        <w:t>هذا</w:t>
      </w:r>
      <w:r w:rsidRPr="00DA75F8">
        <w:rPr>
          <w:rtl/>
        </w:rPr>
        <w:t xml:space="preserve"> لم يصدر منه ذنب ولا فاحشة يعاقب عليها؛ لكن كان في النساء من يفتتن به فأمر بإزالة جماله الفاتن فإن انتقاله عن وطنه مما يضعف همته وبدنه ويعلم أنه معاقب وهذا من باب التفريق بين الذين يخاف عليهم الفاحشة والعشق قبل وقوعه وليس من باب المعاقبة"</w:t>
      </w:r>
      <w:r w:rsidRPr="00DA75F8">
        <w:rPr>
          <w:vertAlign w:val="superscript"/>
          <w:rtl/>
        </w:rPr>
        <w:t>(</w:t>
      </w:r>
      <w:r w:rsidRPr="00DA75F8">
        <w:rPr>
          <w:rStyle w:val="FootnoteReference"/>
          <w:rFonts w:cs="Arabic Transparent"/>
          <w:rtl/>
        </w:rPr>
        <w:footnoteReference w:id="44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قد</w:t>
      </w:r>
      <w:r w:rsidRPr="00DA75F8">
        <w:rPr>
          <w:rtl/>
        </w:rPr>
        <w:t xml:space="preserve"> ثبت لنا بهذه النقاط الأربعة المصلحة في تغريب عمر – رضي الله عنه – لنصر بن حجاج من المدينة إلى البصرة.</w:t>
      </w:r>
    </w:p>
    <w:p w:rsidR="005F44B2" w:rsidRPr="00DA75F8" w:rsidRDefault="005F44B2" w:rsidP="007B6769">
      <w:pPr>
        <w:pStyle w:val="a0"/>
        <w:rPr>
          <w:rtl/>
        </w:rPr>
      </w:pPr>
      <w:r w:rsidRPr="00DA75F8">
        <w:rPr>
          <w:rFonts w:hint="cs"/>
          <w:rtl/>
        </w:rPr>
        <w:t>وقد</w:t>
      </w:r>
      <w:r w:rsidRPr="00DA75F8">
        <w:rPr>
          <w:rtl/>
        </w:rPr>
        <w:t xml:space="preserve"> احتجّ أيضًا ابن عابدين على أن التغريب بالمصلحة من تصرفات العلماء، حيث قال: " كثير من مشايخ السلوك المحققين رضي الله عنا بهم وحشرنا معهم يغربونالمريد إذا بدا منه قوة نفس ولجاج لتنكسر نفسه وتلين، مثل هذا المريد أو من هو قريب منه هو الذي ينبغي أن يقع عليه رأي القاضي في التغريب"</w:t>
      </w:r>
      <w:r w:rsidRPr="00DA75F8">
        <w:rPr>
          <w:vertAlign w:val="superscript"/>
          <w:rtl/>
        </w:rPr>
        <w:t>(</w:t>
      </w:r>
      <w:r w:rsidRPr="00DA75F8">
        <w:rPr>
          <w:rStyle w:val="FootnoteReference"/>
          <w:rFonts w:cs="Arabic Transparent"/>
          <w:rtl/>
        </w:rPr>
        <w:footnoteReference w:id="44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ويُفهم</w:t>
      </w:r>
      <w:r w:rsidRPr="00DA75F8">
        <w:rPr>
          <w:rtl/>
        </w:rPr>
        <w:t xml:space="preserve"> مما سبق من الأمثلة أن التغريب للمصلحة، ولكن هذا ليس بمعنى أن كل تغريب للمصلحة بل يوجد بعض التغريب الذي يُوسِّع طُرُق الفساد في بعض الحالات، حيثروى عبد الرزاق قال: غرب عمر - رضي الله عنه - ربيعة بن أمية بن خلف في الشراب إلى خيبر فلحق بهرقل فتنصر، فقال عمر لا أغِّرب بعده مسلما"</w:t>
      </w:r>
      <w:r w:rsidRPr="00DA75F8">
        <w:rPr>
          <w:vertAlign w:val="superscript"/>
          <w:rtl/>
        </w:rPr>
        <w:t>(</w:t>
      </w:r>
      <w:r w:rsidRPr="00DA75F8">
        <w:rPr>
          <w:rStyle w:val="FootnoteReference"/>
          <w:rFonts w:cs="Arabic Transparent"/>
          <w:rtl/>
        </w:rPr>
        <w:footnoteReference w:id="447"/>
      </w:r>
      <w:r w:rsidRPr="00DA75F8">
        <w:rPr>
          <w:vertAlign w:val="superscript"/>
          <w:rtl/>
        </w:rPr>
        <w:t>)</w:t>
      </w:r>
      <w:r w:rsidRPr="00DA75F8">
        <w:rPr>
          <w:rFonts w:hint="cs"/>
          <w:rtl/>
        </w:rPr>
        <w:t>،</w:t>
      </w:r>
      <w:r w:rsidRPr="00DA75F8">
        <w:rPr>
          <w:rtl/>
        </w:rPr>
        <w:t xml:space="preserve"> والتغريب في هذا المثال ليس للمصلحة بل فَتَحَ التغريبُ باب الفساد، وهكذا لفت ابن عابدين النظر إلى أهمية المقصود من التغريب، إذن من الممكن أن نقول أنّ للإمام أو للقاضي أن يغرّب إذا رأى المصلحة في التغريب، وهذا التغريب يدخل في باب السياسة الشرعية حيث يربط بالمصلحة العامة.</w:t>
      </w:r>
    </w:p>
    <w:p w:rsidR="005F44B2" w:rsidRPr="00DA75F8" w:rsidRDefault="005F44B2" w:rsidP="007B6769">
      <w:pPr>
        <w:pStyle w:val="a0"/>
        <w:rPr>
          <w:rtl/>
        </w:rPr>
      </w:pPr>
      <w:r w:rsidRPr="00DA75F8">
        <w:rPr>
          <w:rFonts w:hint="cs"/>
          <w:rtl/>
        </w:rPr>
        <w:t>وقال</w:t>
      </w:r>
      <w:r w:rsidRPr="00DA75F8">
        <w:rPr>
          <w:rtl/>
        </w:rPr>
        <w:t xml:space="preserve"> بعض العلماء للإمام أن يغرّب إذا رأى المصلحة، مثل الكاساني، حيث قال: " إن للإمام أن ين</w:t>
      </w:r>
      <w:r w:rsidRPr="00DA75F8">
        <w:rPr>
          <w:rFonts w:hint="cs"/>
          <w:rtl/>
        </w:rPr>
        <w:t>في</w:t>
      </w:r>
      <w:r w:rsidRPr="00DA75F8">
        <w:rPr>
          <w:rtl/>
        </w:rPr>
        <w:t xml:space="preserve"> إن رأى المصلحة في الت</w:t>
      </w:r>
      <w:r w:rsidRPr="00DA75F8">
        <w:rPr>
          <w:rFonts w:hint="cs"/>
          <w:rtl/>
        </w:rPr>
        <w:t>غريب</w:t>
      </w:r>
      <w:r w:rsidRPr="00DA75F8">
        <w:rPr>
          <w:rtl/>
        </w:rPr>
        <w:t>"</w:t>
      </w:r>
      <w:r w:rsidRPr="00DA75F8">
        <w:rPr>
          <w:vertAlign w:val="superscript"/>
          <w:rtl/>
        </w:rPr>
        <w:t>(</w:t>
      </w:r>
      <w:r w:rsidRPr="00DA75F8">
        <w:rPr>
          <w:rStyle w:val="FootnoteReference"/>
          <w:rFonts w:cs="Arabic Transparent"/>
          <w:rtl/>
        </w:rPr>
        <w:footnoteReference w:id="448"/>
      </w:r>
      <w:r w:rsidRPr="00DA75F8">
        <w:rPr>
          <w:vertAlign w:val="superscript"/>
          <w:rtl/>
        </w:rPr>
        <w:t>)</w:t>
      </w:r>
      <w:r w:rsidRPr="00DA75F8">
        <w:rPr>
          <w:rFonts w:hint="cs"/>
          <w:rtl/>
        </w:rPr>
        <w:t>،</w:t>
      </w:r>
      <w:r w:rsidRPr="00DA75F8">
        <w:rPr>
          <w:rtl/>
        </w:rPr>
        <w:t xml:space="preserve"> وقال الموصلي بالمعنى نفسه وزاد فيه أن هذا التغريب يكون سياسة</w:t>
      </w:r>
      <w:r w:rsidRPr="00DA75F8">
        <w:rPr>
          <w:vertAlign w:val="superscript"/>
          <w:rtl/>
        </w:rPr>
        <w:t>(</w:t>
      </w:r>
      <w:r w:rsidRPr="00DA75F8">
        <w:rPr>
          <w:rStyle w:val="FootnoteReference"/>
          <w:rFonts w:cs="Arabic Transparent"/>
          <w:rtl/>
        </w:rPr>
        <w:footnoteReference w:id="44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قد</w:t>
      </w:r>
      <w:r w:rsidRPr="00DA75F8">
        <w:rPr>
          <w:rtl/>
        </w:rPr>
        <w:t xml:space="preserve"> قال ابن عابدين " إن من آذى الناس ينفى عن البلد"</w:t>
      </w:r>
      <w:r w:rsidRPr="00DA75F8">
        <w:rPr>
          <w:vertAlign w:val="superscript"/>
          <w:rtl/>
        </w:rPr>
        <w:t>(</w:t>
      </w:r>
      <w:r w:rsidRPr="00DA75F8">
        <w:rPr>
          <w:rStyle w:val="FootnoteReference"/>
          <w:rFonts w:cs="Arabic Transparent"/>
          <w:rtl/>
        </w:rPr>
        <w:footnoteReference w:id="450"/>
      </w:r>
      <w:r w:rsidRPr="00DA75F8">
        <w:rPr>
          <w:vertAlign w:val="superscript"/>
          <w:rtl/>
        </w:rPr>
        <w:t>)</w:t>
      </w:r>
      <w:r w:rsidRPr="00DA75F8">
        <w:rPr>
          <w:rFonts w:hint="cs"/>
          <w:rtl/>
        </w:rPr>
        <w:t>،</w:t>
      </w:r>
      <w:r w:rsidRPr="00DA75F8">
        <w:rPr>
          <w:rtl/>
        </w:rPr>
        <w:t xml:space="preserve"> وهكذا عمّمَ التغريب، وقَصْدُ التغريب هنا أيضًا للمصلحة، وهي ردع الضرر عن الناس.</w:t>
      </w:r>
    </w:p>
    <w:p w:rsidR="005F44B2" w:rsidRPr="00DA75F8" w:rsidRDefault="005F44B2" w:rsidP="007B6769">
      <w:pPr>
        <w:pStyle w:val="a0"/>
        <w:rPr>
          <w:rtl/>
        </w:rPr>
      </w:pPr>
      <w:r w:rsidRPr="00DA75F8">
        <w:rPr>
          <w:rFonts w:hint="cs"/>
          <w:rtl/>
        </w:rPr>
        <w:t>وأيضًا</w:t>
      </w:r>
      <w:r w:rsidRPr="00DA75F8">
        <w:rPr>
          <w:rtl/>
        </w:rPr>
        <w:t xml:space="preserve"> ذكر التغريب في جريمة الزاني غير المحصن، فجريمة غير المحصن الجلد فقط، ولايجمع الجلد والتغريب إلا في حالة واحدة، وهي أن يقرر الإمام ذلك</w:t>
      </w:r>
      <w:r w:rsidRPr="00DA75F8">
        <w:rPr>
          <w:vertAlign w:val="superscript"/>
          <w:rtl/>
        </w:rPr>
        <w:t>(</w:t>
      </w:r>
      <w:r w:rsidRPr="00DA75F8">
        <w:rPr>
          <w:rStyle w:val="FootnoteReference"/>
          <w:rFonts w:cs="Arabic Transparent"/>
          <w:rtl/>
        </w:rPr>
        <w:footnoteReference w:id="451"/>
      </w:r>
      <w:r w:rsidRPr="00DA75F8">
        <w:rPr>
          <w:vertAlign w:val="superscript"/>
          <w:rtl/>
        </w:rPr>
        <w:t>)</w:t>
      </w:r>
      <w:r w:rsidRPr="00DA75F8">
        <w:rPr>
          <w:rFonts w:hint="cs"/>
          <w:rtl/>
        </w:rPr>
        <w:t>،</w:t>
      </w:r>
      <w:r w:rsidRPr="00DA75F8">
        <w:rPr>
          <w:rtl/>
        </w:rPr>
        <w:t xml:space="preserve"> إذا رأى الإمام المصلحة في نفي البكر عن البلد فله أن يفعله، وهذا الفعل سياسة</w:t>
      </w:r>
      <w:r w:rsidRPr="00DA75F8">
        <w:rPr>
          <w:vertAlign w:val="superscript"/>
          <w:rtl/>
        </w:rPr>
        <w:t>(</w:t>
      </w:r>
      <w:r w:rsidRPr="00DA75F8">
        <w:rPr>
          <w:rStyle w:val="FootnoteReference"/>
          <w:rFonts w:cs="Arabic Transparent"/>
          <w:rtl/>
        </w:rPr>
        <w:footnoteReference w:id="45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يستنتج</w:t>
      </w:r>
      <w:r w:rsidRPr="00DA75F8">
        <w:rPr>
          <w:rtl/>
        </w:rPr>
        <w:t xml:space="preserve"> الباحث من ذلك أن عقوب</w:t>
      </w:r>
      <w:r w:rsidRPr="00DA75F8">
        <w:rPr>
          <w:rFonts w:hint="cs"/>
          <w:rtl/>
        </w:rPr>
        <w:t>ة</w:t>
      </w:r>
      <w:r w:rsidRPr="00DA75F8">
        <w:rPr>
          <w:rtl/>
        </w:rPr>
        <w:t xml:space="preserve"> التغريب قد يعاقب به سياسةً شرعيةً، والأصل فيه أن يكون قصد به للمصلحة، ولذا إذا أراد الإمام أن يغرّب سياسة فيجب عليه أن يدرك الموضوع جيدًا وأن يتخيّل نتائج التغريب حتى تتحقق المصلحة. </w:t>
      </w:r>
    </w:p>
    <w:p w:rsidR="005F44B2" w:rsidRPr="00DA75F8" w:rsidRDefault="005F44B2" w:rsidP="005E6A96">
      <w:pPr>
        <w:pStyle w:val="a3"/>
        <w:rPr>
          <w:rtl/>
        </w:rPr>
      </w:pPr>
      <w:bookmarkStart w:id="43" w:name="_Toc447092585"/>
      <w:r w:rsidRPr="00DA75F8">
        <w:rPr>
          <w:rFonts w:hint="cs"/>
          <w:rtl/>
        </w:rPr>
        <w:t>المطلب</w:t>
      </w:r>
      <w:r w:rsidRPr="00DA75F8">
        <w:rPr>
          <w:rtl/>
        </w:rPr>
        <w:t xml:space="preserve"> الرابع: إخراج الزكاة للمرةالثانية</w:t>
      </w:r>
      <w:bookmarkEnd w:id="43"/>
    </w:p>
    <w:p w:rsidR="005F44B2" w:rsidRPr="00DA75F8" w:rsidRDefault="005F44B2" w:rsidP="007B6769">
      <w:pPr>
        <w:pStyle w:val="a0"/>
        <w:rPr>
          <w:rtl/>
        </w:rPr>
      </w:pPr>
      <w:r w:rsidRPr="00DA75F8">
        <w:rPr>
          <w:rFonts w:hint="cs"/>
          <w:rtl/>
        </w:rPr>
        <w:t>قد</w:t>
      </w:r>
      <w:r w:rsidRPr="00DA75F8">
        <w:rPr>
          <w:rtl/>
        </w:rPr>
        <w:t xml:space="preserve"> ذُكرت شروط الزكاة، ومصارفها، ومن يأخذها، وأموالها، ومقد</w:t>
      </w:r>
      <w:r w:rsidRPr="00DA75F8">
        <w:rPr>
          <w:rFonts w:hint="cs"/>
          <w:rtl/>
        </w:rPr>
        <w:t>ارها،</w:t>
      </w:r>
      <w:r w:rsidRPr="00DA75F8">
        <w:rPr>
          <w:rtl/>
        </w:rPr>
        <w:t xml:space="preserve"> وما يتعلق بها في ا</w:t>
      </w:r>
      <w:r w:rsidRPr="00DA75F8">
        <w:rPr>
          <w:rFonts w:hint="cs"/>
          <w:rtl/>
        </w:rPr>
        <w:t>لكتب</w:t>
      </w:r>
      <w:r w:rsidRPr="00DA75F8">
        <w:rPr>
          <w:rtl/>
        </w:rPr>
        <w:t xml:space="preserve"> الفقهية بشكل مفصّل، وأما إذا صدرت مشكلة أو شبهة في الزكاة المدفوعة فما الحكم؟، هل يُعاد أخذها مرةً أخرى؟ إذا كان جواب السؤال الإثبات فينتج سؤال آخر وهو ما حكم الزكاة الثانية؟</w:t>
      </w:r>
    </w:p>
    <w:p w:rsidR="005F44B2" w:rsidRPr="00DA75F8" w:rsidRDefault="005F44B2" w:rsidP="007B6769">
      <w:pPr>
        <w:pStyle w:val="a0"/>
        <w:rPr>
          <w:rtl/>
        </w:rPr>
      </w:pPr>
      <w:r w:rsidRPr="00DA75F8">
        <w:rPr>
          <w:rFonts w:hint="cs"/>
          <w:rtl/>
        </w:rPr>
        <w:t>قال</w:t>
      </w:r>
      <w:r w:rsidRPr="00DA75F8">
        <w:rPr>
          <w:rtl/>
        </w:rPr>
        <w:t xml:space="preserve"> ابن عابدين عن الزكاة الثانية أنها تُؤخذ سياسة، والأول يصبح نافلةً، وقد درس هذه المسألة في ((رد المحتار)) في ((كتاب الزكاة))، تحت ((باب العاشر في الزكاة))، وكان يتحدث عن زكاة أموال التجار الذين يخرجون بأموالهم من المدينة أو البلد ويدّعونأداء زكاة أموالهم، وسينقل الباحث قوله كاملًا عن الموضوع الذي ذكر فيه حكم ا</w:t>
      </w:r>
      <w:r w:rsidRPr="00DA75F8">
        <w:rPr>
          <w:rFonts w:hint="cs"/>
          <w:rtl/>
        </w:rPr>
        <w:t>لزكاة</w:t>
      </w:r>
      <w:r w:rsidRPr="00DA75F8">
        <w:rPr>
          <w:rtl/>
        </w:rPr>
        <w:t xml:space="preserve"> الثانية ليصبح الوضوح عند القارئ أكبر حيث قال: " والمعنى: لو ادعى أنه أدى زكاة الأموال الباطنة بنفسه بعد إخراجها من البلد لا يصدق ولا يصح تعلقه بالأموال الباطنة تعلقا نحويا كما هو ظاهر ولا معنويا على أنه صفة أو حال لإيهامه أنه لا يصدق بعد إخراجها سواء قال: أديت قبل الإخراج أو بعده مع أنه بعد مروره بها على العاشر لو قال أديت إلى الفقراء في المصر يصدق كما مر في المتن فافهم (قوله: فكان الأخذ فيها للإمام) كما في الأموال الظاهرة وهي السوائم.</w:t>
      </w:r>
    </w:p>
    <w:p w:rsidR="005F44B2" w:rsidRPr="00DA75F8" w:rsidRDefault="005F44B2" w:rsidP="007B6769">
      <w:pPr>
        <w:pStyle w:val="a0"/>
        <w:rPr>
          <w:rtl/>
        </w:rPr>
      </w:pPr>
      <w:r w:rsidRPr="00DA75F8">
        <w:rPr>
          <w:rtl/>
        </w:rPr>
        <w:t xml:space="preserve">(قوله: والأول ينقلب نفلا) هو الصحيح وقيل الثاني </w:t>
      </w:r>
      <w:r w:rsidRPr="00DA75F8">
        <w:rPr>
          <w:rFonts w:hint="cs"/>
          <w:rtl/>
        </w:rPr>
        <w:t>سياسة،</w:t>
      </w:r>
      <w:r w:rsidRPr="00DA75F8">
        <w:rPr>
          <w:rtl/>
        </w:rPr>
        <w:t xml:space="preserve"> وهذا لا ينافي انف</w:t>
      </w:r>
      <w:r w:rsidRPr="00DA75F8">
        <w:rPr>
          <w:rFonts w:hint="cs"/>
          <w:rtl/>
        </w:rPr>
        <w:t>ساخ</w:t>
      </w:r>
      <w:r w:rsidRPr="00DA75F8">
        <w:rPr>
          <w:rtl/>
        </w:rPr>
        <w:t xml:space="preserve"> الأول ووقوع الثاني سياسة بأدنى تأمل"</w:t>
      </w:r>
      <w:r w:rsidRPr="00DA75F8">
        <w:rPr>
          <w:vertAlign w:val="superscript"/>
          <w:rtl/>
        </w:rPr>
        <w:t>(</w:t>
      </w:r>
      <w:r w:rsidRPr="00DA75F8">
        <w:rPr>
          <w:rStyle w:val="FootnoteReference"/>
          <w:rFonts w:cs="Arabic Transparent"/>
          <w:rtl/>
        </w:rPr>
        <w:footnoteReference w:id="453"/>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يؤيّد</w:t>
      </w:r>
      <w:r w:rsidRPr="00DA75F8">
        <w:rPr>
          <w:rtl/>
        </w:rPr>
        <w:t xml:space="preserve"> كلامُ علماء الحنفية ابن عابدين في هذه المسألة، حيث يقولون لايُصدّق قو</w:t>
      </w:r>
      <w:r w:rsidRPr="00DA75F8">
        <w:rPr>
          <w:rFonts w:hint="cs"/>
          <w:rtl/>
        </w:rPr>
        <w:t>ل</w:t>
      </w:r>
      <w:r w:rsidRPr="00DA75F8">
        <w:rPr>
          <w:rtl/>
        </w:rPr>
        <w:t xml:space="preserve"> من قال أديت إلى الفقرا</w:t>
      </w:r>
      <w:r w:rsidRPr="00DA75F8">
        <w:rPr>
          <w:rFonts w:hint="cs"/>
          <w:rtl/>
        </w:rPr>
        <w:t>ء</w:t>
      </w:r>
      <w:r w:rsidRPr="00DA75F8">
        <w:rPr>
          <w:rtl/>
        </w:rPr>
        <w:t xml:space="preserve"> ولو كان في الأصا صحيحًا، لأن حق الأخذ للسلطان، لذلك تكون الزكاة الثانية سياسة</w:t>
      </w:r>
      <w:r w:rsidRPr="00DA75F8">
        <w:rPr>
          <w:vertAlign w:val="superscript"/>
          <w:rtl/>
        </w:rPr>
        <w:t>(</w:t>
      </w:r>
      <w:r w:rsidRPr="00DA75F8">
        <w:rPr>
          <w:rStyle w:val="FootnoteReference"/>
          <w:rFonts w:cs="Arabic Transparent"/>
          <w:rtl/>
        </w:rPr>
        <w:footnoteReference w:id="45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سبب</w:t>
      </w:r>
      <w:r w:rsidRPr="00DA75F8">
        <w:rPr>
          <w:rtl/>
        </w:rPr>
        <w:t xml:space="preserve"> أخذه مرة ثانية هو الزجر له حتى لايفعله مرة ثانية وهو دفع الزكاة دون العودة للإمام، وردع لمن يريد أن يفعل شيئا ليس من أخذها، ولينردع عن اقتراف الذنب في أخذالحق من الإمام</w:t>
      </w:r>
      <w:r w:rsidRPr="00DA75F8">
        <w:rPr>
          <w:vertAlign w:val="superscript"/>
          <w:rtl/>
        </w:rPr>
        <w:t>(</w:t>
      </w:r>
      <w:r w:rsidRPr="00DA75F8">
        <w:rPr>
          <w:rStyle w:val="FootnoteReference"/>
          <w:rFonts w:cs="Arabic Transparent"/>
          <w:rtl/>
        </w:rPr>
        <w:footnoteReference w:id="455"/>
      </w:r>
      <w:r w:rsidRPr="00DA75F8">
        <w:rPr>
          <w:vertAlign w:val="superscript"/>
          <w:rtl/>
        </w:rPr>
        <w:t>)</w:t>
      </w:r>
    </w:p>
    <w:p w:rsidR="005F44B2" w:rsidRPr="00DA75F8" w:rsidRDefault="005F44B2" w:rsidP="007B6769">
      <w:pPr>
        <w:pStyle w:val="a0"/>
        <w:rPr>
          <w:u w:val="single"/>
          <w:vertAlign w:val="superscript"/>
          <w:rtl/>
        </w:rPr>
      </w:pPr>
      <w:r w:rsidRPr="00DA75F8">
        <w:rPr>
          <w:rFonts w:hint="cs"/>
          <w:rtl/>
        </w:rPr>
        <w:t>ومن</w:t>
      </w:r>
      <w:r w:rsidRPr="00DA75F8">
        <w:rPr>
          <w:rtl/>
        </w:rPr>
        <w:t xml:space="preserve"> الممكن أن يستخرج الباحث من قول ابن عابدين أنه إذا قرّر الحاكم أخذ الزكاة الثانية في حال ما فهو جائز، وتكون الثانية من باب السياسة الشرعية، وقد أيّد ابن عابدين ذلك بقوله: " وقوع الثاني سياسة بأدنى تأمل"</w:t>
      </w:r>
      <w:r w:rsidRPr="00DA75F8">
        <w:rPr>
          <w:vertAlign w:val="superscript"/>
          <w:rtl/>
        </w:rPr>
        <w:t>(</w:t>
      </w:r>
      <w:r w:rsidRPr="00DA75F8">
        <w:rPr>
          <w:rStyle w:val="FootnoteReference"/>
          <w:rFonts w:cs="Arabic Transparent"/>
          <w:rtl/>
        </w:rPr>
        <w:footnoteReference w:id="456"/>
      </w:r>
      <w:r w:rsidRPr="00DA75F8">
        <w:rPr>
          <w:vertAlign w:val="superscript"/>
          <w:rtl/>
        </w:rPr>
        <w:t>)</w:t>
      </w:r>
      <w:r w:rsidRPr="00DA75F8">
        <w:rPr>
          <w:rFonts w:hint="cs"/>
          <w:rtl/>
        </w:rPr>
        <w:t>،</w:t>
      </w:r>
      <w:r w:rsidRPr="00DA75F8">
        <w:rPr>
          <w:rtl/>
        </w:rPr>
        <w:t xml:space="preserve"> وتُبيّن أقوال العلماء أسباب أخذه مرة ثانية أن أخذ الزكاة في الثانية من باب السياسة الشرعية لأنّ الأسباب المذكورةتهدف إلى تحقيق مصلحة الأمة، وهي من غاية السياسة الشرعية.</w:t>
      </w:r>
    </w:p>
    <w:p w:rsidR="005F44B2" w:rsidRPr="00DA75F8" w:rsidRDefault="005F44B2" w:rsidP="005E6A96">
      <w:pPr>
        <w:pStyle w:val="a3"/>
        <w:rPr>
          <w:rtl/>
        </w:rPr>
      </w:pPr>
      <w:bookmarkStart w:id="44" w:name="_Toc447092586"/>
      <w:r w:rsidRPr="00DA75F8">
        <w:rPr>
          <w:rFonts w:hint="cs"/>
          <w:rtl/>
        </w:rPr>
        <w:t>المطلب</w:t>
      </w:r>
      <w:r w:rsidRPr="00DA75F8">
        <w:rPr>
          <w:rtl/>
        </w:rPr>
        <w:t xml:space="preserve"> الخامس: ضربُ المتَّهَم بسرقةٍ</w:t>
      </w:r>
      <w:bookmarkEnd w:id="44"/>
    </w:p>
    <w:p w:rsidR="005F44B2" w:rsidRPr="00DA75F8" w:rsidRDefault="005F44B2" w:rsidP="007B6769">
      <w:pPr>
        <w:pStyle w:val="a0"/>
        <w:rPr>
          <w:rtl/>
        </w:rPr>
      </w:pPr>
      <w:r w:rsidRPr="00DA75F8">
        <w:rPr>
          <w:rFonts w:hint="cs"/>
          <w:rtl/>
        </w:rPr>
        <w:t>إن</w:t>
      </w:r>
      <w:r w:rsidRPr="00DA75F8">
        <w:rPr>
          <w:rtl/>
        </w:rPr>
        <w:t xml:space="preserve"> جريمة السرقة منصوص عليها، وفيها شروط ليُقام حدها، ومنها أن لاتوجد أي شبهة في الجريمة، لأنه إذا صدرت شبهة في الحدود لم تنفّذ، وهذا مستخرج من قاعدة فقهية وهي: تسقط الحدود بالشبهات.</w:t>
      </w:r>
    </w:p>
    <w:p w:rsidR="005F44B2" w:rsidRPr="00DA75F8" w:rsidRDefault="005F44B2" w:rsidP="007B6769">
      <w:pPr>
        <w:pStyle w:val="a0"/>
        <w:rPr>
          <w:rtl/>
        </w:rPr>
      </w:pPr>
      <w:r w:rsidRPr="00DA75F8">
        <w:rPr>
          <w:rFonts w:hint="cs"/>
          <w:rtl/>
        </w:rPr>
        <w:t>المتّهم</w:t>
      </w:r>
      <w:r w:rsidRPr="00DA75F8">
        <w:rPr>
          <w:rtl/>
        </w:rPr>
        <w:t xml:space="preserve"> هو ا</w:t>
      </w:r>
      <w:r w:rsidRPr="00DA75F8">
        <w:rPr>
          <w:rFonts w:hint="cs"/>
          <w:rtl/>
        </w:rPr>
        <w:t>سم</w:t>
      </w:r>
      <w:r w:rsidRPr="00DA75F8">
        <w:rPr>
          <w:rtl/>
        </w:rPr>
        <w:t xml:space="preserve"> مفعول من التهمة بسكون الهاء وفتحها، والتهمة بمعنى الشك وأصلها الواو،وهي صدرت من الوهم، واتهمته ظننت به سوءا</w:t>
      </w:r>
      <w:r w:rsidRPr="00DA75F8">
        <w:rPr>
          <w:vertAlign w:val="superscript"/>
          <w:rtl/>
        </w:rPr>
        <w:t>(</w:t>
      </w:r>
      <w:r w:rsidRPr="00DA75F8">
        <w:rPr>
          <w:rStyle w:val="FootnoteReference"/>
          <w:rFonts w:cs="Arabic Transparent"/>
          <w:rtl/>
        </w:rPr>
        <w:footnoteReference w:id="457"/>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وبهذا</w:t>
      </w:r>
      <w:r w:rsidRPr="00DA75F8">
        <w:rPr>
          <w:rtl/>
        </w:rPr>
        <w:t xml:space="preserve"> المتّهم بسرقة لايُحدّ، لأنّ الجريمة لم تثبت عليه، ولكن للإمام أن يضربه لكي يُقرّ بجريمته، وهذا يعني أن ضرب المتهم بسرقة من السياسة الشرعية</w:t>
      </w:r>
      <w:r w:rsidRPr="00DA75F8">
        <w:rPr>
          <w:vertAlign w:val="superscript"/>
          <w:rtl/>
        </w:rPr>
        <w:t>(</w:t>
      </w:r>
      <w:r w:rsidRPr="00DA75F8">
        <w:rPr>
          <w:rStyle w:val="FootnoteReference"/>
          <w:rFonts w:cs="Arabic Transparent"/>
          <w:rtl/>
        </w:rPr>
        <w:footnoteReference w:id="458"/>
      </w:r>
      <w:r w:rsidRPr="00DA75F8">
        <w:rPr>
          <w:vertAlign w:val="superscript"/>
          <w:rtl/>
        </w:rPr>
        <w:t>)</w:t>
      </w:r>
      <w:r w:rsidRPr="00DA75F8">
        <w:rPr>
          <w:rFonts w:hint="cs"/>
          <w:rtl/>
        </w:rPr>
        <w:t>،</w:t>
      </w:r>
      <w:r w:rsidRPr="00DA75F8">
        <w:rPr>
          <w:rtl/>
        </w:rPr>
        <w:t xml:space="preserve"> وهذا رأي ابن عابدين وقد أيّده بحديث رسول الله – صلى الله عليه وسلم –: " أَنَّ النَّبِيَّ - صَلَّى اللَّهُ عَلَيْهِ وَسَلَّمَ - أَمَرَ الزُّبَيْرَ بْنَ الْعَوَّامِ أَنْ يَمَسَّ بَعْضَ الْمُعَاهَدِينَ بِالْعَذَابِ لَمَّا كَتَمَ إخْبَارَهُ بِالْمَالِ الَّذِي كَانَ - صَلَّى اللَّهُ عَلَيْهِ وَسَلَّمَ - قَدْ عَاهَدَهُمْ عَلَيْهِ، وَقَالَ لَهُ أَيْنَ كَنْزُ حُيَيِّ بْنِ أَخْطَبَ؟ فَقَالَ يَا مُحَمَّدُ أَنْفَذَتْهُ النَّفَقَاتُ وَالْحُرُوبُ، فَقَالَ: الْمَالُ كَثِيرٌ وَالْمَسْأَلَةُ أَقْرَبُ، وَقَالَ لِلزُّبَيْ</w:t>
      </w:r>
      <w:r w:rsidRPr="00DA75F8">
        <w:rPr>
          <w:rFonts w:hint="cs"/>
          <w:rtl/>
        </w:rPr>
        <w:t>رِ</w:t>
      </w:r>
      <w:r w:rsidRPr="00DA75F8">
        <w:rPr>
          <w:rtl/>
        </w:rPr>
        <w:t>: دُونَك هَذَا فَمَسَّ</w:t>
      </w:r>
      <w:r w:rsidRPr="00DA75F8">
        <w:rPr>
          <w:rFonts w:hint="cs"/>
          <w:rtl/>
        </w:rPr>
        <w:t>هُ</w:t>
      </w:r>
      <w:r w:rsidRPr="00DA75F8">
        <w:rPr>
          <w:rtl/>
        </w:rPr>
        <w:t xml:space="preserve"> الزُّبَيْرُ بِشَيْءٍ مِنْ الْعَذَابِ فَدَلَّهُمْ عَلَى الْمَال"</w:t>
      </w:r>
      <w:r w:rsidRPr="00DA75F8">
        <w:rPr>
          <w:vertAlign w:val="superscript"/>
          <w:rtl/>
        </w:rPr>
        <w:t>(</w:t>
      </w:r>
      <w:r w:rsidRPr="00DA75F8">
        <w:rPr>
          <w:rStyle w:val="FootnoteReference"/>
          <w:rFonts w:cs="Arabic Transparent"/>
          <w:rtl/>
        </w:rPr>
        <w:footnoteReference w:id="459"/>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نفهم</w:t>
      </w:r>
      <w:r w:rsidRPr="00DA75F8">
        <w:rPr>
          <w:rtl/>
        </w:rPr>
        <w:t xml:space="preserve"> من الحديث جواز إجبار المتهم على الكلام، وهكذا يدلّ الحديث على جواز ضرب المتّهم بسرقة حيث أدخله ابن عابدين في باب السياسة الشرعية، والغ</w:t>
      </w:r>
      <w:r w:rsidRPr="00DA75F8">
        <w:rPr>
          <w:rFonts w:hint="cs"/>
          <w:rtl/>
        </w:rPr>
        <w:t>اية</w:t>
      </w:r>
      <w:r w:rsidRPr="00DA75F8">
        <w:rPr>
          <w:rtl/>
        </w:rPr>
        <w:t xml:space="preserve"> هنا ليست أذى المدّعى عليه بل إظهار الحق وهو من غاية السياسة الشرعية وشرحناه سابقًا</w:t>
      </w:r>
      <w:r w:rsidRPr="00DA75F8">
        <w:rPr>
          <w:vertAlign w:val="superscript"/>
          <w:rtl/>
        </w:rPr>
        <w:t>(</w:t>
      </w:r>
      <w:r w:rsidRPr="00DA75F8">
        <w:rPr>
          <w:rStyle w:val="FootnoteReference"/>
          <w:rFonts w:cs="Arabic Transparent"/>
          <w:rtl/>
        </w:rPr>
        <w:footnoteReference w:id="460"/>
      </w:r>
      <w:r w:rsidRPr="00DA75F8">
        <w:rPr>
          <w:vertAlign w:val="superscript"/>
          <w:rtl/>
        </w:rPr>
        <w:t>)</w:t>
      </w:r>
      <w:r w:rsidRPr="00DA75F8">
        <w:rPr>
          <w:rFonts w:hint="cs"/>
          <w:rtl/>
        </w:rPr>
        <w:t>،</w:t>
      </w:r>
      <w:r w:rsidRPr="00DA75F8">
        <w:rPr>
          <w:rtl/>
        </w:rPr>
        <w:t xml:space="preserve"> وبعد اعتراف المتّهم تُظهر كل الملاسبات في الجريمة ويعاقب المُذنب، وهذا من مصلحة الأمة لأ</w:t>
      </w:r>
      <w:r w:rsidRPr="00DA75F8">
        <w:rPr>
          <w:rFonts w:hint="cs"/>
          <w:rtl/>
        </w:rPr>
        <w:t>ن</w:t>
      </w:r>
      <w:r w:rsidRPr="00DA75F8">
        <w:rPr>
          <w:rtl/>
        </w:rPr>
        <w:t xml:space="preserve"> معاقبة المُذنب فيه ردع لتوسُّع الفساد في الأمة وهكذا يُغلق باب إنكار الجريمة.</w:t>
      </w:r>
    </w:p>
    <w:p w:rsidR="005F44B2" w:rsidRPr="00DA75F8" w:rsidRDefault="005F44B2" w:rsidP="005E6A96">
      <w:pPr>
        <w:pStyle w:val="a3"/>
        <w:rPr>
          <w:rtl/>
        </w:rPr>
      </w:pPr>
      <w:bookmarkStart w:id="45" w:name="_Toc447092587"/>
      <w:r w:rsidRPr="00DA75F8">
        <w:rPr>
          <w:rFonts w:hint="cs"/>
          <w:rtl/>
        </w:rPr>
        <w:t>المطلب</w:t>
      </w:r>
      <w:r w:rsidRPr="00DA75F8">
        <w:rPr>
          <w:rtl/>
        </w:rPr>
        <w:t xml:space="preserve"> السادس: تعزير المدّعى عليه</w:t>
      </w:r>
      <w:bookmarkEnd w:id="45"/>
    </w:p>
    <w:p w:rsidR="005F44B2" w:rsidRPr="00DA75F8" w:rsidRDefault="005F44B2" w:rsidP="007B6769">
      <w:pPr>
        <w:pStyle w:val="a0"/>
        <w:rPr>
          <w:rtl/>
        </w:rPr>
      </w:pPr>
      <w:r w:rsidRPr="00DA75F8">
        <w:rPr>
          <w:rFonts w:hint="cs"/>
          <w:rtl/>
        </w:rPr>
        <w:t>قد</w:t>
      </w:r>
      <w:r w:rsidRPr="00DA75F8">
        <w:rPr>
          <w:rtl/>
        </w:rPr>
        <w:t xml:space="preserve"> عرفنا في المطلب الخامس من هو المدعى عليه (المتهم) ، وابن عابدين بعد تقريره أن ضرب المتّهم بالسرقة من السياسة الشرعية، ذكر أيضًا أن للإمام معاقبة المدّعى عليه وهو أيضًا من السياسة الشرعية</w:t>
      </w:r>
      <w:r w:rsidRPr="00DA75F8">
        <w:rPr>
          <w:vertAlign w:val="superscript"/>
          <w:rtl/>
        </w:rPr>
        <w:t>(</w:t>
      </w:r>
      <w:r w:rsidRPr="00DA75F8">
        <w:rPr>
          <w:rStyle w:val="FootnoteReference"/>
          <w:rFonts w:cs="Arabic Transparent"/>
          <w:rtl/>
        </w:rPr>
        <w:footnoteReference w:id="461"/>
      </w:r>
      <w:r w:rsidRPr="00DA75F8">
        <w:rPr>
          <w:vertAlign w:val="superscript"/>
          <w:rtl/>
        </w:rPr>
        <w:t>)</w:t>
      </w:r>
      <w:r w:rsidRPr="00DA75F8">
        <w:rPr>
          <w:rFonts w:hint="cs"/>
          <w:rtl/>
        </w:rPr>
        <w:t>،</w:t>
      </w:r>
      <w:r w:rsidRPr="00DA75F8">
        <w:rPr>
          <w:rtl/>
        </w:rPr>
        <w:t xml:space="preserve"> حيث قال: " إن المدعى عليه إذا أنكر فللإمام أن يعمل فيه بأكبر رأيه، فإن غلب على ظنه أنه سارق وأن المسروق عنده عاقبه ويجوز ذلك، كما لو رآه ا</w:t>
      </w:r>
      <w:r w:rsidRPr="00DA75F8">
        <w:rPr>
          <w:rFonts w:hint="cs"/>
          <w:rtl/>
        </w:rPr>
        <w:t>لإمام</w:t>
      </w:r>
      <w:r w:rsidRPr="00DA75F8">
        <w:rPr>
          <w:rtl/>
        </w:rPr>
        <w:t xml:space="preserve"> مع الفساق في مجلس </w:t>
      </w:r>
      <w:r w:rsidRPr="00DA75F8">
        <w:rPr>
          <w:rFonts w:hint="cs"/>
          <w:rtl/>
        </w:rPr>
        <w:t>الشرب،</w:t>
      </w:r>
      <w:r w:rsidRPr="00DA75F8">
        <w:rPr>
          <w:rtl/>
        </w:rPr>
        <w:t xml:space="preserve"> وكما لو رآه يمشي مع السراق"</w:t>
      </w:r>
      <w:r w:rsidRPr="00DA75F8">
        <w:rPr>
          <w:vertAlign w:val="superscript"/>
          <w:rtl/>
        </w:rPr>
        <w:t>(</w:t>
      </w:r>
      <w:r w:rsidRPr="00DA75F8">
        <w:rPr>
          <w:rStyle w:val="FootnoteReference"/>
          <w:rFonts w:cs="Arabic Transparent"/>
          <w:rtl/>
        </w:rPr>
        <w:footnoteReference w:id="46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فالمدّعى</w:t>
      </w:r>
      <w:r w:rsidRPr="00DA75F8">
        <w:rPr>
          <w:rtl/>
        </w:rPr>
        <w:t xml:space="preserve"> عليه يُعزّر إذا رأى الإمام ذلك وإن لم تثبت جريمته وهو من السياسة الشرعية.</w:t>
      </w:r>
    </w:p>
    <w:p w:rsidR="005F44B2" w:rsidRPr="00DA75F8" w:rsidRDefault="005F44B2" w:rsidP="005E6A96">
      <w:pPr>
        <w:pStyle w:val="a3"/>
        <w:rPr>
          <w:rtl/>
        </w:rPr>
      </w:pPr>
      <w:bookmarkStart w:id="46" w:name="_Toc447092588"/>
      <w:r w:rsidRPr="00DA75F8">
        <w:rPr>
          <w:rFonts w:hint="cs"/>
          <w:rtl/>
        </w:rPr>
        <w:t>المطلب</w:t>
      </w:r>
      <w:r w:rsidRPr="00DA75F8">
        <w:rPr>
          <w:rtl/>
        </w:rPr>
        <w:t xml:space="preserve"> السابع: قطع يد النبّاش</w:t>
      </w:r>
      <w:bookmarkEnd w:id="46"/>
    </w:p>
    <w:p w:rsidR="005F44B2" w:rsidRPr="00DA75F8" w:rsidRDefault="005F44B2" w:rsidP="007B6769">
      <w:pPr>
        <w:pStyle w:val="a0"/>
        <w:rPr>
          <w:rtl/>
        </w:rPr>
      </w:pPr>
      <w:r w:rsidRPr="00DA75F8">
        <w:rPr>
          <w:rFonts w:hint="cs"/>
          <w:rtl/>
        </w:rPr>
        <w:t>أصل</w:t>
      </w:r>
      <w:r w:rsidRPr="00DA75F8">
        <w:rPr>
          <w:rtl/>
        </w:rPr>
        <w:t xml:space="preserve"> النبّاش هو نبش، نَبَشَ الشيء يَنْبُشُه نَبْشًا يعني استخرجه بعد الدفن، وصيفة مبالغة من اسم فاعل منه النبَّاشُ، والنَّبْشُ نَبْشُك عن الميّت وعن كلّ دَفِين</w:t>
      </w:r>
      <w:r w:rsidRPr="00DA75F8">
        <w:rPr>
          <w:vertAlign w:val="superscript"/>
          <w:rtl/>
        </w:rPr>
        <w:t>(</w:t>
      </w:r>
      <w:r w:rsidRPr="00DA75F8">
        <w:rPr>
          <w:rStyle w:val="FootnoteReference"/>
          <w:rFonts w:cs="Arabic Transparent"/>
          <w:rtl/>
        </w:rPr>
        <w:footnoteReference w:id="463"/>
      </w:r>
      <w:r w:rsidRPr="00DA75F8">
        <w:rPr>
          <w:vertAlign w:val="superscript"/>
          <w:rtl/>
        </w:rPr>
        <w:t>)</w:t>
      </w:r>
      <w:r w:rsidRPr="00DA75F8">
        <w:rPr>
          <w:rtl/>
        </w:rPr>
        <w:t>.</w:t>
      </w:r>
    </w:p>
    <w:p w:rsidR="005F44B2" w:rsidRPr="00DA75F8" w:rsidRDefault="005F44B2" w:rsidP="00C90CA2">
      <w:pPr>
        <w:pStyle w:val="a0"/>
        <w:widowControl w:val="0"/>
        <w:rPr>
          <w:rtl/>
        </w:rPr>
      </w:pPr>
      <w:r w:rsidRPr="00DA75F8">
        <w:rPr>
          <w:rFonts w:hint="cs"/>
          <w:rtl/>
        </w:rPr>
        <w:t>وعرّف</w:t>
      </w:r>
      <w:r w:rsidRPr="00DA75F8">
        <w:rPr>
          <w:rtl/>
        </w:rPr>
        <w:t xml:space="preserve"> ابن عابدين النبّاش اصطلاحا بأنه : " يسرق أكفان الموتى بعد الدفن"</w:t>
      </w:r>
      <w:r w:rsidRPr="00DA75F8">
        <w:rPr>
          <w:vertAlign w:val="superscript"/>
          <w:rtl/>
        </w:rPr>
        <w:t>(</w:t>
      </w:r>
      <w:r w:rsidRPr="00DA75F8">
        <w:rPr>
          <w:rStyle w:val="FootnoteReference"/>
          <w:rFonts w:cs="Arabic Transparent"/>
          <w:rtl/>
        </w:rPr>
        <w:footnoteReference w:id="46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ومن</w:t>
      </w:r>
      <w:r w:rsidRPr="00DA75F8">
        <w:rPr>
          <w:rtl/>
        </w:rPr>
        <w:t xml:space="preserve"> المعروف أن يد النباش ولا تُقطع لأنّ فعله ليس من السرقة، وعدم وجود الحرز سبّب هذا، والحرز من شروط حدّ السرقة ، والنباش لم يسرق من الحرز، حيث الحرز بالقبر أو الميت باطل، لأنه لا يحفظ نفسه حتى لو دفن مع الميت مال وسرق لم يقطع</w:t>
      </w:r>
      <w:r w:rsidRPr="00DA75F8">
        <w:rPr>
          <w:vertAlign w:val="superscript"/>
          <w:rtl/>
        </w:rPr>
        <w:t>(</w:t>
      </w:r>
      <w:r w:rsidRPr="00DA75F8">
        <w:rPr>
          <w:rStyle w:val="FootnoteReference"/>
          <w:rFonts w:cs="Arabic Transparent"/>
          <w:rtl/>
        </w:rPr>
        <w:footnoteReference w:id="465"/>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قد</w:t>
      </w:r>
      <w:r w:rsidRPr="00DA75F8">
        <w:rPr>
          <w:rtl/>
        </w:rPr>
        <w:t xml:space="preserve"> تقطع يد النباش من باب السياسة الشرعية، وهذا إذا اعتاد عملية النبش</w:t>
      </w:r>
      <w:r w:rsidRPr="00DA75F8">
        <w:rPr>
          <w:vertAlign w:val="superscript"/>
          <w:rtl/>
        </w:rPr>
        <w:t>(</w:t>
      </w:r>
      <w:r w:rsidRPr="00DA75F8">
        <w:rPr>
          <w:rStyle w:val="FootnoteReference"/>
          <w:rFonts w:cs="Arabic Transparent"/>
          <w:rtl/>
        </w:rPr>
        <w:footnoteReference w:id="466"/>
      </w:r>
      <w:r w:rsidRPr="00DA75F8">
        <w:rPr>
          <w:vertAlign w:val="superscript"/>
          <w:rtl/>
        </w:rPr>
        <w:t>)</w:t>
      </w:r>
      <w:r w:rsidRPr="00DA75F8">
        <w:rPr>
          <w:rFonts w:hint="cs"/>
          <w:rtl/>
        </w:rPr>
        <w:t>،</w:t>
      </w:r>
      <w:r w:rsidRPr="00DA75F8">
        <w:rPr>
          <w:rtl/>
        </w:rPr>
        <w:t xml:space="preserve"> وهو رأي جمهور علماء الحنفية</w:t>
      </w:r>
      <w:r w:rsidRPr="00DA75F8">
        <w:rPr>
          <w:vertAlign w:val="superscript"/>
          <w:rtl/>
        </w:rPr>
        <w:t>(</w:t>
      </w:r>
      <w:r w:rsidRPr="00DA75F8">
        <w:rPr>
          <w:rStyle w:val="FootnoteReference"/>
          <w:rFonts w:cs="Arabic Transparent"/>
          <w:rtl/>
        </w:rPr>
        <w:footnoteReference w:id="467"/>
      </w:r>
      <w:r w:rsidRPr="00DA75F8">
        <w:rPr>
          <w:vertAlign w:val="superscript"/>
          <w:rtl/>
        </w:rPr>
        <w:t>)</w:t>
      </w:r>
      <w:r w:rsidRPr="00DA75F8">
        <w:rPr>
          <w:rtl/>
        </w:rPr>
        <w:t>.</w:t>
      </w:r>
    </w:p>
    <w:p w:rsidR="005F44B2" w:rsidRPr="00DA75F8" w:rsidRDefault="005F44B2" w:rsidP="007B6769">
      <w:pPr>
        <w:pStyle w:val="a0"/>
      </w:pPr>
      <w:r w:rsidRPr="00DA75F8">
        <w:rPr>
          <w:rFonts w:hint="cs"/>
          <w:rtl/>
        </w:rPr>
        <w:t>ويُستنتج</w:t>
      </w:r>
      <w:r w:rsidRPr="00DA75F8">
        <w:rPr>
          <w:rtl/>
        </w:rPr>
        <w:t xml:space="preserve"> مما سبق إلى الآن أن كل تطبيقات السياسة الشرعية التي مرت وُضعت للمصلحة، ومن المع</w:t>
      </w:r>
      <w:r w:rsidRPr="00DA75F8">
        <w:rPr>
          <w:rFonts w:hint="cs"/>
          <w:rtl/>
        </w:rPr>
        <w:t>قول</w:t>
      </w:r>
      <w:r w:rsidRPr="00DA75F8">
        <w:rPr>
          <w:rtl/>
        </w:rPr>
        <w:t xml:space="preserve"> أنّ قطع النباش أيضًا للمصلحة، حيث لو لم تُقطع يد النباش الذي اعتاد النباش فسينتشر فساده بين الناس وسيشجّع الآخرين على النبش، ولردع هذا تُقطع يده سياسة.</w:t>
      </w:r>
    </w:p>
    <w:p w:rsidR="005F44B2" w:rsidRPr="00DA75F8" w:rsidRDefault="005F44B2" w:rsidP="005E6A96">
      <w:pPr>
        <w:pStyle w:val="a3"/>
        <w:rPr>
          <w:rtl/>
        </w:rPr>
      </w:pPr>
      <w:bookmarkStart w:id="47" w:name="_Toc447092589"/>
      <w:r w:rsidRPr="00DA75F8">
        <w:rPr>
          <w:rFonts w:hint="cs"/>
          <w:rtl/>
        </w:rPr>
        <w:t>المطلب</w:t>
      </w:r>
      <w:r w:rsidRPr="00DA75F8">
        <w:rPr>
          <w:rtl/>
        </w:rPr>
        <w:t xml:space="preserve"> الثامن: الصلح على الأوسط</w:t>
      </w:r>
      <w:bookmarkEnd w:id="47"/>
    </w:p>
    <w:p w:rsidR="005F44B2" w:rsidRPr="00DA75F8" w:rsidRDefault="005F44B2" w:rsidP="007B6769">
      <w:pPr>
        <w:pStyle w:val="a0"/>
        <w:rPr>
          <w:rtl/>
        </w:rPr>
      </w:pPr>
      <w:r w:rsidRPr="00DA75F8">
        <w:rPr>
          <w:rFonts w:hint="cs"/>
          <w:rtl/>
        </w:rPr>
        <w:t>قد</w:t>
      </w:r>
      <w:r w:rsidRPr="00DA75F8">
        <w:rPr>
          <w:rtl/>
        </w:rPr>
        <w:t xml:space="preserve"> قال ابن عابدين هذا الكلام لأجل دفع الضرر عن البائع والمشتري، وهذا الضر</w:t>
      </w:r>
      <w:r w:rsidRPr="00DA75F8">
        <w:rPr>
          <w:rFonts w:hint="cs"/>
          <w:rtl/>
        </w:rPr>
        <w:t>ر</w:t>
      </w:r>
      <w:r w:rsidRPr="00DA75F8">
        <w:rPr>
          <w:rtl/>
        </w:rPr>
        <w:t xml:space="preserve"> يصدر بتغيّر قيمة بعض ا</w:t>
      </w:r>
      <w:r w:rsidRPr="00DA75F8">
        <w:rPr>
          <w:rFonts w:hint="cs"/>
          <w:rtl/>
        </w:rPr>
        <w:t>لنقود</w:t>
      </w:r>
      <w:r w:rsidRPr="00DA75F8">
        <w:rPr>
          <w:rtl/>
        </w:rPr>
        <w:t xml:space="preserve"> بالنقص أو الزيادة، حيث قال عن تغيّر قيمة النقود ما نصّه: " تعدد في زماننا ورود الأمر السلطاني بتغيير سعر بعض النقود الرائجة بالنقص"</w:t>
      </w:r>
      <w:r w:rsidRPr="00DA75F8">
        <w:rPr>
          <w:vertAlign w:val="superscript"/>
          <w:rtl/>
        </w:rPr>
        <w:t>(</w:t>
      </w:r>
      <w:r w:rsidRPr="00DA75F8">
        <w:rPr>
          <w:rStyle w:val="FootnoteReference"/>
          <w:rFonts w:cs="Arabic Transparent"/>
          <w:rtl/>
        </w:rPr>
        <w:footnoteReference w:id="468"/>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وهذا</w:t>
      </w:r>
      <w:r w:rsidRPr="00DA75F8">
        <w:rPr>
          <w:rtl/>
        </w:rPr>
        <w:t xml:space="preserve"> أيضًا واقع في يومنا، حيث قد تتغيّر قيمة النقود في اليوم عشراتالمرات بسبب التضخّم المالي في بعض الدول، وهذا التغيّر يولّد لنا مشكلة في العقد بين البائع والمشتري، فإذا تحقّق دفع المال وملكه في الحال، لاتوجد مشكلة، لأنّ المشتري يدفع ثمن المال مباشرة، وفي  هذه الحال الخيار عند المشتري، فهو يدفع إما بالدينار الاردني مثلا أو بالدولار أو بنقود أخرى تساوي قيمة المال، إذن فهو يدفع قيمة المال كما أراده بأي نوع من النقود</w:t>
      </w:r>
      <w:r w:rsidRPr="00DA75F8">
        <w:rPr>
          <w:vertAlign w:val="superscript"/>
          <w:rtl/>
        </w:rPr>
        <w:t>(</w:t>
      </w:r>
      <w:r w:rsidRPr="00DA75F8">
        <w:rPr>
          <w:rStyle w:val="FootnoteReference"/>
          <w:rFonts w:cs="Arabic Transparent"/>
          <w:rtl/>
        </w:rPr>
        <w:footnoteReference w:id="469"/>
      </w:r>
      <w:r w:rsidRPr="00DA75F8">
        <w:rPr>
          <w:vertAlign w:val="superscript"/>
          <w:rtl/>
        </w:rPr>
        <w:t>)</w:t>
      </w:r>
      <w:r w:rsidRPr="00DA75F8">
        <w:rPr>
          <w:rtl/>
        </w:rPr>
        <w:t xml:space="preserve">. </w:t>
      </w:r>
    </w:p>
    <w:p w:rsidR="005F44B2" w:rsidRPr="00DA75F8" w:rsidRDefault="005F44B2" w:rsidP="00BE06AB">
      <w:pPr>
        <w:pStyle w:val="a0"/>
        <w:rPr>
          <w:rtl/>
        </w:rPr>
      </w:pPr>
      <w:r w:rsidRPr="00DA75F8">
        <w:rPr>
          <w:rFonts w:hint="cs"/>
          <w:rtl/>
        </w:rPr>
        <w:t>وأما</w:t>
      </w:r>
      <w:r w:rsidRPr="00DA75F8">
        <w:rPr>
          <w:rtl/>
        </w:rPr>
        <w:t xml:space="preserve"> إذا تعاقد </w:t>
      </w:r>
      <w:r w:rsidRPr="00DA75F8">
        <w:rPr>
          <w:rFonts w:hint="cs"/>
          <w:rtl/>
        </w:rPr>
        <w:t>البائع</w:t>
      </w:r>
      <w:r w:rsidRPr="00DA75F8">
        <w:rPr>
          <w:rtl/>
        </w:rPr>
        <w:t xml:space="preserve"> والمشتري على دفع أجرة المال في المستقبل، ثم أتى وقت الدفع، فمن المحتمل أن تتغيّر قيمة النقود من وقت العقد إلى وقت الدفع، فيدفع المشتري ما هو أرخص من أنواع النقود. وهنا بيّن ابن عابدين هذا الإشكال وبقوله: " وأما الثاني فقد حصل بسببه ضرر ظاهر للبا</w:t>
      </w:r>
      <w:r>
        <w:rPr>
          <w:rFonts w:hint="cs"/>
          <w:rtl/>
        </w:rPr>
        <w:t>ئعين،</w:t>
      </w:r>
      <w:r>
        <w:rPr>
          <w:rtl/>
        </w:rPr>
        <w:t xml:space="preserve"> فإن ما ورد الأ</w:t>
      </w:r>
      <w:r w:rsidRPr="00DA75F8">
        <w:rPr>
          <w:rFonts w:hint="cs"/>
          <w:rtl/>
        </w:rPr>
        <w:t>مر</w:t>
      </w:r>
      <w:r w:rsidRPr="00DA75F8">
        <w:rPr>
          <w:rtl/>
        </w:rPr>
        <w:t xml:space="preserve"> برخصه متفاوت، فبعض الأنواع جعله أرخص من بعض، فيختار المشتري ما هو أكثر رخصا، وأضر للبائع، فيدفعه له، بل تا</w:t>
      </w:r>
      <w:r w:rsidRPr="00DA75F8">
        <w:rPr>
          <w:rFonts w:hint="cs"/>
          <w:rtl/>
        </w:rPr>
        <w:t>رة</w:t>
      </w:r>
      <w:r w:rsidRPr="00DA75F8">
        <w:rPr>
          <w:rtl/>
        </w:rPr>
        <w:t xml:space="preserve"> يدفع له ما هو أقل رخص</w:t>
      </w:r>
      <w:r w:rsidRPr="00DA75F8">
        <w:rPr>
          <w:rFonts w:hint="cs"/>
          <w:rtl/>
        </w:rPr>
        <w:t>ا</w:t>
      </w:r>
      <w:r w:rsidRPr="00DA75F8">
        <w:rPr>
          <w:rtl/>
        </w:rPr>
        <w:t xml:space="preserve"> على حساب ما هو أكثر رخصا فقد ينقص نوع من النقود قرشا، ونوع آخر قرشين، فلا يدفع إلا ما نقص قرشين، وإذا دفع ما نقصه قرش للبائع يحسب عليه قرشا آخر، نظرا إلى نقص النوع الآخر، وهذا مما لا شك في عدم جوازه"</w:t>
      </w:r>
      <w:r w:rsidRPr="00DA75F8">
        <w:rPr>
          <w:vertAlign w:val="superscript"/>
          <w:rtl/>
        </w:rPr>
        <w:t>(</w:t>
      </w:r>
      <w:r w:rsidRPr="00DA75F8">
        <w:rPr>
          <w:rStyle w:val="FootnoteReference"/>
          <w:rFonts w:cs="Arabic Transparent"/>
          <w:rtl/>
        </w:rPr>
        <w:footnoteReference w:id="470"/>
      </w:r>
      <w:r w:rsidRPr="00DA75F8">
        <w:rPr>
          <w:vertAlign w:val="superscript"/>
          <w:rtl/>
        </w:rPr>
        <w:t>)</w:t>
      </w:r>
      <w:r w:rsidRPr="00DA75F8">
        <w:rPr>
          <w:rtl/>
        </w:rPr>
        <w:t>.</w:t>
      </w:r>
    </w:p>
    <w:p w:rsidR="005F44B2" w:rsidRPr="00DA75F8" w:rsidRDefault="005F44B2" w:rsidP="007B6769">
      <w:pPr>
        <w:pStyle w:val="a0"/>
      </w:pPr>
      <w:r w:rsidRPr="00DA75F8">
        <w:rPr>
          <w:rFonts w:hint="cs"/>
          <w:rtl/>
        </w:rPr>
        <w:t>ويُفهم</w:t>
      </w:r>
      <w:r w:rsidRPr="00DA75F8">
        <w:rPr>
          <w:rtl/>
        </w:rPr>
        <w:t xml:space="preserve"> مما سبق أنه إذا تُرك الخيار عند المشتري فيعرِّضُ البائع للضرر، وأيضا لو ترك الخيار للبائع فسيكون الضرر على المشتري، وهذه المسألة غير منصوص عليها بخصوصها</w:t>
      </w:r>
      <w:r w:rsidRPr="00DA75F8">
        <w:rPr>
          <w:vertAlign w:val="superscript"/>
          <w:rtl/>
        </w:rPr>
        <w:t>(</w:t>
      </w:r>
      <w:r w:rsidRPr="00DA75F8">
        <w:rPr>
          <w:rStyle w:val="FootnoteReference"/>
          <w:rFonts w:cs="Arabic Transparent"/>
          <w:rtl/>
        </w:rPr>
        <w:footnoteReference w:id="471"/>
      </w:r>
      <w:r w:rsidRPr="00DA75F8">
        <w:rPr>
          <w:vertAlign w:val="superscript"/>
          <w:rtl/>
        </w:rPr>
        <w:t>)</w:t>
      </w:r>
      <w:r w:rsidRPr="00DA75F8">
        <w:rPr>
          <w:rFonts w:hint="cs"/>
          <w:rtl/>
        </w:rPr>
        <w:t>،</w:t>
      </w:r>
      <w:r w:rsidRPr="00DA75F8">
        <w:rPr>
          <w:rtl/>
        </w:rPr>
        <w:t xml:space="preserve"> وحل ابن عابدين هذه المشكلة بتقسيم الضرر على الطرفين، حيث قال: " فينبغي أن ينظر في تلك النقود التي رخصت، ويدفع من أوسطها نقصا لا الأقل، ولا الأكثر، كيلا يتناهى الضرر على البائع، أو على المشتري"</w:t>
      </w:r>
      <w:r w:rsidRPr="00DA75F8">
        <w:rPr>
          <w:vertAlign w:val="superscript"/>
          <w:rtl/>
        </w:rPr>
        <w:t>(</w:t>
      </w:r>
      <w:r w:rsidRPr="00DA75F8">
        <w:rPr>
          <w:rStyle w:val="FootnoteReference"/>
          <w:rFonts w:cs="Arabic Transparent"/>
          <w:rtl/>
        </w:rPr>
        <w:footnoteReference w:id="472"/>
      </w:r>
      <w:r w:rsidRPr="00DA75F8">
        <w:rPr>
          <w:vertAlign w:val="superscript"/>
          <w:rtl/>
        </w:rPr>
        <w:t>)</w:t>
      </w:r>
      <w:r w:rsidRPr="00DA75F8">
        <w:rPr>
          <w:rFonts w:hint="cs"/>
          <w:rtl/>
        </w:rPr>
        <w:t>،</w:t>
      </w:r>
      <w:r w:rsidRPr="00DA75F8">
        <w:rPr>
          <w:rtl/>
        </w:rPr>
        <w:t xml:space="preserve"> وقال: " وإنما اخترنا الصلح لتفاوت رخصها، وقصد الإضرار كما قلنا"</w:t>
      </w:r>
      <w:r w:rsidRPr="00DA75F8">
        <w:rPr>
          <w:vertAlign w:val="superscript"/>
          <w:rtl/>
        </w:rPr>
        <w:t>(</w:t>
      </w:r>
      <w:r w:rsidRPr="00DA75F8">
        <w:rPr>
          <w:rStyle w:val="FootnoteReference"/>
          <w:rFonts w:cs="Arabic Transparent"/>
          <w:rtl/>
        </w:rPr>
        <w:footnoteReference w:id="473"/>
      </w:r>
      <w:r w:rsidRPr="00DA75F8">
        <w:rPr>
          <w:vertAlign w:val="superscript"/>
          <w:rtl/>
        </w:rPr>
        <w:t>)</w:t>
      </w:r>
      <w:r w:rsidRPr="00DA75F8">
        <w:rPr>
          <w:rFonts w:hint="cs"/>
          <w:rtl/>
        </w:rPr>
        <w:t>،</w:t>
      </w:r>
      <w:r w:rsidRPr="00DA75F8">
        <w:rPr>
          <w:rtl/>
        </w:rPr>
        <w:t xml:space="preserve"> وقال: " فينبغي الصلح على الأوسط"</w:t>
      </w:r>
      <w:r w:rsidRPr="00DA75F8">
        <w:rPr>
          <w:vertAlign w:val="superscript"/>
          <w:rtl/>
        </w:rPr>
        <w:t>(</w:t>
      </w:r>
      <w:r w:rsidRPr="00DA75F8">
        <w:rPr>
          <w:rStyle w:val="FootnoteReference"/>
          <w:rFonts w:cs="Arabic Transparent"/>
          <w:rtl/>
        </w:rPr>
        <w:footnoteReference w:id="474"/>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ومما</w:t>
      </w:r>
      <w:r w:rsidRPr="00DA75F8">
        <w:rPr>
          <w:rtl/>
        </w:rPr>
        <w:t xml:space="preserve"> سبق إلى الآن نرى أن المشكلة تجري عند تغيّر قيمة النقود في وقت الدفع عن وقت العقد، وفي هذه الحال لو كان الخيار عند المشتري فيختار الأقل من النقود وهذا يضرّ البائع، وأيضًا لو كان الخيار عند البائع فيختار الأكثر ليكون كسبه أكثر، وهذا يضرّ المشتري، ونتيجة لذلك فليس من الممكن دفع الضرر بإحدى هاتين الطريقتين.</w:t>
      </w:r>
    </w:p>
    <w:p w:rsidR="005F44B2" w:rsidRPr="00DA75F8" w:rsidRDefault="005F44B2" w:rsidP="007B6769">
      <w:pPr>
        <w:pStyle w:val="a0"/>
        <w:rPr>
          <w:rtl/>
        </w:rPr>
      </w:pPr>
      <w:r w:rsidRPr="00DA75F8">
        <w:rPr>
          <w:rFonts w:hint="cs"/>
          <w:rtl/>
        </w:rPr>
        <w:t>وهنا</w:t>
      </w:r>
      <w:r w:rsidRPr="00DA75F8">
        <w:rPr>
          <w:rtl/>
        </w:rPr>
        <w:t xml:space="preserve"> يمكن دفع الضرر نهائيا ولن تُراعى مصلحة البائع والمشتري بتقليل الضرر عنهما، ويتحقّق العدل  بتقسيم الضرر على الطرفين، وهو من السياسة الشرعية، لأنّ غاية ابن عابدين من قوله " الصلح على الأوسط" دفع الضرر مع مراعاة مصلحة البائع والمشتري.</w:t>
      </w:r>
    </w:p>
    <w:p w:rsidR="005F44B2" w:rsidRPr="00DA75F8" w:rsidRDefault="005F44B2" w:rsidP="007B6769">
      <w:pPr>
        <w:pStyle w:val="a0"/>
        <w:rPr>
          <w:rtl/>
        </w:rPr>
      </w:pPr>
      <w:r w:rsidRPr="00DA75F8">
        <w:rPr>
          <w:rFonts w:hint="cs"/>
          <w:rtl/>
        </w:rPr>
        <w:t>وهذه</w:t>
      </w:r>
      <w:r w:rsidRPr="00DA75F8">
        <w:rPr>
          <w:rtl/>
        </w:rPr>
        <w:t xml:space="preserve"> المسألة كما ذكرنا آنفًا غير منصوص عليها بخصوصها، وإذا واجه الإمام، أو القاضي، أو الحاكم مثل هذه المسألة فيحكم بفتوى ابن عابدين، وهكذا يمنع كون أحد الطرفين مستضعفًا، ويوزّع الضرر بينهما.</w:t>
      </w:r>
    </w:p>
    <w:p w:rsidR="005F44B2" w:rsidRPr="00DA75F8" w:rsidRDefault="005F44B2" w:rsidP="005E6A96">
      <w:pPr>
        <w:pStyle w:val="a3"/>
        <w:rPr>
          <w:rtl/>
        </w:rPr>
      </w:pPr>
      <w:bookmarkStart w:id="48" w:name="_Toc447092590"/>
      <w:r w:rsidRPr="00DA75F8">
        <w:rPr>
          <w:rFonts w:hint="cs"/>
          <w:rtl/>
        </w:rPr>
        <w:t>المطلب</w:t>
      </w:r>
      <w:r w:rsidRPr="00DA75F8">
        <w:rPr>
          <w:rtl/>
        </w:rPr>
        <w:t xml:space="preserve"> التاسع: شهادة الزور</w:t>
      </w:r>
      <w:bookmarkEnd w:id="48"/>
    </w:p>
    <w:p w:rsidR="005F44B2" w:rsidRPr="00DA75F8" w:rsidRDefault="005F44B2" w:rsidP="007B6769">
      <w:pPr>
        <w:pStyle w:val="a0"/>
        <w:rPr>
          <w:rtl/>
        </w:rPr>
      </w:pPr>
      <w:r w:rsidRPr="00DA75F8">
        <w:rPr>
          <w:rFonts w:hint="cs"/>
          <w:rtl/>
        </w:rPr>
        <w:t>شهادة</w:t>
      </w:r>
      <w:r w:rsidRPr="00DA75F8">
        <w:rPr>
          <w:rtl/>
        </w:rPr>
        <w:t xml:space="preserve"> الزور عبارة مركبة، تتكوّن من كلمتين، وهما: الشهادة والزور.</w:t>
      </w:r>
    </w:p>
    <w:p w:rsidR="005F44B2" w:rsidRPr="00DA75F8" w:rsidRDefault="005F44B2" w:rsidP="007B6769">
      <w:pPr>
        <w:pStyle w:val="a0"/>
        <w:rPr>
          <w:rtl/>
        </w:rPr>
      </w:pPr>
      <w:r w:rsidRPr="00DA75F8">
        <w:rPr>
          <w:rFonts w:hint="cs"/>
          <w:rtl/>
        </w:rPr>
        <w:t>الشهادة</w:t>
      </w:r>
      <w:r w:rsidRPr="00DA75F8">
        <w:rPr>
          <w:rtl/>
        </w:rPr>
        <w:t xml:space="preserve"> في اللغة هي: خبر قاطع،يقال: شهد الرجل على كذا</w:t>
      </w:r>
      <w:r w:rsidRPr="00DA75F8">
        <w:rPr>
          <w:vertAlign w:val="superscript"/>
          <w:rtl/>
        </w:rPr>
        <w:t>(</w:t>
      </w:r>
      <w:r w:rsidRPr="00DA75F8">
        <w:rPr>
          <w:rStyle w:val="FootnoteReference"/>
          <w:rFonts w:cs="Arabic Transparent"/>
          <w:rtl/>
        </w:rPr>
        <w:footnoteReference w:id="475"/>
      </w:r>
      <w:r w:rsidRPr="00DA75F8">
        <w:rPr>
          <w:vertAlign w:val="superscript"/>
          <w:rtl/>
        </w:rPr>
        <w:t>)</w:t>
      </w:r>
      <w:r w:rsidRPr="00DA75F8">
        <w:rPr>
          <w:rFonts w:hint="cs"/>
          <w:rtl/>
        </w:rPr>
        <w:t>،</w:t>
      </w:r>
      <w:r w:rsidRPr="00DA75F8">
        <w:rPr>
          <w:rtl/>
        </w:rPr>
        <w:t xml:space="preserve"> وفي الاصطلاح: " إخبار صدق لإثبات حق بلفظ الشهادة في مجلس القضاء"</w:t>
      </w:r>
      <w:r w:rsidRPr="00DA75F8">
        <w:rPr>
          <w:vertAlign w:val="superscript"/>
          <w:rtl/>
        </w:rPr>
        <w:t>(</w:t>
      </w:r>
      <w:r w:rsidRPr="00DA75F8">
        <w:rPr>
          <w:rStyle w:val="FootnoteReference"/>
          <w:rFonts w:cs="Arabic Transparent"/>
          <w:rtl/>
        </w:rPr>
        <w:footnoteReference w:id="476"/>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والزور</w:t>
      </w:r>
      <w:r w:rsidRPr="00DA75F8">
        <w:rPr>
          <w:rtl/>
        </w:rPr>
        <w:t xml:space="preserve"> في اللغة هو الكذب</w:t>
      </w:r>
      <w:r w:rsidRPr="00DA75F8">
        <w:rPr>
          <w:vertAlign w:val="superscript"/>
          <w:rtl/>
        </w:rPr>
        <w:t>(</w:t>
      </w:r>
      <w:r w:rsidRPr="00DA75F8">
        <w:rPr>
          <w:rStyle w:val="FootnoteReference"/>
          <w:rFonts w:cs="Arabic Transparent"/>
          <w:rtl/>
        </w:rPr>
        <w:footnoteReference w:id="477"/>
      </w:r>
      <w:r w:rsidRPr="00DA75F8">
        <w:rPr>
          <w:vertAlign w:val="superscript"/>
          <w:rtl/>
        </w:rPr>
        <w:t>)</w:t>
      </w:r>
      <w:r w:rsidRPr="00DA75F8">
        <w:rPr>
          <w:rFonts w:hint="cs"/>
          <w:rtl/>
        </w:rPr>
        <w:t>،</w:t>
      </w:r>
      <w:r w:rsidRPr="00DA75F8">
        <w:rPr>
          <w:rtl/>
        </w:rPr>
        <w:t xml:space="preserve"> وفي الاصطلاح: " الشهادة بالكذب ليتوصل بها إلى الباطل من إتلاف نفس أو أخذ مال أو تحليل حرام أو تحريم حلال"</w:t>
      </w:r>
      <w:r w:rsidRPr="00DA75F8">
        <w:rPr>
          <w:vertAlign w:val="superscript"/>
          <w:rtl/>
        </w:rPr>
        <w:t>(</w:t>
      </w:r>
      <w:r w:rsidRPr="00DA75F8">
        <w:rPr>
          <w:rStyle w:val="FootnoteReference"/>
          <w:rFonts w:cs="Arabic Transparent"/>
          <w:rtl/>
        </w:rPr>
        <w:footnoteReference w:id="478"/>
      </w:r>
      <w:r w:rsidRPr="00DA75F8">
        <w:rPr>
          <w:vertAlign w:val="superscript"/>
          <w:rtl/>
        </w:rPr>
        <w:t>)</w:t>
      </w:r>
      <w:r w:rsidRPr="00DA75F8">
        <w:rPr>
          <w:rtl/>
        </w:rPr>
        <w:t>.</w:t>
      </w:r>
    </w:p>
    <w:p w:rsidR="005F44B2" w:rsidRPr="000A0225" w:rsidRDefault="005F44B2" w:rsidP="007B6769">
      <w:pPr>
        <w:pStyle w:val="a0"/>
        <w:rPr>
          <w:rtl/>
        </w:rPr>
      </w:pPr>
      <w:r w:rsidRPr="00DA75F8">
        <w:rPr>
          <w:rFonts w:hint="cs"/>
          <w:rtl/>
        </w:rPr>
        <w:t>وقد</w:t>
      </w:r>
      <w:r w:rsidRPr="00DA75F8">
        <w:rPr>
          <w:rtl/>
        </w:rPr>
        <w:t xml:space="preserve"> عُرّف شاهد الزور في مواهب الجليل بأنه: " شاهد الزور هو الشاهد بغير ما يعلم عمدا ولو طابق الواقع كمن شهد بأن زيدا قتل عمرا وهو لا يعلم قتله إياه وقد كان قتله ولو كان لشبهة لم يكنه"</w:t>
      </w:r>
      <w:r>
        <w:rPr>
          <w:vertAlign w:val="superscript"/>
          <w:rtl/>
        </w:rPr>
        <w:t>(</w:t>
      </w:r>
      <w:r w:rsidRPr="00DA75F8">
        <w:rPr>
          <w:rStyle w:val="FootnoteReference"/>
          <w:rFonts w:cs="Arabic Transparent"/>
          <w:rtl/>
        </w:rPr>
        <w:footnoteReference w:id="479"/>
      </w:r>
      <w:r>
        <w:rPr>
          <w:vertAlign w:val="superscript"/>
          <w:rtl/>
        </w:rPr>
        <w:t>)</w:t>
      </w:r>
      <w:r>
        <w:rPr>
          <w:rtl/>
        </w:rPr>
        <w:t>.</w:t>
      </w:r>
    </w:p>
    <w:p w:rsidR="005F44B2" w:rsidRPr="00DA75F8" w:rsidRDefault="005F44B2" w:rsidP="007B6769">
      <w:pPr>
        <w:pStyle w:val="a0"/>
        <w:rPr>
          <w:rtl/>
        </w:rPr>
      </w:pPr>
      <w:r w:rsidRPr="00DA75F8">
        <w:rPr>
          <w:rFonts w:hint="cs"/>
          <w:rtl/>
        </w:rPr>
        <w:t>لايوجد</w:t>
      </w:r>
      <w:r w:rsidRPr="00DA75F8">
        <w:rPr>
          <w:rtl/>
        </w:rPr>
        <w:t xml:space="preserve"> خلاف بين الفقهاء على تحريمه، لأنّ الله تعالى قد منعها في القرآن بقوله تعالى: " فَاجْتَنِبُوا الرِّجْسَ مِنَ الْأَوْثَانِ وَاجْتَنِبُوا قَوْلَ الزُّورِ"</w:t>
      </w:r>
      <w:r w:rsidRPr="00DA75F8">
        <w:rPr>
          <w:vertAlign w:val="superscript"/>
          <w:rtl/>
        </w:rPr>
        <w:t>(</w:t>
      </w:r>
      <w:r w:rsidRPr="00DA75F8">
        <w:rPr>
          <w:rStyle w:val="FootnoteReference"/>
          <w:rFonts w:cs="Arabic Transparent"/>
          <w:rtl/>
        </w:rPr>
        <w:footnoteReference w:id="480"/>
      </w:r>
      <w:r w:rsidRPr="00DA75F8">
        <w:rPr>
          <w:vertAlign w:val="superscript"/>
          <w:rtl/>
        </w:rPr>
        <w:t>)</w:t>
      </w:r>
      <w:r w:rsidRPr="00DA75F8">
        <w:rPr>
          <w:rFonts w:hint="cs"/>
          <w:rtl/>
        </w:rPr>
        <w:t>،</w:t>
      </w:r>
      <w:r w:rsidRPr="00DA75F8">
        <w:rPr>
          <w:rtl/>
        </w:rPr>
        <w:t xml:space="preserve"> وقال تعالى: " وَالَّذِينَ لَا يَشْهَدُونَ الزُّورَ وَإِذَا مَرُّوا بِاللَّغْوِ مَرُّوا كِرَامًا"</w:t>
      </w:r>
      <w:r w:rsidRPr="00DA75F8">
        <w:rPr>
          <w:vertAlign w:val="superscript"/>
          <w:rtl/>
        </w:rPr>
        <w:t>(</w:t>
      </w:r>
      <w:r w:rsidRPr="00DA75F8">
        <w:rPr>
          <w:rStyle w:val="FootnoteReference"/>
          <w:rFonts w:cs="Arabic Transparent"/>
          <w:rtl/>
        </w:rPr>
        <w:footnoteReference w:id="481"/>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ولاتُحدّد</w:t>
      </w:r>
      <w:r w:rsidRPr="00DA75F8">
        <w:rPr>
          <w:rtl/>
        </w:rPr>
        <w:t xml:space="preserve"> عقوبة شاهد الزور في الشريعة، فإذا ثبت أن رجلًا شهد زورًا يعاقب عند الإمام، ومعاقبة شاهد الزور من السياسة الشرعية، لأن تحقّق العدالة امتنع بشهادته، وذكرنا في أدلّة السياسة الشرعية أنّ العدالة من غاية السياسة الشرعية</w:t>
      </w:r>
      <w:r w:rsidRPr="00DA75F8">
        <w:rPr>
          <w:vertAlign w:val="superscript"/>
          <w:rtl/>
        </w:rPr>
        <w:t>(</w:t>
      </w:r>
      <w:r w:rsidRPr="00DA75F8">
        <w:rPr>
          <w:rStyle w:val="FootnoteReference"/>
          <w:rFonts w:cs="Arabic Transparent"/>
          <w:rtl/>
        </w:rPr>
        <w:footnoteReference w:id="482"/>
      </w:r>
      <w:r w:rsidRPr="00DA75F8">
        <w:rPr>
          <w:vertAlign w:val="superscript"/>
          <w:rtl/>
        </w:rPr>
        <w:t>)</w:t>
      </w:r>
      <w:r w:rsidRPr="00DA75F8">
        <w:rPr>
          <w:rtl/>
        </w:rPr>
        <w:t>.</w:t>
      </w:r>
    </w:p>
    <w:p w:rsidR="005F44B2" w:rsidRPr="00DA75F8" w:rsidRDefault="005F44B2" w:rsidP="007B6769">
      <w:pPr>
        <w:pStyle w:val="a0"/>
        <w:rPr>
          <w:rtl/>
        </w:rPr>
      </w:pPr>
      <w:r w:rsidRPr="00DA75F8">
        <w:rPr>
          <w:rFonts w:hint="cs"/>
          <w:rtl/>
        </w:rPr>
        <w:t>وقد</w:t>
      </w:r>
      <w:r w:rsidRPr="00DA75F8">
        <w:rPr>
          <w:rtl/>
        </w:rPr>
        <w:t xml:space="preserve"> قال ابن عابدين أن تعزير شاهد الزور من السياسة، حيث نقل أقوال العلماء عن تعزير شاهد الزور بتشهيره وتطويفه في البلد، وتسخيمه، وقد قال عن تسخيم</w:t>
      </w:r>
      <w:r w:rsidRPr="00DA75F8">
        <w:rPr>
          <w:vertAlign w:val="superscript"/>
          <w:rtl/>
        </w:rPr>
        <w:t>(</w:t>
      </w:r>
      <w:r w:rsidRPr="00DA75F8">
        <w:rPr>
          <w:rStyle w:val="FootnoteReference"/>
          <w:rFonts w:cs="Arabic Transparent"/>
          <w:rtl/>
        </w:rPr>
        <w:footnoteReference w:id="483"/>
      </w:r>
      <w:r w:rsidRPr="00DA75F8">
        <w:rPr>
          <w:vertAlign w:val="superscript"/>
          <w:rtl/>
        </w:rPr>
        <w:t>)</w:t>
      </w:r>
      <w:r w:rsidRPr="00DA75F8">
        <w:rPr>
          <w:rtl/>
        </w:rPr>
        <w:t xml:space="preserve"> شاهد الزور: " روي عن عمر أنه يسخّم وجهه، فتأويله عند السرخسي أنه بطريق السياسة إذا رأى المصلحة"</w:t>
      </w:r>
      <w:r w:rsidRPr="00DA75F8">
        <w:rPr>
          <w:vertAlign w:val="superscript"/>
          <w:rtl/>
        </w:rPr>
        <w:t>(</w:t>
      </w:r>
      <w:r w:rsidRPr="00DA75F8">
        <w:rPr>
          <w:rStyle w:val="FootnoteReference"/>
          <w:rFonts w:cs="Arabic Transparent"/>
          <w:rtl/>
        </w:rPr>
        <w:footnoteReference w:id="484"/>
      </w:r>
      <w:r w:rsidRPr="00DA75F8">
        <w:rPr>
          <w:vertAlign w:val="superscript"/>
          <w:rtl/>
        </w:rPr>
        <w:t>)</w:t>
      </w:r>
      <w:r w:rsidRPr="00DA75F8">
        <w:rPr>
          <w:rFonts w:hint="cs"/>
          <w:rtl/>
        </w:rPr>
        <w:t>،</w:t>
      </w:r>
      <w:r w:rsidRPr="00DA75F8">
        <w:rPr>
          <w:rtl/>
        </w:rPr>
        <w:t xml:space="preserve"> لم يعلّق ابن عابدين على تأويل السرخسي ولم يعترض عليه، نفهم من عدم ذكر أي شيء اقرار قول السرخسي، ولذلك نصل إلى أنّ تسخيم شاهد الزور من السياسة الشرعية.</w:t>
      </w:r>
    </w:p>
    <w:p w:rsidR="005F44B2" w:rsidRPr="00DA75F8" w:rsidRDefault="005F44B2" w:rsidP="005E6A96">
      <w:pPr>
        <w:pStyle w:val="a3"/>
        <w:rPr>
          <w:rtl/>
        </w:rPr>
      </w:pPr>
      <w:bookmarkStart w:id="49" w:name="_Toc447092591"/>
      <w:r w:rsidRPr="00DA75F8">
        <w:rPr>
          <w:rFonts w:hint="cs"/>
          <w:rtl/>
        </w:rPr>
        <w:t>المطلب</w:t>
      </w:r>
      <w:r w:rsidRPr="00DA75F8">
        <w:rPr>
          <w:rtl/>
        </w:rPr>
        <w:t xml:space="preserve"> العاشر: تعليق يد السارق في عنقه بعد قطعه</w:t>
      </w:r>
      <w:bookmarkEnd w:id="49"/>
    </w:p>
    <w:p w:rsidR="005F44B2" w:rsidRPr="00DA75F8" w:rsidRDefault="005F44B2" w:rsidP="007B6769">
      <w:pPr>
        <w:pStyle w:val="a0"/>
        <w:rPr>
          <w:rtl/>
        </w:rPr>
      </w:pPr>
      <w:r w:rsidRPr="00DA75F8">
        <w:rPr>
          <w:rFonts w:hint="cs"/>
          <w:rtl/>
        </w:rPr>
        <w:t>هذه</w:t>
      </w:r>
      <w:r w:rsidRPr="00DA75F8">
        <w:rPr>
          <w:rtl/>
        </w:rPr>
        <w:t xml:space="preserve"> المسألة م</w:t>
      </w:r>
      <w:r w:rsidRPr="00DA75F8">
        <w:rPr>
          <w:rFonts w:hint="cs"/>
          <w:rtl/>
        </w:rPr>
        <w:t>ن</w:t>
      </w:r>
      <w:r w:rsidRPr="00DA75F8">
        <w:rPr>
          <w:rtl/>
        </w:rPr>
        <w:t xml:space="preserve"> الأمثلة على موضوع جمع </w:t>
      </w:r>
      <w:r w:rsidRPr="00DA75F8">
        <w:rPr>
          <w:rFonts w:hint="cs"/>
          <w:rtl/>
        </w:rPr>
        <w:t>التعزير</w:t>
      </w:r>
      <w:r w:rsidRPr="00DA75F8">
        <w:rPr>
          <w:rtl/>
        </w:rPr>
        <w:t xml:space="preserve"> مع العقوبات المقدرة، فالعقوبة المقدرة في السرقة هي قطع يد السارق، وتعليق يد السارق في عنقه تعزير، ويُسنّ عند الشافعية والحنابلة</w:t>
      </w:r>
      <w:r w:rsidRPr="00DA75F8">
        <w:rPr>
          <w:vertAlign w:val="superscript"/>
          <w:rtl/>
        </w:rPr>
        <w:t>(</w:t>
      </w:r>
      <w:r w:rsidRPr="00DA75F8">
        <w:rPr>
          <w:rStyle w:val="FootnoteReference"/>
          <w:rFonts w:cs="Arabic Transparent"/>
          <w:rtl/>
        </w:rPr>
        <w:footnoteReference w:id="485"/>
      </w:r>
      <w:r w:rsidRPr="00DA75F8">
        <w:rPr>
          <w:vertAlign w:val="superscript"/>
          <w:rtl/>
        </w:rPr>
        <w:t>)</w:t>
      </w:r>
      <w:r w:rsidRPr="00DA75F8">
        <w:rPr>
          <w:rFonts w:hint="cs"/>
          <w:rtl/>
        </w:rPr>
        <w:t>،</w:t>
      </w:r>
      <w:r w:rsidRPr="00DA75F8">
        <w:rPr>
          <w:rtl/>
        </w:rPr>
        <w:t xml:space="preserve"> وأما عند الحنفية فهو </w:t>
      </w:r>
      <w:r w:rsidRPr="00DA75F8">
        <w:rPr>
          <w:rFonts w:hint="cs"/>
          <w:rtl/>
        </w:rPr>
        <w:t>عند</w:t>
      </w:r>
      <w:r w:rsidRPr="00DA75F8">
        <w:rPr>
          <w:rtl/>
        </w:rPr>
        <w:t xml:space="preserve"> رأي الإمام، حيث إذا رأى الإمام فيه المصلحة يفعله</w:t>
      </w:r>
      <w:r w:rsidRPr="00DA75F8">
        <w:rPr>
          <w:vertAlign w:val="superscript"/>
          <w:rtl/>
        </w:rPr>
        <w:t>(</w:t>
      </w:r>
      <w:r w:rsidRPr="00DA75F8">
        <w:rPr>
          <w:rStyle w:val="FootnoteReference"/>
          <w:rFonts w:cs="Arabic Transparent"/>
          <w:rtl/>
        </w:rPr>
        <w:footnoteReference w:id="486"/>
      </w:r>
      <w:r w:rsidRPr="00DA75F8">
        <w:rPr>
          <w:vertAlign w:val="superscript"/>
          <w:rtl/>
        </w:rPr>
        <w:t>)</w:t>
      </w:r>
      <w:r w:rsidRPr="00DA75F8">
        <w:rPr>
          <w:rFonts w:hint="cs"/>
          <w:rtl/>
        </w:rPr>
        <w:t>،</w:t>
      </w:r>
      <w:r w:rsidRPr="00DA75F8">
        <w:rPr>
          <w:rtl/>
        </w:rPr>
        <w:t xml:space="preserve"> وقد أشار ابن عابدين إلى سبب عدم تسنينه في الحنفية بقوله: " ولم يثبت عنه - صلى الله عليه وسلم - في كل من قطعه ليكون سنة"</w:t>
      </w:r>
      <w:r w:rsidRPr="00DA75F8">
        <w:rPr>
          <w:vertAlign w:val="superscript"/>
          <w:rtl/>
        </w:rPr>
        <w:t>(</w:t>
      </w:r>
      <w:r w:rsidRPr="00DA75F8">
        <w:rPr>
          <w:rStyle w:val="FootnoteReference"/>
          <w:rFonts w:cs="Arabic Transparent"/>
          <w:rtl/>
        </w:rPr>
        <w:footnoteReference w:id="487"/>
      </w:r>
      <w:r w:rsidRPr="00DA75F8">
        <w:rPr>
          <w:vertAlign w:val="superscript"/>
          <w:rtl/>
        </w:rPr>
        <w:t>)</w:t>
      </w:r>
      <w:r w:rsidRPr="00DA75F8">
        <w:rPr>
          <w:rtl/>
        </w:rPr>
        <w:t xml:space="preserve">. </w:t>
      </w:r>
    </w:p>
    <w:p w:rsidR="005F44B2" w:rsidRPr="00DA75F8" w:rsidRDefault="005F44B2" w:rsidP="007B6769">
      <w:pPr>
        <w:pStyle w:val="a0"/>
        <w:rPr>
          <w:rtl/>
        </w:rPr>
      </w:pPr>
      <w:r w:rsidRPr="00DA75F8">
        <w:rPr>
          <w:rFonts w:hint="cs"/>
          <w:rtl/>
        </w:rPr>
        <w:t>ولذا</w:t>
      </w:r>
      <w:r w:rsidRPr="00DA75F8">
        <w:rPr>
          <w:rtl/>
        </w:rPr>
        <w:t xml:space="preserve"> تُرك تعليق يده عند رأي الإمام، وهو يفعله إذا رأى المصلحة، ومن المحتمل أن يُعلّق يده من باب الزجر والتأديب، والناس تعتبر من تعليق يد السارق، مثلا لو فكّر شخص من الأشخاص أن يسرق، وقبل تحقّق السرقة شاهد جزاء تعليق يد السارق في عنقه، فإنه يتأثّر به فيرجع عن فكرة السرقة.</w:t>
      </w:r>
    </w:p>
    <w:p w:rsidR="005F44B2" w:rsidRPr="00DA75F8" w:rsidRDefault="005F44B2" w:rsidP="007B6769">
      <w:pPr>
        <w:pStyle w:val="a0"/>
        <w:rPr>
          <w:rtl/>
        </w:rPr>
      </w:pPr>
      <w:r w:rsidRPr="00DA75F8">
        <w:rPr>
          <w:rtl/>
        </w:rPr>
        <w:t xml:space="preserve"> وقد مرّ بنا سابقًا في قتل السارق أنه من السياسة الشرعية، وهو يقتل من باب الزجر والتأديب</w:t>
      </w:r>
      <w:r w:rsidRPr="00DA75F8">
        <w:rPr>
          <w:vertAlign w:val="superscript"/>
          <w:rtl/>
        </w:rPr>
        <w:t>(</w:t>
      </w:r>
      <w:r w:rsidRPr="00DA75F8">
        <w:rPr>
          <w:rStyle w:val="FootnoteReference"/>
          <w:rFonts w:cs="Arabic Transparent"/>
          <w:rtl/>
        </w:rPr>
        <w:footnoteReference w:id="488"/>
      </w:r>
      <w:r w:rsidRPr="00DA75F8">
        <w:rPr>
          <w:vertAlign w:val="superscript"/>
          <w:rtl/>
        </w:rPr>
        <w:t>)</w:t>
      </w:r>
      <w:r w:rsidRPr="00DA75F8">
        <w:rPr>
          <w:rFonts w:hint="cs"/>
          <w:rtl/>
        </w:rPr>
        <w:t>،</w:t>
      </w:r>
      <w:r w:rsidRPr="00DA75F8">
        <w:rPr>
          <w:rtl/>
        </w:rPr>
        <w:t xml:space="preserve"> والمصلحة من قتله وتعليق يده في عنقه نفس الشيء، وقلنا أن قتل السارق من السياسة الشرعية، فإذن تعليق يده أيضًا من السياسة الشرعية.</w:t>
      </w:r>
    </w:p>
    <w:p w:rsidR="005F44B2" w:rsidRDefault="005F44B2">
      <w:pPr>
        <w:bidi w:val="0"/>
        <w:spacing w:line="259" w:lineRule="auto"/>
        <w:rPr>
          <w:b/>
          <w:bCs/>
          <w:color w:val="000000"/>
          <w:sz w:val="28"/>
          <w:szCs w:val="32"/>
          <w:rtl/>
        </w:rPr>
      </w:pPr>
      <w:r>
        <w:rPr>
          <w:rtl/>
        </w:rPr>
        <w:br w:type="page"/>
      </w:r>
    </w:p>
    <w:p w:rsidR="005F44B2" w:rsidRPr="00DA75F8" w:rsidRDefault="005F44B2" w:rsidP="00604BF5">
      <w:pPr>
        <w:pStyle w:val="a1"/>
        <w:jc w:val="center"/>
        <w:rPr>
          <w:rtl/>
        </w:rPr>
      </w:pPr>
      <w:bookmarkStart w:id="50" w:name="_Toc447092592"/>
      <w:r w:rsidRPr="00DA75F8">
        <w:rPr>
          <w:rFonts w:hint="cs"/>
          <w:rtl/>
        </w:rPr>
        <w:t>الخاتمة</w:t>
      </w:r>
      <w:bookmarkEnd w:id="50"/>
    </w:p>
    <w:p w:rsidR="005F44B2" w:rsidRPr="00DA75F8" w:rsidRDefault="005F44B2" w:rsidP="007B6769">
      <w:pPr>
        <w:pStyle w:val="a0"/>
        <w:rPr>
          <w:rtl/>
        </w:rPr>
      </w:pPr>
      <w:r w:rsidRPr="00DA75F8">
        <w:rPr>
          <w:rFonts w:hint="cs"/>
          <w:rtl/>
        </w:rPr>
        <w:t>في</w:t>
      </w:r>
      <w:r w:rsidRPr="00DA75F8">
        <w:rPr>
          <w:rtl/>
        </w:rPr>
        <w:t xml:space="preserve"> نهاية هذه الدراسة أحمد الله – عز وجل – الذي أعانني على كتابة هذه الرسالة والتي أكسبتني معلومات </w:t>
      </w:r>
      <w:r>
        <w:rPr>
          <w:rFonts w:hint="cs"/>
          <w:rtl/>
        </w:rPr>
        <w:t>لاتُقدّر</w:t>
      </w:r>
      <w:r>
        <w:rPr>
          <w:rtl/>
        </w:rPr>
        <w:t xml:space="preserve"> بثمن في مدة كتابتي لها، </w:t>
      </w:r>
      <w:r>
        <w:rPr>
          <w:rFonts w:hint="cs"/>
          <w:rtl/>
          <w:lang w:bidi="ar-SA"/>
        </w:rPr>
        <w:t>توصلتإلىبعضأهمالنتائجمنخلالهذهالدراسةحيثيمكنإجمالهاكالتالي</w:t>
      </w:r>
      <w:r>
        <w:rPr>
          <w:rtl/>
          <w:lang w:bidi="ar-SA"/>
        </w:rPr>
        <w:t>:</w:t>
      </w:r>
    </w:p>
    <w:p w:rsidR="005F44B2" w:rsidRPr="00DA75F8" w:rsidRDefault="005F44B2" w:rsidP="00776FCE">
      <w:pPr>
        <w:pStyle w:val="Subtitle"/>
        <w:jc w:val="both"/>
        <w:rPr>
          <w:rtl/>
        </w:rPr>
      </w:pPr>
      <w:r w:rsidRPr="00DA75F8">
        <w:rPr>
          <w:rFonts w:hint="eastAsia"/>
          <w:rtl/>
        </w:rPr>
        <w:t>ونتيجةً</w:t>
      </w:r>
      <w:r w:rsidRPr="00DA75F8">
        <w:rPr>
          <w:rtl/>
        </w:rPr>
        <w:t xml:space="preserve"> </w:t>
      </w:r>
      <w:r w:rsidRPr="00DA75F8">
        <w:rPr>
          <w:rFonts w:hint="eastAsia"/>
          <w:rtl/>
        </w:rPr>
        <w:t>لهذه</w:t>
      </w:r>
      <w:r w:rsidRPr="00DA75F8">
        <w:rPr>
          <w:rtl/>
        </w:rPr>
        <w:t xml:space="preserve"> </w:t>
      </w:r>
      <w:r w:rsidRPr="00DA75F8">
        <w:rPr>
          <w:rFonts w:hint="eastAsia"/>
          <w:rtl/>
        </w:rPr>
        <w:t>الدراسة</w:t>
      </w:r>
      <w:r w:rsidRPr="00DA75F8">
        <w:rPr>
          <w:rtl/>
        </w:rPr>
        <w:t xml:space="preserve"> </w:t>
      </w:r>
      <w:r w:rsidRPr="00DA75F8">
        <w:rPr>
          <w:rFonts w:hint="eastAsia"/>
          <w:rtl/>
        </w:rPr>
        <w:t>وصل</w:t>
      </w:r>
      <w:r w:rsidRPr="00DA75F8">
        <w:rPr>
          <w:rtl/>
        </w:rPr>
        <w:t xml:space="preserve"> </w:t>
      </w:r>
      <w:r w:rsidRPr="00DA75F8">
        <w:rPr>
          <w:rFonts w:hint="eastAsia"/>
          <w:rtl/>
        </w:rPr>
        <w:t>الباحث</w:t>
      </w:r>
      <w:r w:rsidRPr="00DA75F8">
        <w:rPr>
          <w:rtl/>
        </w:rPr>
        <w:t xml:space="preserve"> </w:t>
      </w:r>
      <w:r w:rsidRPr="00DA75F8">
        <w:rPr>
          <w:rFonts w:hint="eastAsia"/>
          <w:rtl/>
        </w:rPr>
        <w:t>إلى</w:t>
      </w:r>
      <w:r w:rsidRPr="00DA75F8">
        <w:rPr>
          <w:rtl/>
        </w:rPr>
        <w:t xml:space="preserve"> </w:t>
      </w:r>
      <w:r w:rsidRPr="00DA75F8">
        <w:rPr>
          <w:rFonts w:hint="eastAsia"/>
          <w:rtl/>
        </w:rPr>
        <w:t>فهم</w:t>
      </w:r>
      <w:r w:rsidRPr="00DA75F8">
        <w:rPr>
          <w:rtl/>
        </w:rPr>
        <w:t xml:space="preserve"> </w:t>
      </w:r>
      <w:r w:rsidRPr="00DA75F8">
        <w:rPr>
          <w:rFonts w:hint="eastAsia"/>
          <w:rtl/>
        </w:rPr>
        <w:t>أعمق،</w:t>
      </w:r>
      <w:r w:rsidRPr="00DA75F8">
        <w:rPr>
          <w:rtl/>
        </w:rPr>
        <w:t xml:space="preserve"> </w:t>
      </w:r>
      <w:r w:rsidRPr="00DA75F8">
        <w:rPr>
          <w:rFonts w:hint="eastAsia"/>
          <w:rtl/>
        </w:rPr>
        <w:t>وأشمل،</w:t>
      </w:r>
      <w:r w:rsidRPr="00DA75F8">
        <w:rPr>
          <w:rtl/>
        </w:rPr>
        <w:t xml:space="preserve"> </w:t>
      </w:r>
      <w:r w:rsidRPr="00DA75F8">
        <w:rPr>
          <w:rFonts w:hint="eastAsia"/>
          <w:rtl/>
        </w:rPr>
        <w:t>وأدق،</w:t>
      </w:r>
      <w:r w:rsidRPr="00DA75F8">
        <w:rPr>
          <w:rtl/>
        </w:rPr>
        <w:t xml:space="preserve"> </w:t>
      </w:r>
      <w:r w:rsidRPr="00DA75F8">
        <w:rPr>
          <w:rFonts w:hint="eastAsia"/>
          <w:rtl/>
        </w:rPr>
        <w:t>للسياسة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وأيضًا</w:t>
      </w:r>
      <w:r w:rsidRPr="00DA75F8">
        <w:rPr>
          <w:rtl/>
        </w:rPr>
        <w:t xml:space="preserve"> </w:t>
      </w:r>
      <w:r w:rsidRPr="00DA75F8">
        <w:rPr>
          <w:rFonts w:hint="eastAsia"/>
          <w:rtl/>
        </w:rPr>
        <w:t>شكّل</w:t>
      </w:r>
      <w:r w:rsidRPr="00DA75F8">
        <w:rPr>
          <w:rtl/>
        </w:rPr>
        <w:t xml:space="preserve"> </w:t>
      </w:r>
      <w:r w:rsidRPr="00DA75F8">
        <w:rPr>
          <w:rFonts w:hint="eastAsia"/>
          <w:rtl/>
        </w:rPr>
        <w:t>تصورًا</w:t>
      </w:r>
      <w:r w:rsidRPr="00DA75F8">
        <w:rPr>
          <w:rtl/>
        </w:rPr>
        <w:t xml:space="preserve"> </w:t>
      </w:r>
      <w:r w:rsidRPr="00DA75F8">
        <w:rPr>
          <w:rFonts w:hint="eastAsia"/>
          <w:rtl/>
        </w:rPr>
        <w:t>واضحًا</w:t>
      </w:r>
      <w:r w:rsidRPr="00DA75F8">
        <w:rPr>
          <w:rtl/>
        </w:rPr>
        <w:t xml:space="preserve"> </w:t>
      </w:r>
      <w:r w:rsidRPr="00DA75F8">
        <w:rPr>
          <w:rFonts w:hint="eastAsia"/>
          <w:rtl/>
        </w:rPr>
        <w:t>عن</w:t>
      </w:r>
      <w:r w:rsidRPr="00DA75F8">
        <w:rPr>
          <w:rtl/>
        </w:rPr>
        <w:t xml:space="preserve"> </w:t>
      </w:r>
      <w:r w:rsidRPr="00DA75F8">
        <w:rPr>
          <w:rFonts w:hint="eastAsia"/>
          <w:rtl/>
        </w:rPr>
        <w:t>أهمية</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في</w:t>
      </w:r>
      <w:r w:rsidRPr="00DA75F8">
        <w:rPr>
          <w:rtl/>
        </w:rPr>
        <w:t xml:space="preserve"> </w:t>
      </w:r>
      <w:r w:rsidRPr="00DA75F8">
        <w:rPr>
          <w:rFonts w:hint="eastAsia"/>
          <w:rtl/>
        </w:rPr>
        <w:t>المجتمع</w:t>
      </w:r>
      <w:r w:rsidRPr="00DA75F8">
        <w:rPr>
          <w:rtl/>
        </w:rPr>
        <w:t xml:space="preserve"> </w:t>
      </w:r>
      <w:r w:rsidRPr="00DA75F8">
        <w:rPr>
          <w:rFonts w:hint="eastAsia"/>
          <w:rtl/>
        </w:rPr>
        <w:t>الإسلامي،</w:t>
      </w:r>
      <w:r w:rsidRPr="00DA75F8">
        <w:rPr>
          <w:rtl/>
        </w:rPr>
        <w:t xml:space="preserve"> </w:t>
      </w:r>
      <w:r w:rsidRPr="00DA75F8">
        <w:rPr>
          <w:rFonts w:hint="eastAsia"/>
          <w:rtl/>
        </w:rPr>
        <w:t>وأنها</w:t>
      </w:r>
      <w:r w:rsidRPr="00DA75F8">
        <w:rPr>
          <w:rtl/>
        </w:rPr>
        <w:t xml:space="preserve"> </w:t>
      </w:r>
      <w:r w:rsidRPr="00DA75F8">
        <w:rPr>
          <w:rFonts w:hint="eastAsia"/>
          <w:rtl/>
        </w:rPr>
        <w:t>ليست</w:t>
      </w:r>
      <w:r w:rsidRPr="00DA75F8">
        <w:rPr>
          <w:rtl/>
        </w:rPr>
        <w:t xml:space="preserve"> </w:t>
      </w:r>
      <w:r w:rsidRPr="00DA75F8">
        <w:rPr>
          <w:rFonts w:hint="eastAsia"/>
          <w:rtl/>
        </w:rPr>
        <w:t>في</w:t>
      </w:r>
      <w:r w:rsidRPr="00DA75F8">
        <w:rPr>
          <w:rtl/>
        </w:rPr>
        <w:t xml:space="preserve"> </w:t>
      </w:r>
      <w:r w:rsidRPr="00DA75F8">
        <w:rPr>
          <w:rFonts w:hint="eastAsia"/>
          <w:rtl/>
        </w:rPr>
        <w:t>المكان</w:t>
      </w:r>
      <w:r w:rsidRPr="00DA75F8">
        <w:rPr>
          <w:rtl/>
        </w:rPr>
        <w:t xml:space="preserve"> </w:t>
      </w:r>
      <w:r w:rsidRPr="00DA75F8">
        <w:rPr>
          <w:rFonts w:hint="eastAsia"/>
          <w:rtl/>
        </w:rPr>
        <w:t>المستحق</w:t>
      </w:r>
      <w:r w:rsidRPr="00DA75F8">
        <w:rPr>
          <w:rtl/>
        </w:rPr>
        <w:t xml:space="preserve"> </w:t>
      </w:r>
      <w:r w:rsidRPr="00DA75F8">
        <w:rPr>
          <w:rFonts w:hint="eastAsia"/>
          <w:rtl/>
        </w:rPr>
        <w:t>بل</w:t>
      </w:r>
      <w:r w:rsidRPr="00DA75F8">
        <w:rPr>
          <w:rtl/>
        </w:rPr>
        <w:t xml:space="preserve"> </w:t>
      </w:r>
      <w:r w:rsidRPr="00DA75F8">
        <w:rPr>
          <w:rFonts w:hint="eastAsia"/>
          <w:rtl/>
        </w:rPr>
        <w:t>يجب</w:t>
      </w:r>
      <w:r w:rsidRPr="00DA75F8">
        <w:rPr>
          <w:rtl/>
        </w:rPr>
        <w:t xml:space="preserve"> </w:t>
      </w:r>
      <w:r w:rsidRPr="00DA75F8">
        <w:rPr>
          <w:rFonts w:hint="eastAsia"/>
          <w:rtl/>
        </w:rPr>
        <w:t>أن</w:t>
      </w:r>
      <w:r w:rsidRPr="00DA75F8">
        <w:rPr>
          <w:rtl/>
        </w:rPr>
        <w:t xml:space="preserve"> </w:t>
      </w:r>
      <w:r w:rsidRPr="00DA75F8">
        <w:rPr>
          <w:rFonts w:hint="eastAsia"/>
          <w:rtl/>
        </w:rPr>
        <w:t>تكون</w:t>
      </w:r>
      <w:r w:rsidRPr="00DA75F8">
        <w:rPr>
          <w:rtl/>
        </w:rPr>
        <w:t xml:space="preserve"> </w:t>
      </w:r>
      <w:r w:rsidRPr="00DA75F8">
        <w:rPr>
          <w:rFonts w:hint="eastAsia"/>
          <w:rtl/>
        </w:rPr>
        <w:t>في</w:t>
      </w:r>
      <w:r w:rsidRPr="00DA75F8">
        <w:rPr>
          <w:rtl/>
        </w:rPr>
        <w:t xml:space="preserve"> </w:t>
      </w:r>
      <w:r w:rsidRPr="00DA75F8">
        <w:rPr>
          <w:rFonts w:hint="eastAsia"/>
          <w:rtl/>
        </w:rPr>
        <w:t>مرتبة</w:t>
      </w:r>
      <w:r w:rsidRPr="00DA75F8">
        <w:rPr>
          <w:rtl/>
        </w:rPr>
        <w:t xml:space="preserve"> </w:t>
      </w:r>
      <w:r w:rsidRPr="00DA75F8">
        <w:rPr>
          <w:rFonts w:hint="eastAsia"/>
          <w:rtl/>
        </w:rPr>
        <w:t>أعلى</w:t>
      </w:r>
      <w:r w:rsidRPr="00DA75F8">
        <w:rPr>
          <w:rtl/>
        </w:rPr>
        <w:t xml:space="preserve"> </w:t>
      </w:r>
      <w:r w:rsidRPr="00DA75F8">
        <w:rPr>
          <w:rFonts w:hint="eastAsia"/>
          <w:rtl/>
        </w:rPr>
        <w:t>مما</w:t>
      </w:r>
      <w:r w:rsidRPr="00DA75F8">
        <w:rPr>
          <w:rtl/>
        </w:rPr>
        <w:t xml:space="preserve"> </w:t>
      </w:r>
      <w:r w:rsidRPr="00DA75F8">
        <w:rPr>
          <w:rFonts w:hint="eastAsia"/>
          <w:rtl/>
        </w:rPr>
        <w:t>هي</w:t>
      </w:r>
      <w:r w:rsidRPr="00DA75F8">
        <w:rPr>
          <w:rtl/>
        </w:rPr>
        <w:t xml:space="preserve"> </w:t>
      </w:r>
      <w:r w:rsidRPr="00DA75F8">
        <w:rPr>
          <w:rFonts w:hint="eastAsia"/>
          <w:rtl/>
        </w:rPr>
        <w:t>عليه</w:t>
      </w:r>
      <w:r w:rsidRPr="00DA75F8">
        <w:rPr>
          <w:rtl/>
        </w:rPr>
        <w:t xml:space="preserve"> </w:t>
      </w:r>
      <w:r w:rsidRPr="00DA75F8">
        <w:rPr>
          <w:rFonts w:hint="eastAsia"/>
          <w:rtl/>
        </w:rPr>
        <w:t>الآن،</w:t>
      </w:r>
      <w:r w:rsidRPr="00DA75F8">
        <w:rPr>
          <w:rtl/>
        </w:rPr>
        <w:t xml:space="preserve"> </w:t>
      </w:r>
      <w:r w:rsidRPr="00DA75F8">
        <w:rPr>
          <w:rFonts w:hint="eastAsia"/>
          <w:rtl/>
        </w:rPr>
        <w:t>حيث</w:t>
      </w:r>
      <w:r w:rsidRPr="00DA75F8">
        <w:rPr>
          <w:rtl/>
        </w:rPr>
        <w:t xml:space="preserve"> </w:t>
      </w:r>
      <w:r w:rsidRPr="00DA75F8">
        <w:rPr>
          <w:rFonts w:hint="eastAsia"/>
          <w:rtl/>
        </w:rPr>
        <w:t>يجب</w:t>
      </w:r>
      <w:r w:rsidRPr="00DA75F8">
        <w:rPr>
          <w:rtl/>
        </w:rPr>
        <w:t xml:space="preserve"> </w:t>
      </w:r>
      <w:r w:rsidRPr="00DA75F8">
        <w:rPr>
          <w:rFonts w:hint="eastAsia"/>
          <w:rtl/>
        </w:rPr>
        <w:t>على</w:t>
      </w:r>
      <w:r w:rsidRPr="00DA75F8">
        <w:rPr>
          <w:rtl/>
        </w:rPr>
        <w:t xml:space="preserve"> </w:t>
      </w:r>
      <w:r w:rsidRPr="00DA75F8">
        <w:rPr>
          <w:rFonts w:hint="eastAsia"/>
          <w:rtl/>
        </w:rPr>
        <w:t>كل</w:t>
      </w:r>
      <w:r w:rsidRPr="00DA75F8">
        <w:rPr>
          <w:rtl/>
        </w:rPr>
        <w:t xml:space="preserve"> </w:t>
      </w:r>
      <w:r w:rsidRPr="00DA75F8">
        <w:rPr>
          <w:rFonts w:hint="eastAsia"/>
          <w:rtl/>
        </w:rPr>
        <w:t>فقيه</w:t>
      </w:r>
      <w:r w:rsidRPr="00DA75F8">
        <w:rPr>
          <w:rtl/>
        </w:rPr>
        <w:t xml:space="preserve"> </w:t>
      </w:r>
      <w:r w:rsidRPr="00DA75F8">
        <w:rPr>
          <w:rFonts w:hint="eastAsia"/>
          <w:rtl/>
        </w:rPr>
        <w:t>وولي</w:t>
      </w:r>
      <w:r w:rsidRPr="00DA75F8">
        <w:rPr>
          <w:rtl/>
        </w:rPr>
        <w:t xml:space="preserve"> </w:t>
      </w:r>
      <w:r w:rsidRPr="00DA75F8">
        <w:rPr>
          <w:rFonts w:hint="eastAsia"/>
          <w:rtl/>
        </w:rPr>
        <w:t>أمر</w:t>
      </w:r>
      <w:r w:rsidRPr="00DA75F8">
        <w:rPr>
          <w:rtl/>
        </w:rPr>
        <w:t xml:space="preserve"> </w:t>
      </w:r>
      <w:r w:rsidRPr="00DA75F8">
        <w:rPr>
          <w:rFonts w:hint="eastAsia"/>
          <w:rtl/>
        </w:rPr>
        <w:t>وقاضٍ</w:t>
      </w:r>
      <w:r w:rsidRPr="00DA75F8">
        <w:rPr>
          <w:rtl/>
        </w:rPr>
        <w:t xml:space="preserve"> </w:t>
      </w:r>
      <w:r w:rsidRPr="00DA75F8">
        <w:rPr>
          <w:rFonts w:hint="eastAsia"/>
          <w:rtl/>
        </w:rPr>
        <w:t>في</w:t>
      </w:r>
      <w:r w:rsidRPr="00DA75F8">
        <w:rPr>
          <w:rtl/>
        </w:rPr>
        <w:t xml:space="preserve"> </w:t>
      </w:r>
      <w:r w:rsidRPr="00DA75F8">
        <w:rPr>
          <w:rFonts w:hint="eastAsia"/>
          <w:rtl/>
        </w:rPr>
        <w:t>بلاد</w:t>
      </w:r>
      <w:r w:rsidRPr="00DA75F8">
        <w:rPr>
          <w:rtl/>
        </w:rPr>
        <w:t xml:space="preserve"> </w:t>
      </w:r>
      <w:r w:rsidRPr="00DA75F8">
        <w:rPr>
          <w:rFonts w:hint="eastAsia"/>
          <w:rtl/>
        </w:rPr>
        <w:t>المسلمين</w:t>
      </w:r>
      <w:r w:rsidRPr="00DA75F8">
        <w:rPr>
          <w:rtl/>
        </w:rPr>
        <w:t xml:space="preserve"> </w:t>
      </w:r>
      <w:r w:rsidRPr="00DA75F8">
        <w:rPr>
          <w:rFonts w:hint="eastAsia"/>
          <w:rtl/>
        </w:rPr>
        <w:t>أن</w:t>
      </w:r>
      <w:r w:rsidRPr="00DA75F8">
        <w:rPr>
          <w:rtl/>
        </w:rPr>
        <w:t xml:space="preserve"> </w:t>
      </w:r>
      <w:r w:rsidRPr="00DA75F8">
        <w:rPr>
          <w:rFonts w:hint="eastAsia"/>
          <w:rtl/>
        </w:rPr>
        <w:t>يعرف</w:t>
      </w:r>
      <w:r w:rsidRPr="00DA75F8">
        <w:rPr>
          <w:rtl/>
        </w:rPr>
        <w:t xml:space="preserve"> </w:t>
      </w:r>
      <w:r w:rsidRPr="00DA75F8">
        <w:rPr>
          <w:rFonts w:hint="eastAsia"/>
          <w:rtl/>
        </w:rPr>
        <w:t>ما</w:t>
      </w:r>
      <w:r w:rsidRPr="00DA75F8">
        <w:rPr>
          <w:rtl/>
        </w:rPr>
        <w:t xml:space="preserve"> </w:t>
      </w:r>
      <w:r w:rsidRPr="00DA75F8">
        <w:rPr>
          <w:rFonts w:hint="eastAsia"/>
          <w:rtl/>
        </w:rPr>
        <w:t>هي</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لأنها</w:t>
      </w:r>
      <w:r w:rsidRPr="00DA75F8">
        <w:rPr>
          <w:rtl/>
        </w:rPr>
        <w:t xml:space="preserve"> </w:t>
      </w:r>
      <w:r w:rsidRPr="00DA75F8">
        <w:rPr>
          <w:rFonts w:hint="eastAsia"/>
          <w:rtl/>
        </w:rPr>
        <w:t>مهمة</w:t>
      </w:r>
      <w:r w:rsidRPr="00DA75F8">
        <w:rPr>
          <w:rtl/>
        </w:rPr>
        <w:t xml:space="preserve"> </w:t>
      </w:r>
      <w:r w:rsidRPr="00DA75F8">
        <w:rPr>
          <w:rFonts w:hint="eastAsia"/>
          <w:rtl/>
        </w:rPr>
        <w:t>جدا،</w:t>
      </w:r>
      <w:r w:rsidRPr="00DA75F8">
        <w:rPr>
          <w:rtl/>
        </w:rPr>
        <w:t xml:space="preserve"> </w:t>
      </w:r>
      <w:r w:rsidRPr="00DA75F8">
        <w:rPr>
          <w:rFonts w:hint="eastAsia"/>
          <w:rtl/>
        </w:rPr>
        <w:t>حيث</w:t>
      </w:r>
      <w:r w:rsidRPr="00DA75F8">
        <w:rPr>
          <w:rtl/>
        </w:rPr>
        <w:t xml:space="preserve"> </w:t>
      </w:r>
      <w:r w:rsidRPr="00DA75F8">
        <w:rPr>
          <w:rFonts w:hint="eastAsia"/>
          <w:rtl/>
        </w:rPr>
        <w:t>أنها</w:t>
      </w:r>
      <w:r w:rsidRPr="00DA75F8">
        <w:rPr>
          <w:rtl/>
        </w:rPr>
        <w:t xml:space="preserve"> </w:t>
      </w:r>
      <w:r w:rsidRPr="00DA75F8">
        <w:rPr>
          <w:rFonts w:hint="eastAsia"/>
          <w:rtl/>
        </w:rPr>
        <w:t>تؤثر</w:t>
      </w:r>
      <w:r w:rsidRPr="00DA75F8">
        <w:rPr>
          <w:rtl/>
        </w:rPr>
        <w:t xml:space="preserve"> </w:t>
      </w:r>
      <w:r w:rsidRPr="00DA75F8">
        <w:rPr>
          <w:rFonts w:hint="eastAsia"/>
          <w:rtl/>
        </w:rPr>
        <w:t>في</w:t>
      </w:r>
      <w:r w:rsidRPr="00DA75F8">
        <w:rPr>
          <w:rtl/>
        </w:rPr>
        <w:t xml:space="preserve"> </w:t>
      </w:r>
      <w:r w:rsidRPr="00DA75F8">
        <w:rPr>
          <w:rFonts w:hint="eastAsia"/>
          <w:rtl/>
        </w:rPr>
        <w:t>حياة</w:t>
      </w:r>
      <w:r w:rsidRPr="00DA75F8">
        <w:rPr>
          <w:rtl/>
        </w:rPr>
        <w:t xml:space="preserve"> </w:t>
      </w:r>
      <w:r w:rsidRPr="00DA75F8">
        <w:rPr>
          <w:rFonts w:hint="eastAsia"/>
          <w:rtl/>
        </w:rPr>
        <w:t>الأمة</w:t>
      </w:r>
      <w:r w:rsidRPr="00DA75F8">
        <w:rPr>
          <w:rtl/>
        </w:rPr>
        <w:t xml:space="preserve"> </w:t>
      </w:r>
      <w:r w:rsidRPr="00DA75F8">
        <w:rPr>
          <w:rFonts w:hint="eastAsia"/>
          <w:rtl/>
        </w:rPr>
        <w:t>الإسلامية</w:t>
      </w:r>
      <w:r w:rsidRPr="00DA75F8">
        <w:rPr>
          <w:rtl/>
        </w:rPr>
        <w:t xml:space="preserve"> </w:t>
      </w:r>
      <w:r w:rsidRPr="00DA75F8">
        <w:rPr>
          <w:rFonts w:hint="eastAsia"/>
          <w:rtl/>
        </w:rPr>
        <w:t>من</w:t>
      </w:r>
      <w:r w:rsidRPr="00DA75F8">
        <w:rPr>
          <w:rtl/>
        </w:rPr>
        <w:t xml:space="preserve"> </w:t>
      </w:r>
      <w:r w:rsidRPr="00DA75F8">
        <w:rPr>
          <w:rFonts w:hint="eastAsia"/>
          <w:rtl/>
        </w:rPr>
        <w:t>كل</w:t>
      </w:r>
      <w:r w:rsidRPr="00DA75F8">
        <w:rPr>
          <w:rtl/>
        </w:rPr>
        <w:t xml:space="preserve"> </w:t>
      </w:r>
      <w:r w:rsidRPr="00DA75F8">
        <w:rPr>
          <w:rFonts w:hint="eastAsia"/>
          <w:rtl/>
        </w:rPr>
        <w:t>جهة،</w:t>
      </w:r>
      <w:r w:rsidRPr="00DA75F8">
        <w:rPr>
          <w:rtl/>
        </w:rPr>
        <w:t xml:space="preserve"> </w:t>
      </w:r>
      <w:r w:rsidRPr="00DA75F8">
        <w:rPr>
          <w:rFonts w:hint="eastAsia"/>
          <w:rtl/>
        </w:rPr>
        <w:t>وتؤثّر</w:t>
      </w:r>
      <w:r w:rsidRPr="00DA75F8">
        <w:rPr>
          <w:rtl/>
        </w:rPr>
        <w:t xml:space="preserve"> </w:t>
      </w:r>
      <w:r w:rsidRPr="00DA75F8">
        <w:rPr>
          <w:rFonts w:hint="eastAsia"/>
          <w:rtl/>
        </w:rPr>
        <w:t>في</w:t>
      </w:r>
      <w:r w:rsidRPr="00DA75F8">
        <w:rPr>
          <w:rtl/>
        </w:rPr>
        <w:t xml:space="preserve"> </w:t>
      </w:r>
      <w:r w:rsidRPr="00DA75F8">
        <w:rPr>
          <w:rFonts w:hint="eastAsia"/>
          <w:rtl/>
        </w:rPr>
        <w:t>حياة</w:t>
      </w:r>
      <w:r w:rsidRPr="00DA75F8">
        <w:rPr>
          <w:rtl/>
        </w:rPr>
        <w:t xml:space="preserve"> </w:t>
      </w:r>
      <w:r w:rsidRPr="00DA75F8">
        <w:rPr>
          <w:rFonts w:hint="eastAsia"/>
          <w:rtl/>
        </w:rPr>
        <w:t>الناس</w:t>
      </w:r>
      <w:r w:rsidRPr="00DA75F8">
        <w:rPr>
          <w:rtl/>
        </w:rPr>
        <w:t xml:space="preserve"> </w:t>
      </w:r>
      <w:r w:rsidRPr="00DA75F8">
        <w:rPr>
          <w:rFonts w:hint="eastAsia"/>
          <w:rtl/>
        </w:rPr>
        <w:t>مباشرة</w:t>
      </w:r>
      <w:r w:rsidRPr="00DA75F8">
        <w:rPr>
          <w:rtl/>
        </w:rPr>
        <w:t>.</w:t>
      </w:r>
    </w:p>
    <w:p w:rsidR="005F44B2" w:rsidRPr="00DA75F8" w:rsidRDefault="005F44B2" w:rsidP="00776FCE">
      <w:pPr>
        <w:pStyle w:val="Subtitle"/>
        <w:jc w:val="both"/>
        <w:rPr>
          <w:rtl/>
        </w:rPr>
      </w:pPr>
      <w:r w:rsidRPr="00DA75F8">
        <w:rPr>
          <w:rFonts w:hint="eastAsia"/>
          <w:rtl/>
        </w:rPr>
        <w:t>وقد</w:t>
      </w:r>
      <w:r w:rsidRPr="00DA75F8">
        <w:rPr>
          <w:rtl/>
        </w:rPr>
        <w:t xml:space="preserve"> </w:t>
      </w:r>
      <w:r w:rsidRPr="00DA75F8">
        <w:rPr>
          <w:rFonts w:hint="eastAsia"/>
          <w:rtl/>
        </w:rPr>
        <w:t>ظهر</w:t>
      </w:r>
      <w:r w:rsidRPr="00DA75F8">
        <w:rPr>
          <w:rtl/>
        </w:rPr>
        <w:t xml:space="preserve"> </w:t>
      </w:r>
      <w:r w:rsidRPr="00DA75F8">
        <w:rPr>
          <w:rFonts w:hint="eastAsia"/>
          <w:rtl/>
        </w:rPr>
        <w:t>من</w:t>
      </w:r>
      <w:r w:rsidRPr="00DA75F8">
        <w:rPr>
          <w:rtl/>
        </w:rPr>
        <w:t xml:space="preserve"> </w:t>
      </w:r>
      <w:r w:rsidRPr="00DA75F8">
        <w:rPr>
          <w:rFonts w:hint="eastAsia"/>
          <w:rtl/>
        </w:rPr>
        <w:t>تعريفات</w:t>
      </w:r>
      <w:r w:rsidRPr="00DA75F8">
        <w:rPr>
          <w:rtl/>
        </w:rPr>
        <w:t xml:space="preserve"> </w:t>
      </w:r>
      <w:r w:rsidRPr="00DA75F8">
        <w:rPr>
          <w:rFonts w:hint="eastAsia"/>
          <w:rtl/>
        </w:rPr>
        <w:t>العلماء</w:t>
      </w:r>
      <w:r w:rsidRPr="00DA75F8">
        <w:rPr>
          <w:rtl/>
        </w:rPr>
        <w:t xml:space="preserve"> </w:t>
      </w:r>
      <w:r w:rsidRPr="00DA75F8">
        <w:rPr>
          <w:rFonts w:hint="eastAsia"/>
          <w:rtl/>
        </w:rPr>
        <w:t>للسياسة</w:t>
      </w:r>
      <w:r w:rsidRPr="00DA75F8">
        <w:rPr>
          <w:rtl/>
        </w:rPr>
        <w:t xml:space="preserve"> </w:t>
      </w:r>
      <w:r w:rsidRPr="00DA75F8">
        <w:rPr>
          <w:rFonts w:hint="eastAsia"/>
          <w:rtl/>
        </w:rPr>
        <w:t>الشرعية</w:t>
      </w:r>
      <w:r w:rsidRPr="00DA75F8">
        <w:rPr>
          <w:rtl/>
        </w:rPr>
        <w:t xml:space="preserve"> </w:t>
      </w:r>
      <w:r w:rsidRPr="00DA75F8">
        <w:rPr>
          <w:rFonts w:hint="eastAsia"/>
          <w:rtl/>
        </w:rPr>
        <w:t>أنها</w:t>
      </w:r>
      <w:r w:rsidRPr="00DA75F8">
        <w:rPr>
          <w:rtl/>
        </w:rPr>
        <w:t xml:space="preserve"> </w:t>
      </w:r>
      <w:r w:rsidRPr="00DA75F8">
        <w:rPr>
          <w:rFonts w:hint="eastAsia"/>
          <w:rtl/>
        </w:rPr>
        <w:t>تتعلق</w:t>
      </w:r>
      <w:r w:rsidRPr="00DA75F8">
        <w:rPr>
          <w:rtl/>
        </w:rPr>
        <w:t xml:space="preserve"> </w:t>
      </w:r>
      <w:r w:rsidRPr="00DA75F8">
        <w:rPr>
          <w:rFonts w:hint="eastAsia"/>
          <w:rtl/>
        </w:rPr>
        <w:t>بحياة</w:t>
      </w:r>
      <w:r w:rsidRPr="00DA75F8">
        <w:rPr>
          <w:rtl/>
        </w:rPr>
        <w:t xml:space="preserve"> </w:t>
      </w:r>
      <w:r w:rsidRPr="00DA75F8">
        <w:rPr>
          <w:rFonts w:hint="eastAsia"/>
          <w:rtl/>
        </w:rPr>
        <w:t>الأمة</w:t>
      </w:r>
      <w:r w:rsidRPr="00DA75F8">
        <w:rPr>
          <w:rtl/>
        </w:rPr>
        <w:t xml:space="preserve"> </w:t>
      </w:r>
      <w:r w:rsidRPr="00DA75F8">
        <w:rPr>
          <w:rFonts w:hint="eastAsia"/>
          <w:rtl/>
        </w:rPr>
        <w:t>من</w:t>
      </w:r>
      <w:r w:rsidRPr="00DA75F8">
        <w:rPr>
          <w:rtl/>
        </w:rPr>
        <w:t xml:space="preserve"> </w:t>
      </w:r>
      <w:r w:rsidRPr="00DA75F8">
        <w:rPr>
          <w:rFonts w:hint="eastAsia"/>
          <w:rtl/>
        </w:rPr>
        <w:t>كل</w:t>
      </w:r>
      <w:r w:rsidRPr="00DA75F8">
        <w:rPr>
          <w:rtl/>
        </w:rPr>
        <w:t xml:space="preserve"> </w:t>
      </w:r>
      <w:r w:rsidRPr="00DA75F8">
        <w:rPr>
          <w:rFonts w:hint="eastAsia"/>
          <w:rtl/>
        </w:rPr>
        <w:t>جهة</w:t>
      </w:r>
      <w:r w:rsidRPr="00DA75F8">
        <w:rPr>
          <w:rtl/>
        </w:rPr>
        <w:t xml:space="preserve"> </w:t>
      </w:r>
      <w:r w:rsidRPr="00DA75F8">
        <w:rPr>
          <w:rFonts w:hint="eastAsia"/>
          <w:rtl/>
        </w:rPr>
        <w:t>حيث</w:t>
      </w:r>
      <w:r w:rsidRPr="00DA75F8">
        <w:rPr>
          <w:rtl/>
        </w:rPr>
        <w:t xml:space="preserve"> </w:t>
      </w:r>
      <w:r w:rsidRPr="00DA75F8">
        <w:rPr>
          <w:rFonts w:hint="eastAsia"/>
          <w:rtl/>
        </w:rPr>
        <w:t>تشمل</w:t>
      </w:r>
      <w:r w:rsidRPr="00DA75F8">
        <w:rPr>
          <w:rtl/>
        </w:rPr>
        <w:t xml:space="preserve"> </w:t>
      </w:r>
      <w:r w:rsidRPr="00DA75F8">
        <w:rPr>
          <w:rFonts w:hint="eastAsia"/>
          <w:rtl/>
        </w:rPr>
        <w:t>جميع</w:t>
      </w:r>
      <w:r w:rsidRPr="00DA75F8">
        <w:rPr>
          <w:rtl/>
        </w:rPr>
        <w:t xml:space="preserve"> </w:t>
      </w:r>
      <w:r w:rsidRPr="00DA75F8">
        <w:rPr>
          <w:rFonts w:hint="eastAsia"/>
          <w:rtl/>
        </w:rPr>
        <w:t>نواحي</w:t>
      </w:r>
      <w:r w:rsidRPr="00DA75F8">
        <w:rPr>
          <w:rtl/>
        </w:rPr>
        <w:t xml:space="preserve"> </w:t>
      </w:r>
      <w:r w:rsidRPr="00DA75F8">
        <w:rPr>
          <w:rFonts w:hint="eastAsia"/>
          <w:rtl/>
        </w:rPr>
        <w:t>الحياة</w:t>
      </w:r>
      <w:r w:rsidRPr="00DA75F8">
        <w:rPr>
          <w:rtl/>
        </w:rPr>
        <w:t xml:space="preserve"> </w:t>
      </w:r>
      <w:r w:rsidRPr="00DA75F8">
        <w:rPr>
          <w:rFonts w:hint="eastAsia"/>
          <w:rtl/>
        </w:rPr>
        <w:t>السياسية</w:t>
      </w:r>
      <w:r w:rsidRPr="00DA75F8">
        <w:rPr>
          <w:rtl/>
        </w:rPr>
        <w:t xml:space="preserve"> </w:t>
      </w:r>
      <w:r w:rsidRPr="00DA75F8">
        <w:rPr>
          <w:rFonts w:hint="eastAsia"/>
          <w:rtl/>
        </w:rPr>
        <w:t>والاجتماعية</w:t>
      </w:r>
      <w:r w:rsidRPr="00DA75F8">
        <w:rPr>
          <w:rtl/>
        </w:rPr>
        <w:t xml:space="preserve"> </w:t>
      </w:r>
      <w:r w:rsidRPr="00DA75F8">
        <w:rPr>
          <w:rFonts w:hint="eastAsia"/>
          <w:rtl/>
        </w:rPr>
        <w:t>والاقتصادية</w:t>
      </w:r>
      <w:r w:rsidRPr="00DA75F8">
        <w:rPr>
          <w:rtl/>
        </w:rPr>
        <w:t xml:space="preserve"> </w:t>
      </w:r>
      <w:r w:rsidRPr="00DA75F8">
        <w:rPr>
          <w:rFonts w:hint="eastAsia"/>
          <w:rtl/>
        </w:rPr>
        <w:t>والعسكرية</w:t>
      </w:r>
      <w:r w:rsidRPr="00DA75F8">
        <w:rPr>
          <w:rtl/>
        </w:rPr>
        <w:t xml:space="preserve"> </w:t>
      </w:r>
      <w:r w:rsidRPr="00DA75F8">
        <w:rPr>
          <w:rFonts w:hint="eastAsia"/>
          <w:rtl/>
        </w:rPr>
        <w:t>ونحو</w:t>
      </w:r>
      <w:r w:rsidRPr="00DA75F8">
        <w:rPr>
          <w:rtl/>
        </w:rPr>
        <w:t xml:space="preserve"> </w:t>
      </w:r>
      <w:r w:rsidRPr="00DA75F8">
        <w:rPr>
          <w:rFonts w:hint="eastAsia"/>
          <w:rtl/>
        </w:rPr>
        <w:t>ذلك</w:t>
      </w:r>
      <w:r w:rsidRPr="00DA75F8">
        <w:rPr>
          <w:rtl/>
        </w:rPr>
        <w:t>.</w:t>
      </w:r>
    </w:p>
    <w:p w:rsidR="005F44B2" w:rsidRPr="00DA75F8" w:rsidRDefault="005F44B2" w:rsidP="00776FCE">
      <w:pPr>
        <w:pStyle w:val="Subtitle"/>
        <w:jc w:val="both"/>
        <w:rPr>
          <w:rtl/>
        </w:rPr>
      </w:pPr>
      <w:r w:rsidRPr="00DA75F8">
        <w:rPr>
          <w:rFonts w:hint="eastAsia"/>
          <w:rtl/>
        </w:rPr>
        <w:t>فقد</w:t>
      </w:r>
      <w:r w:rsidRPr="00DA75F8">
        <w:rPr>
          <w:rtl/>
        </w:rPr>
        <w:t xml:space="preserve"> </w:t>
      </w:r>
      <w:r w:rsidRPr="00DA75F8">
        <w:rPr>
          <w:rFonts w:hint="eastAsia"/>
          <w:rtl/>
        </w:rPr>
        <w:t>تستخدم</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من</w:t>
      </w:r>
      <w:r w:rsidRPr="00DA75F8">
        <w:rPr>
          <w:rtl/>
        </w:rPr>
        <w:t xml:space="preserve"> </w:t>
      </w:r>
      <w:r w:rsidRPr="00DA75F8">
        <w:rPr>
          <w:rFonts w:hint="eastAsia"/>
          <w:rtl/>
        </w:rPr>
        <w:t>قبل</w:t>
      </w:r>
      <w:r w:rsidRPr="00DA75F8">
        <w:rPr>
          <w:rtl/>
        </w:rPr>
        <w:t xml:space="preserve"> </w:t>
      </w:r>
      <w:r w:rsidRPr="00DA75F8">
        <w:rPr>
          <w:rFonts w:hint="eastAsia"/>
          <w:rtl/>
        </w:rPr>
        <w:t>القاضي،</w:t>
      </w:r>
      <w:r w:rsidRPr="00DA75F8">
        <w:rPr>
          <w:rtl/>
        </w:rPr>
        <w:t xml:space="preserve"> </w:t>
      </w:r>
      <w:r w:rsidRPr="00DA75F8">
        <w:rPr>
          <w:rFonts w:hint="eastAsia"/>
          <w:rtl/>
        </w:rPr>
        <w:t>والحاكم،</w:t>
      </w:r>
      <w:r w:rsidRPr="00DA75F8">
        <w:rPr>
          <w:rtl/>
        </w:rPr>
        <w:t xml:space="preserve"> </w:t>
      </w:r>
      <w:r w:rsidRPr="00DA75F8">
        <w:rPr>
          <w:rFonts w:hint="eastAsia"/>
          <w:rtl/>
        </w:rPr>
        <w:t>والإمام،</w:t>
      </w:r>
      <w:r w:rsidRPr="00DA75F8">
        <w:rPr>
          <w:rtl/>
        </w:rPr>
        <w:t xml:space="preserve"> </w:t>
      </w:r>
      <w:r w:rsidRPr="00DA75F8">
        <w:rPr>
          <w:rFonts w:hint="eastAsia"/>
          <w:rtl/>
        </w:rPr>
        <w:t>ومن</w:t>
      </w:r>
      <w:r w:rsidRPr="00DA75F8">
        <w:rPr>
          <w:rtl/>
        </w:rPr>
        <w:t xml:space="preserve"> </w:t>
      </w:r>
      <w:r w:rsidRPr="00DA75F8">
        <w:rPr>
          <w:rFonts w:hint="eastAsia"/>
          <w:rtl/>
        </w:rPr>
        <w:t>ينوب</w:t>
      </w:r>
      <w:r w:rsidRPr="00DA75F8">
        <w:rPr>
          <w:rtl/>
        </w:rPr>
        <w:t xml:space="preserve"> </w:t>
      </w:r>
      <w:r w:rsidRPr="00DA75F8">
        <w:rPr>
          <w:rFonts w:hint="eastAsia"/>
          <w:rtl/>
        </w:rPr>
        <w:t>عنهم،</w:t>
      </w:r>
      <w:r w:rsidRPr="00DA75F8">
        <w:rPr>
          <w:rtl/>
        </w:rPr>
        <w:t xml:space="preserve"> </w:t>
      </w:r>
      <w:r w:rsidRPr="00DA75F8">
        <w:rPr>
          <w:rFonts w:hint="eastAsia"/>
          <w:rtl/>
        </w:rPr>
        <w:t>ويجب</w:t>
      </w:r>
      <w:r w:rsidRPr="00DA75F8">
        <w:rPr>
          <w:rtl/>
        </w:rPr>
        <w:t xml:space="preserve"> </w:t>
      </w:r>
      <w:r w:rsidRPr="00DA75F8">
        <w:rPr>
          <w:rFonts w:hint="eastAsia"/>
          <w:rtl/>
        </w:rPr>
        <w:t>على</w:t>
      </w:r>
      <w:r w:rsidRPr="00DA75F8">
        <w:rPr>
          <w:rtl/>
        </w:rPr>
        <w:t xml:space="preserve"> </w:t>
      </w:r>
      <w:r w:rsidRPr="00DA75F8">
        <w:rPr>
          <w:rFonts w:hint="eastAsia"/>
          <w:rtl/>
        </w:rPr>
        <w:t>من</w:t>
      </w:r>
      <w:r w:rsidRPr="00DA75F8">
        <w:rPr>
          <w:rtl/>
        </w:rPr>
        <w:t xml:space="preserve"> </w:t>
      </w:r>
      <w:r w:rsidRPr="00DA75F8">
        <w:rPr>
          <w:rFonts w:hint="eastAsia"/>
          <w:rtl/>
        </w:rPr>
        <w:t>يقرّر</w:t>
      </w:r>
      <w:r w:rsidRPr="00DA75F8">
        <w:rPr>
          <w:rtl/>
        </w:rPr>
        <w:t xml:space="preserve"> </w:t>
      </w:r>
      <w:r w:rsidRPr="00DA75F8">
        <w:rPr>
          <w:rFonts w:hint="eastAsia"/>
          <w:rtl/>
        </w:rPr>
        <w:t>في</w:t>
      </w:r>
      <w:r w:rsidRPr="00DA75F8">
        <w:rPr>
          <w:rtl/>
        </w:rPr>
        <w:t xml:space="preserve"> </w:t>
      </w:r>
      <w:r w:rsidRPr="00DA75F8">
        <w:rPr>
          <w:rFonts w:hint="eastAsia"/>
          <w:rtl/>
        </w:rPr>
        <w:t>المسألة</w:t>
      </w:r>
      <w:r w:rsidRPr="00DA75F8">
        <w:rPr>
          <w:rtl/>
        </w:rPr>
        <w:t xml:space="preserve"> </w:t>
      </w:r>
      <w:r w:rsidRPr="00DA75F8">
        <w:rPr>
          <w:rFonts w:hint="eastAsia"/>
          <w:rtl/>
        </w:rPr>
        <w:t>أن</w:t>
      </w:r>
      <w:r w:rsidRPr="00DA75F8">
        <w:rPr>
          <w:rtl/>
        </w:rPr>
        <w:t xml:space="preserve"> </w:t>
      </w:r>
      <w:r w:rsidRPr="00DA75F8">
        <w:rPr>
          <w:rFonts w:hint="eastAsia"/>
          <w:rtl/>
        </w:rPr>
        <w:t>يفهمها</w:t>
      </w:r>
      <w:r w:rsidRPr="00DA75F8">
        <w:rPr>
          <w:rtl/>
        </w:rPr>
        <w:t xml:space="preserve"> </w:t>
      </w:r>
      <w:r w:rsidRPr="00DA75F8">
        <w:rPr>
          <w:rFonts w:hint="eastAsia"/>
          <w:rtl/>
        </w:rPr>
        <w:t>فهمًا</w:t>
      </w:r>
      <w:r w:rsidRPr="00DA75F8">
        <w:rPr>
          <w:rtl/>
        </w:rPr>
        <w:t xml:space="preserve"> </w:t>
      </w:r>
      <w:r w:rsidRPr="00DA75F8">
        <w:rPr>
          <w:rFonts w:hint="eastAsia"/>
          <w:rtl/>
        </w:rPr>
        <w:t>تامًا،</w:t>
      </w:r>
      <w:r w:rsidRPr="00DA75F8">
        <w:rPr>
          <w:rtl/>
        </w:rPr>
        <w:t xml:space="preserve"> </w:t>
      </w:r>
      <w:r w:rsidRPr="00DA75F8">
        <w:rPr>
          <w:rFonts w:hint="eastAsia"/>
          <w:rtl/>
        </w:rPr>
        <w:t>وأن</w:t>
      </w:r>
      <w:r w:rsidRPr="00DA75F8">
        <w:rPr>
          <w:rtl/>
        </w:rPr>
        <w:t xml:space="preserve"> </w:t>
      </w:r>
      <w:r w:rsidRPr="00DA75F8">
        <w:rPr>
          <w:rFonts w:hint="eastAsia"/>
          <w:rtl/>
        </w:rPr>
        <w:t>ينظر</w:t>
      </w:r>
      <w:r w:rsidRPr="00DA75F8">
        <w:rPr>
          <w:rtl/>
        </w:rPr>
        <w:t xml:space="preserve"> </w:t>
      </w:r>
      <w:r w:rsidRPr="00DA75F8">
        <w:rPr>
          <w:rFonts w:hint="eastAsia"/>
          <w:rtl/>
        </w:rPr>
        <w:t>في</w:t>
      </w:r>
      <w:r w:rsidRPr="00DA75F8">
        <w:rPr>
          <w:rtl/>
        </w:rPr>
        <w:t xml:space="preserve"> </w:t>
      </w:r>
      <w:r w:rsidRPr="00DA75F8">
        <w:rPr>
          <w:rFonts w:hint="eastAsia"/>
          <w:rtl/>
        </w:rPr>
        <w:t>ملابسات</w:t>
      </w:r>
      <w:r w:rsidRPr="00DA75F8">
        <w:rPr>
          <w:rtl/>
        </w:rPr>
        <w:t xml:space="preserve"> </w:t>
      </w:r>
      <w:r w:rsidRPr="00DA75F8">
        <w:rPr>
          <w:rFonts w:hint="eastAsia"/>
          <w:rtl/>
        </w:rPr>
        <w:t>المسألة،</w:t>
      </w:r>
      <w:r w:rsidRPr="00DA75F8">
        <w:rPr>
          <w:rtl/>
        </w:rPr>
        <w:t xml:space="preserve"> </w:t>
      </w:r>
      <w:r w:rsidRPr="00DA75F8">
        <w:rPr>
          <w:rFonts w:hint="eastAsia"/>
          <w:rtl/>
        </w:rPr>
        <w:t>وظروفها،</w:t>
      </w:r>
      <w:r w:rsidRPr="00DA75F8">
        <w:rPr>
          <w:rtl/>
        </w:rPr>
        <w:t xml:space="preserve"> </w:t>
      </w:r>
      <w:r w:rsidRPr="00DA75F8">
        <w:rPr>
          <w:rFonts w:hint="eastAsia"/>
          <w:rtl/>
        </w:rPr>
        <w:t>حتى</w:t>
      </w:r>
      <w:r w:rsidRPr="00DA75F8">
        <w:rPr>
          <w:rtl/>
        </w:rPr>
        <w:t xml:space="preserve"> </w:t>
      </w:r>
      <w:r w:rsidRPr="00DA75F8">
        <w:rPr>
          <w:rFonts w:hint="eastAsia"/>
          <w:rtl/>
        </w:rPr>
        <w:t>تستقر</w:t>
      </w:r>
      <w:r w:rsidRPr="00DA75F8">
        <w:rPr>
          <w:rtl/>
        </w:rPr>
        <w:t xml:space="preserve"> </w:t>
      </w:r>
      <w:r w:rsidRPr="00DA75F8">
        <w:rPr>
          <w:rFonts w:hint="eastAsia"/>
          <w:rtl/>
        </w:rPr>
        <w:t>في</w:t>
      </w:r>
      <w:r w:rsidRPr="00DA75F8">
        <w:rPr>
          <w:rtl/>
        </w:rPr>
        <w:t xml:space="preserve"> </w:t>
      </w:r>
      <w:r w:rsidRPr="00DA75F8">
        <w:rPr>
          <w:rFonts w:hint="eastAsia"/>
          <w:rtl/>
        </w:rPr>
        <w:t>ذهنه</w:t>
      </w:r>
      <w:r w:rsidRPr="00DA75F8">
        <w:rPr>
          <w:rtl/>
        </w:rPr>
        <w:t xml:space="preserve"> </w:t>
      </w:r>
      <w:r w:rsidRPr="00DA75F8">
        <w:rPr>
          <w:rFonts w:hint="eastAsia"/>
          <w:rtl/>
        </w:rPr>
        <w:t>تمامًا،</w:t>
      </w:r>
      <w:r w:rsidRPr="00DA75F8">
        <w:rPr>
          <w:rtl/>
        </w:rPr>
        <w:t xml:space="preserve"> </w:t>
      </w:r>
      <w:r w:rsidRPr="00DA75F8">
        <w:rPr>
          <w:rFonts w:hint="eastAsia"/>
          <w:rtl/>
        </w:rPr>
        <w:t>لئلا</w:t>
      </w:r>
      <w:r w:rsidRPr="00DA75F8">
        <w:rPr>
          <w:rtl/>
        </w:rPr>
        <w:t xml:space="preserve"> </w:t>
      </w:r>
      <w:r w:rsidRPr="00DA75F8">
        <w:rPr>
          <w:rFonts w:hint="eastAsia"/>
          <w:rtl/>
        </w:rPr>
        <w:t>يقرّر</w:t>
      </w:r>
      <w:r w:rsidRPr="00DA75F8">
        <w:rPr>
          <w:rtl/>
        </w:rPr>
        <w:t xml:space="preserve"> </w:t>
      </w:r>
      <w:r w:rsidRPr="00DA75F8">
        <w:rPr>
          <w:rFonts w:hint="eastAsia"/>
          <w:rtl/>
        </w:rPr>
        <w:t>خطأً،</w:t>
      </w:r>
      <w:r w:rsidRPr="00DA75F8">
        <w:rPr>
          <w:rtl/>
        </w:rPr>
        <w:t xml:space="preserve"> </w:t>
      </w:r>
      <w:r w:rsidRPr="00DA75F8">
        <w:rPr>
          <w:rFonts w:hint="eastAsia"/>
          <w:rtl/>
        </w:rPr>
        <w:t>ويجب</w:t>
      </w:r>
      <w:r w:rsidRPr="00DA75F8">
        <w:rPr>
          <w:rtl/>
        </w:rPr>
        <w:t xml:space="preserve"> </w:t>
      </w:r>
      <w:r w:rsidRPr="00DA75F8">
        <w:rPr>
          <w:rFonts w:hint="eastAsia"/>
          <w:rtl/>
        </w:rPr>
        <w:t>على</w:t>
      </w:r>
      <w:r w:rsidRPr="00DA75F8">
        <w:rPr>
          <w:rtl/>
        </w:rPr>
        <w:t xml:space="preserve"> </w:t>
      </w:r>
      <w:r w:rsidRPr="00DA75F8">
        <w:rPr>
          <w:rFonts w:hint="eastAsia"/>
          <w:rtl/>
        </w:rPr>
        <w:t>مقرِّر</w:t>
      </w:r>
      <w:r w:rsidRPr="00DA75F8">
        <w:rPr>
          <w:rtl/>
        </w:rPr>
        <w:t xml:space="preserve"> </w:t>
      </w:r>
      <w:r w:rsidRPr="00DA75F8">
        <w:rPr>
          <w:rFonts w:hint="eastAsia"/>
          <w:rtl/>
        </w:rPr>
        <w:t>هذه</w:t>
      </w:r>
      <w:r w:rsidRPr="00DA75F8">
        <w:rPr>
          <w:rtl/>
        </w:rPr>
        <w:t xml:space="preserve"> </w:t>
      </w:r>
      <w:r w:rsidRPr="00DA75F8">
        <w:rPr>
          <w:rFonts w:hint="eastAsia"/>
          <w:rtl/>
        </w:rPr>
        <w:t>الأشياء</w:t>
      </w:r>
      <w:r w:rsidRPr="00DA75F8">
        <w:rPr>
          <w:rtl/>
        </w:rPr>
        <w:t xml:space="preserve"> </w:t>
      </w:r>
      <w:r w:rsidRPr="00DA75F8">
        <w:rPr>
          <w:rFonts w:hint="eastAsia"/>
          <w:rtl/>
        </w:rPr>
        <w:t>أن</w:t>
      </w:r>
      <w:r w:rsidRPr="00DA75F8">
        <w:rPr>
          <w:rtl/>
        </w:rPr>
        <w:t xml:space="preserve"> </w:t>
      </w:r>
      <w:r w:rsidRPr="00DA75F8">
        <w:rPr>
          <w:rFonts w:hint="eastAsia"/>
          <w:rtl/>
        </w:rPr>
        <w:t>يتطابق</w:t>
      </w:r>
      <w:r w:rsidRPr="00DA75F8">
        <w:rPr>
          <w:rtl/>
        </w:rPr>
        <w:t xml:space="preserve"> </w:t>
      </w:r>
      <w:r w:rsidRPr="00DA75F8">
        <w:rPr>
          <w:rFonts w:hint="eastAsia"/>
          <w:rtl/>
        </w:rPr>
        <w:t>قراره</w:t>
      </w:r>
      <w:r w:rsidRPr="00DA75F8">
        <w:rPr>
          <w:rtl/>
        </w:rPr>
        <w:t xml:space="preserve"> </w:t>
      </w:r>
      <w:r w:rsidRPr="00DA75F8">
        <w:rPr>
          <w:rFonts w:hint="eastAsia"/>
          <w:rtl/>
        </w:rPr>
        <w:t>مع</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حيث</w:t>
      </w:r>
      <w:r w:rsidRPr="00DA75F8">
        <w:rPr>
          <w:rtl/>
        </w:rPr>
        <w:t xml:space="preserve"> </w:t>
      </w:r>
      <w:r w:rsidRPr="00DA75F8">
        <w:rPr>
          <w:rFonts w:hint="eastAsia"/>
          <w:rtl/>
        </w:rPr>
        <w:t>إنها</w:t>
      </w:r>
      <w:r w:rsidRPr="00DA75F8">
        <w:rPr>
          <w:rtl/>
        </w:rPr>
        <w:t xml:space="preserve"> </w:t>
      </w:r>
      <w:r w:rsidRPr="00DA75F8">
        <w:rPr>
          <w:rFonts w:hint="eastAsia"/>
          <w:rtl/>
        </w:rPr>
        <w:t>تراعي</w:t>
      </w:r>
      <w:r w:rsidRPr="00DA75F8">
        <w:rPr>
          <w:rtl/>
        </w:rPr>
        <w:t xml:space="preserve"> </w:t>
      </w:r>
      <w:r w:rsidRPr="00DA75F8">
        <w:rPr>
          <w:rFonts w:hint="eastAsia"/>
          <w:rtl/>
        </w:rPr>
        <w:t>مصلحة</w:t>
      </w:r>
      <w:r w:rsidRPr="00DA75F8">
        <w:rPr>
          <w:rtl/>
        </w:rPr>
        <w:t xml:space="preserve"> </w:t>
      </w:r>
      <w:r w:rsidRPr="00DA75F8">
        <w:rPr>
          <w:rFonts w:hint="eastAsia"/>
          <w:rtl/>
        </w:rPr>
        <w:t>الأمة</w:t>
      </w:r>
      <w:r w:rsidRPr="00DA75F8">
        <w:rPr>
          <w:rtl/>
        </w:rPr>
        <w:t xml:space="preserve"> </w:t>
      </w:r>
      <w:r w:rsidRPr="00DA75F8">
        <w:rPr>
          <w:rFonts w:hint="eastAsia"/>
          <w:rtl/>
        </w:rPr>
        <w:t>في</w:t>
      </w:r>
      <w:r w:rsidRPr="00DA75F8">
        <w:rPr>
          <w:rtl/>
        </w:rPr>
        <w:t xml:space="preserve"> </w:t>
      </w:r>
      <w:r w:rsidRPr="00DA75F8">
        <w:rPr>
          <w:rFonts w:hint="eastAsia"/>
          <w:rtl/>
        </w:rPr>
        <w:t>كل</w:t>
      </w:r>
      <w:r w:rsidRPr="00DA75F8">
        <w:rPr>
          <w:rtl/>
        </w:rPr>
        <w:t xml:space="preserve"> </w:t>
      </w:r>
      <w:r w:rsidRPr="00DA75F8">
        <w:rPr>
          <w:rFonts w:hint="eastAsia"/>
          <w:rtl/>
        </w:rPr>
        <w:t>حال</w:t>
      </w:r>
      <w:r w:rsidRPr="00DA75F8">
        <w:rPr>
          <w:rtl/>
        </w:rPr>
        <w:t xml:space="preserve"> </w:t>
      </w:r>
      <w:r w:rsidRPr="00DA75F8">
        <w:rPr>
          <w:rFonts w:hint="eastAsia"/>
          <w:rtl/>
        </w:rPr>
        <w:t>وزمان</w:t>
      </w:r>
      <w:r w:rsidRPr="00DA75F8">
        <w:rPr>
          <w:rtl/>
        </w:rPr>
        <w:t xml:space="preserve">. </w:t>
      </w:r>
      <w:r w:rsidRPr="00DA75F8">
        <w:rPr>
          <w:rFonts w:hint="eastAsia"/>
          <w:rtl/>
        </w:rPr>
        <w:t>وبالاضافة</w:t>
      </w:r>
      <w:r w:rsidRPr="00DA75F8">
        <w:rPr>
          <w:rtl/>
        </w:rPr>
        <w:t xml:space="preserve"> </w:t>
      </w:r>
      <w:r w:rsidRPr="00DA75F8">
        <w:rPr>
          <w:rFonts w:hint="eastAsia"/>
          <w:rtl/>
        </w:rPr>
        <w:t>إلى</w:t>
      </w:r>
      <w:r w:rsidRPr="00DA75F8">
        <w:rPr>
          <w:rtl/>
        </w:rPr>
        <w:t xml:space="preserve"> </w:t>
      </w:r>
      <w:r w:rsidRPr="00DA75F8">
        <w:rPr>
          <w:rFonts w:hint="eastAsia"/>
          <w:rtl/>
        </w:rPr>
        <w:t>ذلك</w:t>
      </w:r>
      <w:r w:rsidRPr="00DA75F8">
        <w:rPr>
          <w:rtl/>
        </w:rPr>
        <w:t xml:space="preserve"> </w:t>
      </w:r>
      <w:r w:rsidRPr="00DA75F8">
        <w:rPr>
          <w:rFonts w:hint="eastAsia"/>
          <w:rtl/>
        </w:rPr>
        <w:t>يجب</w:t>
      </w:r>
      <w:r w:rsidRPr="00DA75F8">
        <w:rPr>
          <w:rtl/>
        </w:rPr>
        <w:t xml:space="preserve"> </w:t>
      </w:r>
      <w:r w:rsidRPr="00DA75F8">
        <w:rPr>
          <w:rFonts w:hint="eastAsia"/>
          <w:rtl/>
        </w:rPr>
        <w:t>ألّا</w:t>
      </w:r>
      <w:r w:rsidRPr="00DA75F8">
        <w:rPr>
          <w:rtl/>
        </w:rPr>
        <w:t xml:space="preserve"> </w:t>
      </w:r>
      <w:r w:rsidRPr="00DA75F8">
        <w:rPr>
          <w:rFonts w:hint="eastAsia"/>
          <w:rtl/>
        </w:rPr>
        <w:t>يغيب</w:t>
      </w:r>
      <w:r w:rsidRPr="00DA75F8">
        <w:rPr>
          <w:rtl/>
        </w:rPr>
        <w:t xml:space="preserve"> </w:t>
      </w:r>
      <w:r w:rsidRPr="00DA75F8">
        <w:rPr>
          <w:rFonts w:hint="eastAsia"/>
          <w:rtl/>
        </w:rPr>
        <w:t>عن</w:t>
      </w:r>
      <w:r w:rsidRPr="00DA75F8">
        <w:rPr>
          <w:rtl/>
        </w:rPr>
        <w:t xml:space="preserve"> </w:t>
      </w:r>
      <w:r w:rsidRPr="00DA75F8">
        <w:rPr>
          <w:rFonts w:hint="eastAsia"/>
          <w:rtl/>
        </w:rPr>
        <w:t>البال</w:t>
      </w:r>
      <w:r w:rsidRPr="00DA75F8">
        <w:rPr>
          <w:rtl/>
        </w:rPr>
        <w:t xml:space="preserve"> </w:t>
      </w:r>
      <w:r w:rsidRPr="00DA75F8">
        <w:rPr>
          <w:rFonts w:hint="eastAsia"/>
          <w:rtl/>
        </w:rPr>
        <w:t>أن</w:t>
      </w:r>
      <w:r w:rsidRPr="00DA75F8">
        <w:rPr>
          <w:rtl/>
        </w:rPr>
        <w:t xml:space="preserve"> </w:t>
      </w:r>
      <w:r w:rsidRPr="00DA75F8">
        <w:rPr>
          <w:rFonts w:hint="eastAsia"/>
          <w:rtl/>
        </w:rPr>
        <w:t>الأحكام</w:t>
      </w:r>
      <w:r w:rsidRPr="00DA75F8">
        <w:rPr>
          <w:rtl/>
        </w:rPr>
        <w:t xml:space="preserve"> </w:t>
      </w:r>
      <w:r w:rsidRPr="00DA75F8">
        <w:rPr>
          <w:rFonts w:hint="eastAsia"/>
          <w:rtl/>
        </w:rPr>
        <w:t>تتغير</w:t>
      </w:r>
      <w:r w:rsidRPr="00DA75F8">
        <w:rPr>
          <w:rtl/>
        </w:rPr>
        <w:t xml:space="preserve"> </w:t>
      </w:r>
      <w:r w:rsidRPr="00DA75F8">
        <w:rPr>
          <w:rFonts w:hint="eastAsia"/>
          <w:rtl/>
        </w:rPr>
        <w:t>بتغير</w:t>
      </w:r>
      <w:r w:rsidRPr="00DA75F8">
        <w:rPr>
          <w:rtl/>
        </w:rPr>
        <w:t xml:space="preserve"> </w:t>
      </w:r>
      <w:r w:rsidRPr="00DA75F8">
        <w:rPr>
          <w:rFonts w:hint="eastAsia"/>
          <w:rtl/>
        </w:rPr>
        <w:t>الأزمان،</w:t>
      </w:r>
      <w:r w:rsidRPr="00DA75F8">
        <w:rPr>
          <w:rtl/>
        </w:rPr>
        <w:t xml:space="preserve"> </w:t>
      </w:r>
      <w:r w:rsidRPr="00DA75F8">
        <w:rPr>
          <w:rFonts w:hint="eastAsia"/>
          <w:rtl/>
        </w:rPr>
        <w:t>لذا</w:t>
      </w:r>
      <w:r w:rsidRPr="00DA75F8">
        <w:rPr>
          <w:rtl/>
        </w:rPr>
        <w:t xml:space="preserve"> </w:t>
      </w:r>
      <w:r w:rsidRPr="00DA75F8">
        <w:rPr>
          <w:rFonts w:hint="eastAsia"/>
          <w:rtl/>
        </w:rPr>
        <w:t>من</w:t>
      </w:r>
      <w:r w:rsidRPr="00DA75F8">
        <w:rPr>
          <w:rtl/>
        </w:rPr>
        <w:t xml:space="preserve"> </w:t>
      </w:r>
      <w:r w:rsidRPr="00DA75F8">
        <w:rPr>
          <w:rFonts w:hint="eastAsia"/>
          <w:rtl/>
        </w:rPr>
        <w:t>المحتمل</w:t>
      </w:r>
      <w:r w:rsidRPr="00DA75F8">
        <w:rPr>
          <w:rtl/>
        </w:rPr>
        <w:t xml:space="preserve"> </w:t>
      </w:r>
      <w:r w:rsidRPr="00DA75F8">
        <w:rPr>
          <w:rFonts w:hint="eastAsia"/>
          <w:rtl/>
        </w:rPr>
        <w:t>أن</w:t>
      </w:r>
      <w:r w:rsidRPr="00DA75F8">
        <w:rPr>
          <w:rtl/>
        </w:rPr>
        <w:t xml:space="preserve"> </w:t>
      </w:r>
      <w:r w:rsidRPr="00DA75F8">
        <w:rPr>
          <w:rFonts w:hint="eastAsia"/>
          <w:rtl/>
        </w:rPr>
        <w:t>تكون</w:t>
      </w:r>
      <w:r w:rsidRPr="00DA75F8">
        <w:rPr>
          <w:rtl/>
        </w:rPr>
        <w:t xml:space="preserve"> </w:t>
      </w:r>
      <w:r w:rsidRPr="00DA75F8">
        <w:rPr>
          <w:rFonts w:hint="eastAsia"/>
          <w:rtl/>
        </w:rPr>
        <w:t>في</w:t>
      </w:r>
      <w:r w:rsidRPr="00DA75F8">
        <w:rPr>
          <w:rtl/>
        </w:rPr>
        <w:t xml:space="preserve"> </w:t>
      </w:r>
      <w:r w:rsidRPr="00DA75F8">
        <w:rPr>
          <w:rFonts w:hint="eastAsia"/>
          <w:rtl/>
        </w:rPr>
        <w:t>نفس</w:t>
      </w:r>
      <w:r w:rsidRPr="00DA75F8">
        <w:rPr>
          <w:rtl/>
        </w:rPr>
        <w:t xml:space="preserve"> </w:t>
      </w:r>
      <w:r w:rsidRPr="00DA75F8">
        <w:rPr>
          <w:rFonts w:hint="eastAsia"/>
          <w:rtl/>
        </w:rPr>
        <w:t>المسألة</w:t>
      </w:r>
      <w:r w:rsidRPr="00DA75F8">
        <w:rPr>
          <w:rtl/>
        </w:rPr>
        <w:t xml:space="preserve"> </w:t>
      </w:r>
      <w:r w:rsidRPr="00DA75F8">
        <w:rPr>
          <w:rFonts w:hint="eastAsia"/>
          <w:rtl/>
        </w:rPr>
        <w:t>أحكام</w:t>
      </w:r>
      <w:r w:rsidRPr="00DA75F8">
        <w:rPr>
          <w:rtl/>
        </w:rPr>
        <w:t xml:space="preserve"> </w:t>
      </w:r>
      <w:r w:rsidRPr="00DA75F8">
        <w:rPr>
          <w:rFonts w:hint="eastAsia"/>
          <w:rtl/>
        </w:rPr>
        <w:t>مختلفة</w:t>
      </w:r>
      <w:r w:rsidRPr="00DA75F8">
        <w:rPr>
          <w:rtl/>
        </w:rPr>
        <w:t xml:space="preserve"> </w:t>
      </w:r>
      <w:r w:rsidRPr="00DA75F8">
        <w:rPr>
          <w:rFonts w:hint="eastAsia"/>
          <w:rtl/>
        </w:rPr>
        <w:t>باختلاف</w:t>
      </w:r>
      <w:r w:rsidRPr="00DA75F8">
        <w:rPr>
          <w:rtl/>
        </w:rPr>
        <w:t xml:space="preserve"> </w:t>
      </w:r>
      <w:r w:rsidRPr="00DA75F8">
        <w:rPr>
          <w:rFonts w:hint="eastAsia"/>
          <w:rtl/>
        </w:rPr>
        <w:t>الزمان،</w:t>
      </w:r>
      <w:r w:rsidRPr="00DA75F8">
        <w:rPr>
          <w:rtl/>
        </w:rPr>
        <w:t xml:space="preserve"> </w:t>
      </w:r>
      <w:r w:rsidRPr="00DA75F8">
        <w:rPr>
          <w:rFonts w:hint="eastAsia"/>
          <w:rtl/>
        </w:rPr>
        <w:t>لأن</w:t>
      </w:r>
      <w:r w:rsidRPr="00DA75F8">
        <w:rPr>
          <w:rtl/>
        </w:rPr>
        <w:t xml:space="preserve"> </w:t>
      </w:r>
      <w:r w:rsidRPr="00DA75F8">
        <w:rPr>
          <w:rFonts w:hint="eastAsia"/>
          <w:rtl/>
        </w:rPr>
        <w:t>احتياج</w:t>
      </w:r>
      <w:r w:rsidRPr="00DA75F8">
        <w:rPr>
          <w:rtl/>
        </w:rPr>
        <w:t xml:space="preserve"> </w:t>
      </w:r>
      <w:r w:rsidRPr="00DA75F8">
        <w:rPr>
          <w:rFonts w:hint="eastAsia"/>
          <w:rtl/>
        </w:rPr>
        <w:t>الناس،</w:t>
      </w:r>
      <w:r w:rsidRPr="00DA75F8">
        <w:rPr>
          <w:rtl/>
        </w:rPr>
        <w:t xml:space="preserve"> </w:t>
      </w:r>
      <w:r w:rsidRPr="00DA75F8">
        <w:rPr>
          <w:rFonts w:hint="eastAsia"/>
          <w:rtl/>
        </w:rPr>
        <w:t>وتوجهاتهم،</w:t>
      </w:r>
      <w:r w:rsidRPr="00DA75F8">
        <w:rPr>
          <w:rtl/>
        </w:rPr>
        <w:t xml:space="preserve"> </w:t>
      </w:r>
      <w:r w:rsidRPr="00DA75F8">
        <w:rPr>
          <w:rFonts w:hint="eastAsia"/>
          <w:rtl/>
        </w:rPr>
        <w:t>وظروفهم</w:t>
      </w:r>
      <w:r w:rsidRPr="00DA75F8">
        <w:rPr>
          <w:rtl/>
        </w:rPr>
        <w:t xml:space="preserve"> </w:t>
      </w:r>
      <w:r w:rsidRPr="00DA75F8">
        <w:rPr>
          <w:rFonts w:hint="eastAsia"/>
          <w:rtl/>
        </w:rPr>
        <w:t>تتغير</w:t>
      </w:r>
      <w:r w:rsidRPr="00DA75F8">
        <w:rPr>
          <w:rtl/>
        </w:rPr>
        <w:t xml:space="preserve"> </w:t>
      </w:r>
      <w:r w:rsidRPr="00DA75F8">
        <w:rPr>
          <w:rFonts w:hint="eastAsia"/>
          <w:rtl/>
        </w:rPr>
        <w:t>بتغيره،</w:t>
      </w:r>
      <w:r w:rsidRPr="00DA75F8">
        <w:rPr>
          <w:rtl/>
        </w:rPr>
        <w:t xml:space="preserve"> </w:t>
      </w:r>
      <w:r w:rsidRPr="00DA75F8">
        <w:rPr>
          <w:rFonts w:hint="eastAsia"/>
          <w:rtl/>
        </w:rPr>
        <w:t>وأيضًا</w:t>
      </w:r>
      <w:r w:rsidRPr="00DA75F8">
        <w:rPr>
          <w:rtl/>
        </w:rPr>
        <w:t xml:space="preserve"> </w:t>
      </w:r>
      <w:r w:rsidRPr="00DA75F8">
        <w:rPr>
          <w:rFonts w:hint="eastAsia"/>
          <w:rtl/>
        </w:rPr>
        <w:t>من</w:t>
      </w:r>
      <w:r w:rsidRPr="00DA75F8">
        <w:rPr>
          <w:rtl/>
        </w:rPr>
        <w:t xml:space="preserve"> </w:t>
      </w:r>
      <w:r w:rsidRPr="00DA75F8">
        <w:rPr>
          <w:rFonts w:hint="eastAsia"/>
          <w:rtl/>
        </w:rPr>
        <w:t>المحتمل</w:t>
      </w:r>
      <w:r w:rsidRPr="00DA75F8">
        <w:rPr>
          <w:rtl/>
        </w:rPr>
        <w:t xml:space="preserve"> </w:t>
      </w:r>
      <w:r w:rsidRPr="00DA75F8">
        <w:rPr>
          <w:rFonts w:hint="eastAsia"/>
          <w:rtl/>
        </w:rPr>
        <w:t>إستحالة</w:t>
      </w:r>
      <w:r w:rsidRPr="00DA75F8">
        <w:rPr>
          <w:rtl/>
        </w:rPr>
        <w:t xml:space="preserve"> </w:t>
      </w:r>
      <w:r w:rsidRPr="00DA75F8">
        <w:rPr>
          <w:rFonts w:hint="eastAsia"/>
          <w:rtl/>
        </w:rPr>
        <w:t>الضرر</w:t>
      </w:r>
      <w:r w:rsidRPr="00DA75F8">
        <w:rPr>
          <w:rtl/>
        </w:rPr>
        <w:t xml:space="preserve"> </w:t>
      </w:r>
      <w:r w:rsidRPr="00DA75F8">
        <w:rPr>
          <w:rFonts w:hint="eastAsia"/>
          <w:rtl/>
        </w:rPr>
        <w:t>إلى</w:t>
      </w:r>
      <w:r w:rsidRPr="00DA75F8">
        <w:rPr>
          <w:rtl/>
        </w:rPr>
        <w:t xml:space="preserve"> </w:t>
      </w:r>
      <w:r w:rsidRPr="00DA75F8">
        <w:rPr>
          <w:rFonts w:hint="eastAsia"/>
          <w:rtl/>
        </w:rPr>
        <w:t>المصلحة،</w:t>
      </w:r>
      <w:r w:rsidRPr="00DA75F8">
        <w:rPr>
          <w:rtl/>
        </w:rPr>
        <w:t xml:space="preserve"> </w:t>
      </w:r>
      <w:r w:rsidRPr="00DA75F8">
        <w:rPr>
          <w:rFonts w:hint="eastAsia"/>
          <w:rtl/>
        </w:rPr>
        <w:t>وعكسه</w:t>
      </w:r>
      <w:r w:rsidRPr="00DA75F8">
        <w:rPr>
          <w:rtl/>
        </w:rPr>
        <w:t xml:space="preserve"> </w:t>
      </w:r>
      <w:r w:rsidRPr="00DA75F8">
        <w:rPr>
          <w:rFonts w:hint="eastAsia"/>
          <w:rtl/>
        </w:rPr>
        <w:t>بمرور</w:t>
      </w:r>
      <w:r w:rsidRPr="00DA75F8">
        <w:rPr>
          <w:rtl/>
        </w:rPr>
        <w:t xml:space="preserve"> </w:t>
      </w:r>
      <w:r w:rsidRPr="00DA75F8">
        <w:rPr>
          <w:rFonts w:hint="eastAsia"/>
          <w:rtl/>
        </w:rPr>
        <w:t>الزمن،</w:t>
      </w:r>
      <w:r w:rsidRPr="00DA75F8">
        <w:rPr>
          <w:rtl/>
        </w:rPr>
        <w:t xml:space="preserve"> </w:t>
      </w:r>
      <w:r w:rsidRPr="00DA75F8">
        <w:rPr>
          <w:rFonts w:hint="eastAsia"/>
          <w:rtl/>
        </w:rPr>
        <w:t>وهذا</w:t>
      </w:r>
      <w:r w:rsidRPr="00DA75F8">
        <w:rPr>
          <w:rtl/>
        </w:rPr>
        <w:t xml:space="preserve"> </w:t>
      </w:r>
      <w:r w:rsidRPr="00DA75F8">
        <w:rPr>
          <w:rFonts w:hint="eastAsia"/>
          <w:rtl/>
        </w:rPr>
        <w:t>يُظهر</w:t>
      </w:r>
      <w:r w:rsidRPr="00DA75F8">
        <w:rPr>
          <w:rtl/>
        </w:rPr>
        <w:t xml:space="preserve"> </w:t>
      </w:r>
      <w:r w:rsidRPr="00DA75F8">
        <w:rPr>
          <w:rFonts w:hint="eastAsia"/>
          <w:rtl/>
        </w:rPr>
        <w:t>لنا</w:t>
      </w:r>
      <w:r w:rsidRPr="00DA75F8">
        <w:rPr>
          <w:rtl/>
        </w:rPr>
        <w:t xml:space="preserve"> </w:t>
      </w:r>
      <w:r w:rsidRPr="00DA75F8">
        <w:rPr>
          <w:rFonts w:hint="eastAsia"/>
          <w:rtl/>
        </w:rPr>
        <w:t>أهمية</w:t>
      </w:r>
      <w:r w:rsidRPr="00DA75F8">
        <w:rPr>
          <w:rtl/>
        </w:rPr>
        <w:t xml:space="preserve"> </w:t>
      </w:r>
      <w:r w:rsidRPr="00DA75F8">
        <w:rPr>
          <w:rFonts w:hint="eastAsia"/>
          <w:rtl/>
        </w:rPr>
        <w:t>مرجع</w:t>
      </w:r>
      <w:r w:rsidRPr="00DA75F8">
        <w:rPr>
          <w:rtl/>
        </w:rPr>
        <w:t xml:space="preserve"> </w:t>
      </w:r>
      <w:r w:rsidRPr="00DA75F8">
        <w:rPr>
          <w:rFonts w:hint="eastAsia"/>
          <w:rtl/>
        </w:rPr>
        <w:t>القرار</w:t>
      </w:r>
      <w:r w:rsidRPr="00DA75F8">
        <w:rPr>
          <w:rtl/>
        </w:rPr>
        <w:t xml:space="preserve"> </w:t>
      </w:r>
      <w:r w:rsidRPr="00DA75F8">
        <w:rPr>
          <w:rFonts w:hint="eastAsia"/>
          <w:rtl/>
        </w:rPr>
        <w:t>مرة</w:t>
      </w:r>
      <w:r w:rsidRPr="00DA75F8">
        <w:rPr>
          <w:rtl/>
        </w:rPr>
        <w:t xml:space="preserve"> </w:t>
      </w:r>
      <w:r w:rsidRPr="00DA75F8">
        <w:rPr>
          <w:rFonts w:hint="eastAsia"/>
          <w:rtl/>
        </w:rPr>
        <w:t>ثانية</w:t>
      </w:r>
      <w:r w:rsidRPr="00DA75F8">
        <w:rPr>
          <w:rtl/>
        </w:rPr>
        <w:t xml:space="preserve"> </w:t>
      </w:r>
      <w:r w:rsidRPr="00DA75F8">
        <w:rPr>
          <w:rFonts w:hint="eastAsia"/>
          <w:rtl/>
        </w:rPr>
        <w:t>في</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وانطلاقا</w:t>
      </w:r>
      <w:r w:rsidRPr="00DA75F8">
        <w:rPr>
          <w:rtl/>
        </w:rPr>
        <w:t xml:space="preserve"> </w:t>
      </w:r>
      <w:r w:rsidRPr="00DA75F8">
        <w:rPr>
          <w:rFonts w:hint="eastAsia"/>
          <w:rtl/>
        </w:rPr>
        <w:t>من</w:t>
      </w:r>
      <w:r w:rsidRPr="00DA75F8">
        <w:rPr>
          <w:rtl/>
        </w:rPr>
        <w:t xml:space="preserve"> </w:t>
      </w:r>
      <w:r w:rsidRPr="00DA75F8">
        <w:rPr>
          <w:rFonts w:hint="eastAsia"/>
          <w:rtl/>
        </w:rPr>
        <w:t>هذه</w:t>
      </w:r>
      <w:r w:rsidRPr="00DA75F8">
        <w:rPr>
          <w:rtl/>
        </w:rPr>
        <w:t xml:space="preserve"> </w:t>
      </w:r>
      <w:r w:rsidRPr="00DA75F8">
        <w:rPr>
          <w:rFonts w:hint="eastAsia"/>
          <w:rtl/>
        </w:rPr>
        <w:t>النقطة</w:t>
      </w:r>
      <w:r w:rsidRPr="00DA75F8">
        <w:rPr>
          <w:rtl/>
        </w:rPr>
        <w:t xml:space="preserve"> </w:t>
      </w:r>
      <w:r w:rsidRPr="00DA75F8">
        <w:rPr>
          <w:rFonts w:hint="eastAsia"/>
          <w:rtl/>
        </w:rPr>
        <w:t>يلزم</w:t>
      </w:r>
      <w:r w:rsidRPr="00DA75F8">
        <w:rPr>
          <w:rtl/>
        </w:rPr>
        <w:t xml:space="preserve"> </w:t>
      </w:r>
      <w:r w:rsidRPr="00DA75F8">
        <w:rPr>
          <w:rFonts w:hint="eastAsia"/>
          <w:rtl/>
        </w:rPr>
        <w:t>الباحث</w:t>
      </w:r>
      <w:r w:rsidRPr="00DA75F8">
        <w:rPr>
          <w:rtl/>
        </w:rPr>
        <w:t xml:space="preserve"> </w:t>
      </w:r>
      <w:r w:rsidRPr="00DA75F8">
        <w:rPr>
          <w:rFonts w:hint="eastAsia"/>
          <w:rtl/>
        </w:rPr>
        <w:t>أن</w:t>
      </w:r>
      <w:r w:rsidRPr="00DA75F8">
        <w:rPr>
          <w:rtl/>
        </w:rPr>
        <w:t xml:space="preserve"> </w:t>
      </w:r>
      <w:r w:rsidRPr="00DA75F8">
        <w:rPr>
          <w:rFonts w:hint="eastAsia"/>
          <w:rtl/>
        </w:rPr>
        <w:t>يذكّر</w:t>
      </w:r>
      <w:r w:rsidRPr="00DA75F8">
        <w:rPr>
          <w:rtl/>
        </w:rPr>
        <w:t xml:space="preserve"> </w:t>
      </w:r>
      <w:r w:rsidRPr="00DA75F8">
        <w:rPr>
          <w:rFonts w:hint="eastAsia"/>
          <w:rtl/>
        </w:rPr>
        <w:t>بأن</w:t>
      </w:r>
      <w:r w:rsidRPr="00DA75F8">
        <w:rPr>
          <w:rtl/>
        </w:rPr>
        <w:t xml:space="preserve"> </w:t>
      </w:r>
      <w:r w:rsidRPr="00DA75F8">
        <w:rPr>
          <w:rFonts w:hint="eastAsia"/>
          <w:rtl/>
        </w:rPr>
        <w:t>على</w:t>
      </w:r>
      <w:r w:rsidRPr="00DA75F8">
        <w:rPr>
          <w:rtl/>
        </w:rPr>
        <w:t xml:space="preserve"> </w:t>
      </w:r>
      <w:r w:rsidRPr="00DA75F8">
        <w:rPr>
          <w:rFonts w:hint="eastAsia"/>
          <w:rtl/>
        </w:rPr>
        <w:t>مرجع</w:t>
      </w:r>
      <w:r w:rsidRPr="00DA75F8">
        <w:rPr>
          <w:rtl/>
        </w:rPr>
        <w:t xml:space="preserve"> </w:t>
      </w:r>
      <w:r w:rsidRPr="00DA75F8">
        <w:rPr>
          <w:rFonts w:hint="eastAsia"/>
          <w:rtl/>
        </w:rPr>
        <w:t>القرار</w:t>
      </w:r>
      <w:r w:rsidRPr="00DA75F8">
        <w:rPr>
          <w:rtl/>
        </w:rPr>
        <w:t xml:space="preserve"> </w:t>
      </w:r>
      <w:r w:rsidRPr="00DA75F8">
        <w:rPr>
          <w:rFonts w:hint="eastAsia"/>
          <w:rtl/>
        </w:rPr>
        <w:t>أن</w:t>
      </w:r>
      <w:r w:rsidRPr="00DA75F8">
        <w:rPr>
          <w:rtl/>
        </w:rPr>
        <w:t xml:space="preserve"> </w:t>
      </w:r>
      <w:r w:rsidRPr="00DA75F8">
        <w:rPr>
          <w:rFonts w:hint="eastAsia"/>
          <w:rtl/>
        </w:rPr>
        <w:t>يحلّل</w:t>
      </w:r>
      <w:r w:rsidRPr="00DA75F8">
        <w:rPr>
          <w:rtl/>
        </w:rPr>
        <w:t xml:space="preserve"> </w:t>
      </w:r>
      <w:r w:rsidRPr="00DA75F8">
        <w:rPr>
          <w:rFonts w:hint="eastAsia"/>
          <w:rtl/>
        </w:rPr>
        <w:t>زمانه</w:t>
      </w:r>
      <w:r w:rsidRPr="00DA75F8">
        <w:rPr>
          <w:rtl/>
        </w:rPr>
        <w:t xml:space="preserve"> </w:t>
      </w:r>
      <w:r w:rsidRPr="00DA75F8">
        <w:rPr>
          <w:rFonts w:hint="eastAsia"/>
          <w:rtl/>
        </w:rPr>
        <w:t>في</w:t>
      </w:r>
      <w:r w:rsidRPr="00DA75F8">
        <w:rPr>
          <w:rtl/>
        </w:rPr>
        <w:t xml:space="preserve"> </w:t>
      </w:r>
      <w:r w:rsidRPr="00DA75F8">
        <w:rPr>
          <w:rFonts w:hint="eastAsia"/>
          <w:rtl/>
        </w:rPr>
        <w:t>جميع</w:t>
      </w:r>
      <w:r w:rsidRPr="00DA75F8">
        <w:rPr>
          <w:rtl/>
        </w:rPr>
        <w:t xml:space="preserve"> </w:t>
      </w:r>
      <w:r w:rsidRPr="00DA75F8">
        <w:rPr>
          <w:rFonts w:hint="eastAsia"/>
          <w:rtl/>
        </w:rPr>
        <w:t>نواحي</w:t>
      </w:r>
      <w:r w:rsidRPr="00DA75F8">
        <w:rPr>
          <w:rtl/>
        </w:rPr>
        <w:t xml:space="preserve"> </w:t>
      </w:r>
      <w:r w:rsidRPr="00DA75F8">
        <w:rPr>
          <w:rFonts w:hint="eastAsia"/>
          <w:rtl/>
        </w:rPr>
        <w:t>الحياة؛</w:t>
      </w:r>
      <w:r w:rsidRPr="00DA75F8">
        <w:rPr>
          <w:rtl/>
        </w:rPr>
        <w:t xml:space="preserve"> </w:t>
      </w:r>
      <w:r w:rsidRPr="00DA75F8">
        <w:rPr>
          <w:rFonts w:hint="eastAsia"/>
          <w:rtl/>
        </w:rPr>
        <w:t>اقتصاديا،</w:t>
      </w:r>
      <w:r w:rsidRPr="00DA75F8">
        <w:rPr>
          <w:rtl/>
        </w:rPr>
        <w:t xml:space="preserve"> </w:t>
      </w:r>
      <w:r w:rsidRPr="00DA75F8">
        <w:rPr>
          <w:rFonts w:hint="eastAsia"/>
          <w:rtl/>
        </w:rPr>
        <w:t>واجتماعيا،</w:t>
      </w:r>
      <w:r w:rsidRPr="00DA75F8">
        <w:rPr>
          <w:rtl/>
        </w:rPr>
        <w:t xml:space="preserve"> </w:t>
      </w:r>
      <w:r w:rsidRPr="00DA75F8">
        <w:rPr>
          <w:rFonts w:hint="eastAsia"/>
          <w:rtl/>
        </w:rPr>
        <w:t>وعسكريا،</w:t>
      </w:r>
      <w:r w:rsidRPr="00DA75F8">
        <w:rPr>
          <w:rtl/>
        </w:rPr>
        <w:t xml:space="preserve"> </w:t>
      </w:r>
      <w:r w:rsidRPr="00DA75F8">
        <w:rPr>
          <w:rFonts w:hint="eastAsia"/>
          <w:rtl/>
        </w:rPr>
        <w:t>وتجاريا</w:t>
      </w:r>
      <w:r w:rsidRPr="00DA75F8">
        <w:rPr>
          <w:rtl/>
        </w:rPr>
        <w:t xml:space="preserve"> </w:t>
      </w:r>
      <w:r w:rsidRPr="00DA75F8">
        <w:rPr>
          <w:rFonts w:hint="eastAsia"/>
          <w:rtl/>
        </w:rPr>
        <w:t>وغير</w:t>
      </w:r>
      <w:r w:rsidRPr="00DA75F8">
        <w:rPr>
          <w:rtl/>
        </w:rPr>
        <w:t xml:space="preserve"> </w:t>
      </w:r>
      <w:r w:rsidRPr="00DA75F8">
        <w:rPr>
          <w:rFonts w:hint="eastAsia"/>
          <w:rtl/>
        </w:rPr>
        <w:t>ذلك،</w:t>
      </w:r>
      <w:r w:rsidRPr="00DA75F8">
        <w:rPr>
          <w:rtl/>
        </w:rPr>
        <w:t xml:space="preserve"> </w:t>
      </w:r>
      <w:r w:rsidRPr="00DA75F8">
        <w:rPr>
          <w:rFonts w:hint="eastAsia"/>
          <w:rtl/>
        </w:rPr>
        <w:t>حتى</w:t>
      </w:r>
      <w:r w:rsidRPr="00DA75F8">
        <w:rPr>
          <w:rtl/>
        </w:rPr>
        <w:t xml:space="preserve"> </w:t>
      </w:r>
      <w:r w:rsidRPr="00DA75F8">
        <w:rPr>
          <w:rFonts w:hint="eastAsia"/>
          <w:rtl/>
        </w:rPr>
        <w:t>يعرف</w:t>
      </w:r>
      <w:r w:rsidRPr="00DA75F8">
        <w:rPr>
          <w:rtl/>
        </w:rPr>
        <w:t xml:space="preserve"> </w:t>
      </w:r>
      <w:r w:rsidRPr="00DA75F8">
        <w:rPr>
          <w:rFonts w:hint="eastAsia"/>
          <w:rtl/>
        </w:rPr>
        <w:t>مصلحة</w:t>
      </w:r>
      <w:r w:rsidRPr="00DA75F8">
        <w:rPr>
          <w:rtl/>
        </w:rPr>
        <w:t xml:space="preserve"> </w:t>
      </w:r>
      <w:r w:rsidRPr="00DA75F8">
        <w:rPr>
          <w:rFonts w:hint="eastAsia"/>
          <w:rtl/>
        </w:rPr>
        <w:t>الناس</w:t>
      </w:r>
      <w:r w:rsidRPr="00DA75F8">
        <w:rPr>
          <w:rtl/>
        </w:rPr>
        <w:t xml:space="preserve"> </w:t>
      </w:r>
      <w:r w:rsidRPr="00DA75F8">
        <w:rPr>
          <w:rFonts w:hint="eastAsia"/>
          <w:rtl/>
        </w:rPr>
        <w:t>في</w:t>
      </w:r>
      <w:r w:rsidRPr="00DA75F8">
        <w:rPr>
          <w:rtl/>
        </w:rPr>
        <w:t xml:space="preserve"> </w:t>
      </w:r>
      <w:r w:rsidRPr="00DA75F8">
        <w:rPr>
          <w:rFonts w:hint="eastAsia"/>
          <w:rtl/>
        </w:rPr>
        <w:t>مسألة</w:t>
      </w:r>
      <w:r w:rsidRPr="00DA75F8">
        <w:rPr>
          <w:rtl/>
        </w:rPr>
        <w:t xml:space="preserve"> </w:t>
      </w:r>
      <w:r w:rsidRPr="00DA75F8">
        <w:rPr>
          <w:rFonts w:hint="eastAsia"/>
          <w:rtl/>
        </w:rPr>
        <w:t>ما</w:t>
      </w:r>
      <w:r w:rsidRPr="00DA75F8">
        <w:rPr>
          <w:rtl/>
        </w:rPr>
        <w:t xml:space="preserve"> </w:t>
      </w:r>
      <w:r w:rsidRPr="00DA75F8">
        <w:rPr>
          <w:rFonts w:hint="eastAsia"/>
          <w:rtl/>
        </w:rPr>
        <w:t>ويقرّر</w:t>
      </w:r>
      <w:r w:rsidRPr="00DA75F8">
        <w:rPr>
          <w:rtl/>
        </w:rPr>
        <w:t xml:space="preserve"> </w:t>
      </w:r>
      <w:r w:rsidRPr="00DA75F8">
        <w:rPr>
          <w:rFonts w:hint="eastAsia"/>
          <w:rtl/>
        </w:rPr>
        <w:t>ذلك،</w:t>
      </w:r>
      <w:r w:rsidRPr="00DA75F8">
        <w:rPr>
          <w:rtl/>
        </w:rPr>
        <w:t xml:space="preserve"> </w:t>
      </w:r>
      <w:r w:rsidRPr="00DA75F8">
        <w:rPr>
          <w:rFonts w:hint="eastAsia"/>
          <w:rtl/>
        </w:rPr>
        <w:t>ويجب</w:t>
      </w:r>
      <w:r w:rsidRPr="00DA75F8">
        <w:rPr>
          <w:rtl/>
        </w:rPr>
        <w:t xml:space="preserve"> </w:t>
      </w:r>
      <w:r w:rsidRPr="00DA75F8">
        <w:rPr>
          <w:rFonts w:hint="eastAsia"/>
          <w:rtl/>
        </w:rPr>
        <w:t>عليه</w:t>
      </w:r>
      <w:r w:rsidRPr="00DA75F8">
        <w:rPr>
          <w:rtl/>
        </w:rPr>
        <w:t xml:space="preserve"> </w:t>
      </w:r>
      <w:r w:rsidRPr="00DA75F8">
        <w:rPr>
          <w:rFonts w:hint="eastAsia"/>
          <w:rtl/>
        </w:rPr>
        <w:t>أن</w:t>
      </w:r>
      <w:r w:rsidRPr="00DA75F8">
        <w:rPr>
          <w:rtl/>
        </w:rPr>
        <w:t xml:space="preserve"> </w:t>
      </w:r>
      <w:r w:rsidRPr="00DA75F8">
        <w:rPr>
          <w:rFonts w:hint="eastAsia"/>
          <w:rtl/>
        </w:rPr>
        <w:t>لا</w:t>
      </w:r>
      <w:r w:rsidRPr="00DA75F8">
        <w:rPr>
          <w:rtl/>
        </w:rPr>
        <w:t xml:space="preserve"> </w:t>
      </w:r>
      <w:r w:rsidRPr="00DA75F8">
        <w:rPr>
          <w:rFonts w:hint="eastAsia"/>
          <w:rtl/>
        </w:rPr>
        <w:t>يكون</w:t>
      </w:r>
      <w:r w:rsidRPr="00DA75F8">
        <w:rPr>
          <w:rtl/>
        </w:rPr>
        <w:t xml:space="preserve"> </w:t>
      </w:r>
      <w:r w:rsidRPr="00DA75F8">
        <w:rPr>
          <w:rFonts w:hint="eastAsia"/>
          <w:rtl/>
        </w:rPr>
        <w:t>إمّعة،</w:t>
      </w:r>
      <w:r w:rsidRPr="00DA75F8">
        <w:rPr>
          <w:rtl/>
        </w:rPr>
        <w:t xml:space="preserve"> </w:t>
      </w:r>
      <w:r w:rsidRPr="00DA75F8">
        <w:rPr>
          <w:rFonts w:hint="eastAsia"/>
          <w:rtl/>
        </w:rPr>
        <w:t>لئلا</w:t>
      </w:r>
      <w:r w:rsidRPr="00DA75F8">
        <w:rPr>
          <w:rtl/>
        </w:rPr>
        <w:t xml:space="preserve"> </w:t>
      </w:r>
      <w:r w:rsidRPr="00DA75F8">
        <w:rPr>
          <w:rFonts w:hint="eastAsia"/>
          <w:rtl/>
        </w:rPr>
        <w:t>يحكم</w:t>
      </w:r>
      <w:r w:rsidRPr="00DA75F8">
        <w:rPr>
          <w:rtl/>
        </w:rPr>
        <w:t xml:space="preserve"> </w:t>
      </w:r>
      <w:r w:rsidRPr="00DA75F8">
        <w:rPr>
          <w:rFonts w:hint="eastAsia"/>
          <w:rtl/>
        </w:rPr>
        <w:t>في</w:t>
      </w:r>
      <w:r w:rsidRPr="00DA75F8">
        <w:rPr>
          <w:rtl/>
        </w:rPr>
        <w:t xml:space="preserve"> </w:t>
      </w:r>
      <w:r w:rsidRPr="00DA75F8">
        <w:rPr>
          <w:rFonts w:hint="eastAsia"/>
          <w:rtl/>
        </w:rPr>
        <w:t>مسألة</w:t>
      </w:r>
      <w:r w:rsidRPr="00DA75F8">
        <w:rPr>
          <w:rtl/>
        </w:rPr>
        <w:t xml:space="preserve"> </w:t>
      </w:r>
      <w:r w:rsidRPr="00DA75F8">
        <w:rPr>
          <w:rFonts w:hint="eastAsia"/>
          <w:rtl/>
        </w:rPr>
        <w:t>بحكم</w:t>
      </w:r>
      <w:r w:rsidRPr="00DA75F8">
        <w:rPr>
          <w:rtl/>
        </w:rPr>
        <w:t xml:space="preserve"> </w:t>
      </w:r>
      <w:r w:rsidRPr="00DA75F8">
        <w:rPr>
          <w:rFonts w:hint="eastAsia"/>
          <w:rtl/>
        </w:rPr>
        <w:t>المتقدمين</w:t>
      </w:r>
      <w:r w:rsidRPr="00DA75F8">
        <w:rPr>
          <w:rtl/>
        </w:rPr>
        <w:t xml:space="preserve"> </w:t>
      </w:r>
      <w:r w:rsidRPr="00DA75F8">
        <w:rPr>
          <w:rFonts w:hint="eastAsia"/>
          <w:rtl/>
        </w:rPr>
        <w:t>عنه،</w:t>
      </w:r>
      <w:r w:rsidRPr="00DA75F8">
        <w:rPr>
          <w:rtl/>
        </w:rPr>
        <w:t xml:space="preserve"> </w:t>
      </w:r>
      <w:r w:rsidRPr="00DA75F8">
        <w:rPr>
          <w:rFonts w:hint="eastAsia"/>
          <w:rtl/>
        </w:rPr>
        <w:t>أو</w:t>
      </w:r>
      <w:r w:rsidRPr="00DA75F8">
        <w:rPr>
          <w:rtl/>
        </w:rPr>
        <w:t xml:space="preserve"> </w:t>
      </w:r>
      <w:r w:rsidRPr="00DA75F8">
        <w:rPr>
          <w:rFonts w:hint="eastAsia"/>
          <w:rtl/>
        </w:rPr>
        <w:t>بأحكام</w:t>
      </w:r>
      <w:r w:rsidRPr="00DA75F8">
        <w:rPr>
          <w:rtl/>
        </w:rPr>
        <w:t xml:space="preserve"> </w:t>
      </w:r>
      <w:r w:rsidRPr="00DA75F8">
        <w:rPr>
          <w:rFonts w:hint="eastAsia"/>
          <w:rtl/>
        </w:rPr>
        <w:t>معاصرية</w:t>
      </w:r>
      <w:r w:rsidRPr="00DA75F8">
        <w:rPr>
          <w:rtl/>
        </w:rPr>
        <w:t xml:space="preserve"> </w:t>
      </w:r>
      <w:r w:rsidRPr="00DA75F8">
        <w:rPr>
          <w:rFonts w:hint="eastAsia"/>
          <w:rtl/>
        </w:rPr>
        <w:t>أو</w:t>
      </w:r>
      <w:r w:rsidRPr="00DA75F8">
        <w:rPr>
          <w:rtl/>
        </w:rPr>
        <w:t xml:space="preserve"> </w:t>
      </w:r>
      <w:r w:rsidRPr="00DA75F8">
        <w:rPr>
          <w:rFonts w:hint="eastAsia"/>
          <w:rtl/>
        </w:rPr>
        <w:t>بأحكامه</w:t>
      </w:r>
      <w:r w:rsidRPr="00DA75F8">
        <w:rPr>
          <w:rtl/>
        </w:rPr>
        <w:t xml:space="preserve"> </w:t>
      </w:r>
      <w:r w:rsidRPr="00DA75F8">
        <w:rPr>
          <w:rFonts w:hint="eastAsia"/>
          <w:rtl/>
        </w:rPr>
        <w:t>التي</w:t>
      </w:r>
      <w:r w:rsidRPr="00DA75F8">
        <w:rPr>
          <w:rtl/>
        </w:rPr>
        <w:t xml:space="preserve"> </w:t>
      </w:r>
      <w:r w:rsidRPr="00DA75F8">
        <w:rPr>
          <w:rFonts w:hint="eastAsia"/>
          <w:rtl/>
        </w:rPr>
        <w:t>حكم</w:t>
      </w:r>
      <w:r w:rsidRPr="00DA75F8">
        <w:rPr>
          <w:rtl/>
        </w:rPr>
        <w:t xml:space="preserve"> </w:t>
      </w:r>
      <w:r w:rsidRPr="00DA75F8">
        <w:rPr>
          <w:rFonts w:hint="eastAsia"/>
          <w:rtl/>
        </w:rPr>
        <w:t>بها</w:t>
      </w:r>
      <w:r w:rsidRPr="00DA75F8">
        <w:rPr>
          <w:rtl/>
        </w:rPr>
        <w:t xml:space="preserve"> </w:t>
      </w:r>
      <w:r w:rsidRPr="00DA75F8">
        <w:rPr>
          <w:rFonts w:hint="eastAsia"/>
          <w:rtl/>
        </w:rPr>
        <w:t>في</w:t>
      </w:r>
      <w:r w:rsidRPr="00DA75F8">
        <w:rPr>
          <w:rtl/>
        </w:rPr>
        <w:t xml:space="preserve"> </w:t>
      </w:r>
      <w:r w:rsidRPr="00DA75F8">
        <w:rPr>
          <w:rFonts w:hint="eastAsia"/>
          <w:rtl/>
        </w:rPr>
        <w:t>ظروف</w:t>
      </w:r>
      <w:r w:rsidRPr="00DA75F8">
        <w:rPr>
          <w:rtl/>
        </w:rPr>
        <w:t xml:space="preserve"> </w:t>
      </w:r>
      <w:r w:rsidRPr="00DA75F8">
        <w:rPr>
          <w:rFonts w:hint="eastAsia"/>
          <w:rtl/>
        </w:rPr>
        <w:t>وملابسات</w:t>
      </w:r>
      <w:r w:rsidRPr="00DA75F8">
        <w:rPr>
          <w:rtl/>
        </w:rPr>
        <w:t xml:space="preserve"> </w:t>
      </w:r>
      <w:r w:rsidRPr="00DA75F8">
        <w:rPr>
          <w:rFonts w:hint="eastAsia"/>
          <w:rtl/>
        </w:rPr>
        <w:t>مختلفة،</w:t>
      </w:r>
      <w:r w:rsidRPr="00DA75F8">
        <w:rPr>
          <w:rtl/>
        </w:rPr>
        <w:t xml:space="preserve"> </w:t>
      </w:r>
      <w:r w:rsidRPr="00DA75F8">
        <w:rPr>
          <w:rFonts w:hint="eastAsia"/>
          <w:rtl/>
        </w:rPr>
        <w:t>فمن</w:t>
      </w:r>
      <w:r w:rsidRPr="00DA75F8">
        <w:rPr>
          <w:rtl/>
        </w:rPr>
        <w:t xml:space="preserve"> </w:t>
      </w:r>
      <w:r w:rsidRPr="00DA75F8">
        <w:rPr>
          <w:rFonts w:hint="eastAsia"/>
          <w:rtl/>
        </w:rPr>
        <w:t>المحتمل</w:t>
      </w:r>
      <w:r w:rsidRPr="00DA75F8">
        <w:rPr>
          <w:rtl/>
        </w:rPr>
        <w:t xml:space="preserve"> </w:t>
      </w:r>
      <w:r w:rsidRPr="00DA75F8">
        <w:rPr>
          <w:rFonts w:hint="eastAsia"/>
          <w:rtl/>
        </w:rPr>
        <w:t>أن</w:t>
      </w:r>
      <w:r w:rsidRPr="00DA75F8">
        <w:rPr>
          <w:rtl/>
        </w:rPr>
        <w:t xml:space="preserve"> </w:t>
      </w:r>
      <w:r w:rsidRPr="00DA75F8">
        <w:rPr>
          <w:rFonts w:hint="eastAsia"/>
          <w:rtl/>
        </w:rPr>
        <w:t>يكون</w:t>
      </w:r>
      <w:r w:rsidRPr="00DA75F8">
        <w:rPr>
          <w:rtl/>
        </w:rPr>
        <w:t xml:space="preserve"> </w:t>
      </w:r>
      <w:r w:rsidRPr="00DA75F8">
        <w:rPr>
          <w:rFonts w:hint="eastAsia"/>
          <w:rtl/>
        </w:rPr>
        <w:t>نفس</w:t>
      </w:r>
      <w:r w:rsidRPr="00DA75F8">
        <w:rPr>
          <w:rtl/>
        </w:rPr>
        <w:t xml:space="preserve"> </w:t>
      </w:r>
      <w:r w:rsidRPr="00DA75F8">
        <w:rPr>
          <w:rFonts w:hint="eastAsia"/>
          <w:rtl/>
        </w:rPr>
        <w:t>القرار</w:t>
      </w:r>
      <w:r w:rsidRPr="00DA75F8">
        <w:rPr>
          <w:rtl/>
        </w:rPr>
        <w:t xml:space="preserve"> </w:t>
      </w:r>
      <w:r w:rsidRPr="00DA75F8">
        <w:rPr>
          <w:rFonts w:hint="eastAsia"/>
          <w:rtl/>
        </w:rPr>
        <w:t>في</w:t>
      </w:r>
      <w:r w:rsidRPr="00DA75F8">
        <w:rPr>
          <w:rtl/>
        </w:rPr>
        <w:t xml:space="preserve"> </w:t>
      </w:r>
      <w:r w:rsidRPr="00DA75F8">
        <w:rPr>
          <w:rFonts w:hint="eastAsia"/>
          <w:rtl/>
        </w:rPr>
        <w:t>زمن</w:t>
      </w:r>
      <w:r w:rsidRPr="00DA75F8">
        <w:rPr>
          <w:rtl/>
        </w:rPr>
        <w:t xml:space="preserve"> </w:t>
      </w:r>
      <w:r w:rsidRPr="00DA75F8">
        <w:rPr>
          <w:rFonts w:hint="eastAsia"/>
          <w:rtl/>
        </w:rPr>
        <w:t>واحد</w:t>
      </w:r>
      <w:r w:rsidRPr="00DA75F8">
        <w:rPr>
          <w:rtl/>
        </w:rPr>
        <w:t xml:space="preserve"> </w:t>
      </w:r>
      <w:r w:rsidRPr="00DA75F8">
        <w:rPr>
          <w:rFonts w:hint="eastAsia"/>
          <w:rtl/>
        </w:rPr>
        <w:t>ضرر</w:t>
      </w:r>
      <w:r w:rsidRPr="00DA75F8">
        <w:rPr>
          <w:rtl/>
        </w:rPr>
        <w:t xml:space="preserve"> </w:t>
      </w:r>
      <w:r w:rsidRPr="00DA75F8">
        <w:rPr>
          <w:rFonts w:hint="eastAsia"/>
          <w:rtl/>
        </w:rPr>
        <w:t>لشخص</w:t>
      </w:r>
      <w:r w:rsidRPr="00DA75F8">
        <w:rPr>
          <w:rtl/>
        </w:rPr>
        <w:t xml:space="preserve"> </w:t>
      </w:r>
      <w:r w:rsidRPr="00DA75F8">
        <w:rPr>
          <w:rFonts w:hint="eastAsia"/>
          <w:rtl/>
        </w:rPr>
        <w:t>ومصلحة</w:t>
      </w:r>
      <w:r w:rsidRPr="00DA75F8">
        <w:rPr>
          <w:rtl/>
        </w:rPr>
        <w:t xml:space="preserve"> </w:t>
      </w:r>
      <w:r w:rsidRPr="00DA75F8">
        <w:rPr>
          <w:rFonts w:hint="eastAsia"/>
          <w:rtl/>
        </w:rPr>
        <w:t>لشخص</w:t>
      </w:r>
      <w:r w:rsidRPr="00DA75F8">
        <w:rPr>
          <w:rtl/>
        </w:rPr>
        <w:t xml:space="preserve"> </w:t>
      </w:r>
      <w:r w:rsidRPr="00DA75F8">
        <w:rPr>
          <w:rFonts w:hint="eastAsia"/>
          <w:rtl/>
        </w:rPr>
        <w:t>آخر</w:t>
      </w:r>
      <w:r w:rsidRPr="00DA75F8">
        <w:rPr>
          <w:rtl/>
        </w:rPr>
        <w:t>.</w:t>
      </w:r>
    </w:p>
    <w:p w:rsidR="005F44B2" w:rsidRPr="00DA75F8" w:rsidRDefault="005F44B2" w:rsidP="00776FCE">
      <w:pPr>
        <w:pStyle w:val="Subtitle"/>
        <w:jc w:val="both"/>
        <w:rPr>
          <w:rtl/>
        </w:rPr>
      </w:pPr>
      <w:r w:rsidRPr="00DA75F8">
        <w:rPr>
          <w:rFonts w:hint="eastAsia"/>
          <w:rtl/>
        </w:rPr>
        <w:t>ويُفهم</w:t>
      </w:r>
      <w:r w:rsidRPr="00DA75F8">
        <w:rPr>
          <w:rtl/>
        </w:rPr>
        <w:t xml:space="preserve"> </w:t>
      </w:r>
      <w:r w:rsidRPr="00DA75F8">
        <w:rPr>
          <w:rFonts w:hint="eastAsia"/>
          <w:rtl/>
        </w:rPr>
        <w:t>من</w:t>
      </w:r>
      <w:r w:rsidRPr="00DA75F8">
        <w:rPr>
          <w:rtl/>
        </w:rPr>
        <w:t xml:space="preserve"> </w:t>
      </w:r>
      <w:r w:rsidRPr="00DA75F8">
        <w:rPr>
          <w:rFonts w:hint="eastAsia"/>
          <w:rtl/>
        </w:rPr>
        <w:t>هذه</w:t>
      </w:r>
      <w:r w:rsidRPr="00DA75F8">
        <w:rPr>
          <w:rtl/>
        </w:rPr>
        <w:t xml:space="preserve"> </w:t>
      </w:r>
      <w:r w:rsidRPr="00DA75F8">
        <w:rPr>
          <w:rFonts w:hint="eastAsia"/>
          <w:rtl/>
        </w:rPr>
        <w:t>الرسالة</w:t>
      </w:r>
      <w:r w:rsidRPr="00DA75F8">
        <w:rPr>
          <w:rtl/>
        </w:rPr>
        <w:t xml:space="preserve"> </w:t>
      </w:r>
      <w:r w:rsidRPr="00DA75F8">
        <w:rPr>
          <w:rFonts w:hint="eastAsia"/>
          <w:rtl/>
        </w:rPr>
        <w:t>أن</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أخذ</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من</w:t>
      </w:r>
      <w:r w:rsidRPr="00DA75F8">
        <w:rPr>
          <w:rtl/>
        </w:rPr>
        <w:t xml:space="preserve"> </w:t>
      </w:r>
      <w:r w:rsidRPr="00DA75F8">
        <w:rPr>
          <w:rFonts w:hint="eastAsia"/>
          <w:rtl/>
        </w:rPr>
        <w:t>جهتين؛</w:t>
      </w:r>
      <w:r w:rsidRPr="00DA75F8">
        <w:rPr>
          <w:rtl/>
        </w:rPr>
        <w:t xml:space="preserve"> </w:t>
      </w:r>
      <w:r w:rsidRPr="00DA75F8">
        <w:rPr>
          <w:rFonts w:hint="eastAsia"/>
          <w:rtl/>
        </w:rPr>
        <w:t>العام</w:t>
      </w:r>
      <w:r w:rsidRPr="00DA75F8">
        <w:rPr>
          <w:rtl/>
        </w:rPr>
        <w:t xml:space="preserve"> </w:t>
      </w:r>
      <w:r w:rsidRPr="00DA75F8">
        <w:rPr>
          <w:rFonts w:hint="eastAsia"/>
          <w:rtl/>
        </w:rPr>
        <w:t>والخاص؛</w:t>
      </w:r>
      <w:r w:rsidRPr="00DA75F8">
        <w:rPr>
          <w:rtl/>
        </w:rPr>
        <w:t xml:space="preserve"> </w:t>
      </w:r>
      <w:r w:rsidRPr="00DA75F8">
        <w:rPr>
          <w:rFonts w:hint="eastAsia"/>
          <w:rtl/>
        </w:rPr>
        <w:t>فأما</w:t>
      </w:r>
      <w:r w:rsidRPr="00DA75F8">
        <w:rPr>
          <w:rtl/>
        </w:rPr>
        <w:t xml:space="preserve"> </w:t>
      </w:r>
      <w:r w:rsidRPr="00DA75F8">
        <w:rPr>
          <w:rFonts w:hint="eastAsia"/>
          <w:rtl/>
        </w:rPr>
        <w:t>العام</w:t>
      </w:r>
      <w:r w:rsidRPr="00DA75F8">
        <w:rPr>
          <w:rtl/>
        </w:rPr>
        <w:t xml:space="preserve"> </w:t>
      </w:r>
      <w:r w:rsidRPr="00DA75F8">
        <w:rPr>
          <w:rFonts w:hint="eastAsia"/>
          <w:rtl/>
        </w:rPr>
        <w:t>فيشمل</w:t>
      </w:r>
      <w:r w:rsidRPr="00DA75F8">
        <w:rPr>
          <w:rtl/>
        </w:rPr>
        <w:t xml:space="preserve"> </w:t>
      </w:r>
      <w:r w:rsidRPr="00DA75F8">
        <w:rPr>
          <w:rFonts w:hint="eastAsia"/>
          <w:rtl/>
        </w:rPr>
        <w:t>تطبيق</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على</w:t>
      </w:r>
      <w:r w:rsidRPr="00DA75F8">
        <w:rPr>
          <w:rtl/>
        </w:rPr>
        <w:t xml:space="preserve"> </w:t>
      </w:r>
      <w:r w:rsidRPr="00DA75F8">
        <w:rPr>
          <w:rFonts w:hint="eastAsia"/>
          <w:rtl/>
        </w:rPr>
        <w:t>الجنايات</w:t>
      </w:r>
      <w:r w:rsidRPr="00DA75F8">
        <w:rPr>
          <w:rtl/>
        </w:rPr>
        <w:t xml:space="preserve"> </w:t>
      </w:r>
      <w:r w:rsidRPr="00DA75F8">
        <w:rPr>
          <w:rFonts w:hint="eastAsia"/>
          <w:rtl/>
        </w:rPr>
        <w:t>وغيرها</w:t>
      </w:r>
      <w:r w:rsidRPr="00DA75F8">
        <w:rPr>
          <w:rtl/>
        </w:rPr>
        <w:t xml:space="preserve"> </w:t>
      </w:r>
      <w:r w:rsidRPr="00DA75F8">
        <w:rPr>
          <w:rFonts w:hint="eastAsia"/>
          <w:rtl/>
        </w:rPr>
        <w:t>من</w:t>
      </w:r>
      <w:r w:rsidRPr="00DA75F8">
        <w:rPr>
          <w:rtl/>
        </w:rPr>
        <w:t xml:space="preserve"> </w:t>
      </w:r>
      <w:r w:rsidRPr="00DA75F8">
        <w:rPr>
          <w:rFonts w:hint="eastAsia"/>
          <w:rtl/>
        </w:rPr>
        <w:t>الأحكام،</w:t>
      </w:r>
      <w:r w:rsidRPr="00DA75F8">
        <w:rPr>
          <w:rtl/>
        </w:rPr>
        <w:t xml:space="preserve"> </w:t>
      </w:r>
      <w:r w:rsidRPr="00DA75F8">
        <w:rPr>
          <w:rFonts w:hint="eastAsia"/>
          <w:rtl/>
        </w:rPr>
        <w:t>وأما</w:t>
      </w:r>
      <w:r w:rsidRPr="00DA75F8">
        <w:rPr>
          <w:rtl/>
        </w:rPr>
        <w:t xml:space="preserve"> </w:t>
      </w:r>
      <w:r w:rsidRPr="00DA75F8">
        <w:rPr>
          <w:rFonts w:hint="eastAsia"/>
          <w:rtl/>
        </w:rPr>
        <w:t>الخاص</w:t>
      </w:r>
      <w:r w:rsidRPr="00DA75F8">
        <w:rPr>
          <w:rtl/>
        </w:rPr>
        <w:t xml:space="preserve"> </w:t>
      </w:r>
      <w:r w:rsidRPr="00DA75F8">
        <w:rPr>
          <w:rFonts w:hint="eastAsia"/>
          <w:rtl/>
        </w:rPr>
        <w:t>فهو</w:t>
      </w:r>
      <w:r w:rsidRPr="00DA75F8">
        <w:rPr>
          <w:rtl/>
        </w:rPr>
        <w:t xml:space="preserve"> </w:t>
      </w:r>
      <w:r w:rsidRPr="00DA75F8">
        <w:rPr>
          <w:rFonts w:hint="eastAsia"/>
          <w:rtl/>
        </w:rPr>
        <w:t>تطبيق</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على</w:t>
      </w:r>
      <w:r w:rsidRPr="00DA75F8">
        <w:rPr>
          <w:rtl/>
        </w:rPr>
        <w:t xml:space="preserve"> </w:t>
      </w:r>
      <w:r w:rsidRPr="00DA75F8">
        <w:rPr>
          <w:rFonts w:hint="eastAsia"/>
          <w:rtl/>
        </w:rPr>
        <w:t>الجنايات</w:t>
      </w:r>
      <w:r w:rsidRPr="00DA75F8">
        <w:rPr>
          <w:rtl/>
        </w:rPr>
        <w:t xml:space="preserve"> </w:t>
      </w:r>
      <w:r w:rsidRPr="00DA75F8">
        <w:rPr>
          <w:rFonts w:hint="eastAsia"/>
          <w:rtl/>
        </w:rPr>
        <w:t>فقط</w:t>
      </w:r>
      <w:r w:rsidRPr="00DA75F8">
        <w:rPr>
          <w:rtl/>
        </w:rPr>
        <w:t xml:space="preserve"> </w:t>
      </w:r>
      <w:r w:rsidRPr="00DA75F8">
        <w:rPr>
          <w:rFonts w:hint="eastAsia"/>
          <w:rtl/>
        </w:rPr>
        <w:t>فيما</w:t>
      </w:r>
      <w:r w:rsidRPr="00DA75F8">
        <w:rPr>
          <w:rtl/>
        </w:rPr>
        <w:t xml:space="preserve"> </w:t>
      </w:r>
      <w:r w:rsidRPr="00DA75F8">
        <w:rPr>
          <w:rFonts w:hint="eastAsia"/>
          <w:rtl/>
        </w:rPr>
        <w:t>يسمى</w:t>
      </w:r>
      <w:r w:rsidRPr="00DA75F8">
        <w:rPr>
          <w:rtl/>
        </w:rPr>
        <w:t xml:space="preserve"> </w:t>
      </w:r>
      <w:r w:rsidRPr="00DA75F8">
        <w:rPr>
          <w:rFonts w:hint="eastAsia"/>
          <w:rtl/>
        </w:rPr>
        <w:t>شرع</w:t>
      </w:r>
      <w:r w:rsidRPr="00DA75F8">
        <w:rPr>
          <w:rtl/>
        </w:rPr>
        <w:t xml:space="preserve"> </w:t>
      </w:r>
      <w:r w:rsidRPr="00DA75F8">
        <w:rPr>
          <w:rFonts w:hint="eastAsia"/>
          <w:rtl/>
        </w:rPr>
        <w:t>مغلظ</w:t>
      </w:r>
      <w:r w:rsidRPr="00DA75F8">
        <w:rPr>
          <w:rtl/>
        </w:rPr>
        <w:t xml:space="preserve">. </w:t>
      </w:r>
    </w:p>
    <w:p w:rsidR="005F44B2" w:rsidRPr="00DA75F8" w:rsidRDefault="005F44B2" w:rsidP="00A774AB">
      <w:pPr>
        <w:pStyle w:val="Subtitle"/>
        <w:jc w:val="both"/>
        <w:rPr>
          <w:rtl/>
        </w:rPr>
      </w:pPr>
      <w:r w:rsidRPr="00DA75F8">
        <w:rPr>
          <w:rFonts w:hint="eastAsia"/>
          <w:rtl/>
        </w:rPr>
        <w:t>وصل</w:t>
      </w:r>
      <w:r w:rsidRPr="00DA75F8">
        <w:rPr>
          <w:rtl/>
        </w:rPr>
        <w:t xml:space="preserve"> </w:t>
      </w:r>
      <w:r w:rsidRPr="00DA75F8">
        <w:rPr>
          <w:rFonts w:hint="eastAsia"/>
          <w:rtl/>
        </w:rPr>
        <w:t>الباحث</w:t>
      </w:r>
      <w:r w:rsidRPr="00DA75F8">
        <w:rPr>
          <w:rtl/>
        </w:rPr>
        <w:t xml:space="preserve"> </w:t>
      </w:r>
      <w:r w:rsidRPr="00DA75F8">
        <w:rPr>
          <w:rFonts w:hint="eastAsia"/>
          <w:rtl/>
        </w:rPr>
        <w:t>في</w:t>
      </w:r>
      <w:r w:rsidRPr="00DA75F8">
        <w:rPr>
          <w:rtl/>
        </w:rPr>
        <w:t xml:space="preserve"> </w:t>
      </w:r>
      <w:r w:rsidRPr="00DA75F8">
        <w:rPr>
          <w:rFonts w:hint="eastAsia"/>
          <w:rtl/>
        </w:rPr>
        <w:t>تعريف</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عند</w:t>
      </w:r>
      <w:r w:rsidRPr="00DA75F8">
        <w:rPr>
          <w:rtl/>
        </w:rPr>
        <w:t xml:space="preserve"> </w:t>
      </w:r>
      <w:r w:rsidRPr="00DA75F8">
        <w:rPr>
          <w:rFonts w:hint="eastAsia"/>
          <w:rtl/>
        </w:rPr>
        <w:t>الحنفية</w:t>
      </w:r>
      <w:r w:rsidRPr="00DA75F8">
        <w:rPr>
          <w:rtl/>
        </w:rPr>
        <w:t xml:space="preserve"> </w:t>
      </w:r>
      <w:r>
        <w:rPr>
          <w:rFonts w:hint="eastAsia"/>
          <w:rtl/>
        </w:rPr>
        <w:t>و</w:t>
      </w:r>
      <w:r w:rsidRPr="00DA75F8">
        <w:rPr>
          <w:rFonts w:hint="eastAsia"/>
          <w:rtl/>
        </w:rPr>
        <w:t>المالكية</w:t>
      </w:r>
      <w:r w:rsidRPr="00DA75F8">
        <w:rPr>
          <w:rtl/>
        </w:rPr>
        <w:t xml:space="preserve"> </w:t>
      </w:r>
      <w:r w:rsidRPr="00DA75F8">
        <w:rPr>
          <w:rFonts w:hint="eastAsia"/>
          <w:rtl/>
        </w:rPr>
        <w:t>إلى</w:t>
      </w:r>
      <w:r w:rsidRPr="00DA75F8">
        <w:rPr>
          <w:rtl/>
        </w:rPr>
        <w:t xml:space="preserve"> </w:t>
      </w:r>
      <w:r w:rsidRPr="00DA75F8">
        <w:rPr>
          <w:rFonts w:hint="eastAsia"/>
          <w:rtl/>
        </w:rPr>
        <w:t>أن</w:t>
      </w:r>
      <w:r w:rsidRPr="00DA75F8">
        <w:rPr>
          <w:rtl/>
        </w:rPr>
        <w:t xml:space="preserve"> </w:t>
      </w:r>
      <w:r w:rsidRPr="00DA75F8">
        <w:rPr>
          <w:rFonts w:hint="eastAsia"/>
          <w:rtl/>
        </w:rPr>
        <w:t>بعضهم</w:t>
      </w:r>
      <w:r w:rsidRPr="00DA75F8">
        <w:rPr>
          <w:rtl/>
        </w:rPr>
        <w:t xml:space="preserve"> </w:t>
      </w:r>
      <w:r w:rsidRPr="00DA75F8">
        <w:rPr>
          <w:rFonts w:hint="eastAsia"/>
          <w:rtl/>
        </w:rPr>
        <w:t>قصر</w:t>
      </w:r>
      <w:r w:rsidRPr="00DA75F8">
        <w:rPr>
          <w:rtl/>
        </w:rPr>
        <w:t xml:space="preserve"> </w:t>
      </w:r>
      <w:r w:rsidRPr="00DA75F8">
        <w:rPr>
          <w:rFonts w:hint="eastAsia"/>
          <w:rtl/>
        </w:rPr>
        <w:t>مفهوم</w:t>
      </w:r>
      <w:r w:rsidRPr="00DA75F8">
        <w:rPr>
          <w:rtl/>
        </w:rPr>
        <w:t xml:space="preserve"> </w:t>
      </w:r>
      <w:r w:rsidRPr="00DA75F8">
        <w:rPr>
          <w:rFonts w:hint="eastAsia"/>
          <w:rtl/>
        </w:rPr>
        <w:t>السياسة</w:t>
      </w:r>
      <w:r>
        <w:rPr>
          <w:rtl/>
        </w:rPr>
        <w:t xml:space="preserve"> </w:t>
      </w:r>
      <w:r>
        <w:rPr>
          <w:rFonts w:hint="eastAsia"/>
          <w:rtl/>
        </w:rPr>
        <w:t>الشرعية</w:t>
      </w:r>
      <w:r>
        <w:rPr>
          <w:rtl/>
        </w:rPr>
        <w:t xml:space="preserve"> </w:t>
      </w:r>
      <w:r>
        <w:rPr>
          <w:rFonts w:hint="eastAsia"/>
          <w:rtl/>
        </w:rPr>
        <w:t>على</w:t>
      </w:r>
      <w:r>
        <w:rPr>
          <w:rtl/>
        </w:rPr>
        <w:t xml:space="preserve"> </w:t>
      </w:r>
      <w:r>
        <w:rPr>
          <w:rFonts w:hint="eastAsia"/>
          <w:rtl/>
        </w:rPr>
        <w:t>الجنايات</w:t>
      </w:r>
      <w:r>
        <w:rPr>
          <w:rtl/>
        </w:rPr>
        <w:t xml:space="preserve"> </w:t>
      </w:r>
      <w:r>
        <w:rPr>
          <w:rFonts w:hint="eastAsia"/>
          <w:rtl/>
        </w:rPr>
        <w:t>والعقوبات</w:t>
      </w:r>
      <w:r w:rsidRPr="00DA75F8">
        <w:rPr>
          <w:rFonts w:hint="eastAsia"/>
          <w:rtl/>
        </w:rPr>
        <w:t>وعرّفوها</w:t>
      </w:r>
      <w:r w:rsidRPr="00DA75F8">
        <w:rPr>
          <w:rtl/>
        </w:rPr>
        <w:t xml:space="preserve"> </w:t>
      </w:r>
      <w:r w:rsidRPr="00DA75F8">
        <w:rPr>
          <w:rFonts w:hint="eastAsia"/>
          <w:rtl/>
        </w:rPr>
        <w:t>بشكل</w:t>
      </w:r>
      <w:r w:rsidRPr="00DA75F8">
        <w:rPr>
          <w:rtl/>
        </w:rPr>
        <w:t xml:space="preserve"> </w:t>
      </w:r>
      <w:r w:rsidRPr="00DA75F8">
        <w:rPr>
          <w:rFonts w:hint="eastAsia"/>
          <w:rtl/>
        </w:rPr>
        <w:t>خاص</w:t>
      </w:r>
      <w:r>
        <w:rPr>
          <w:rFonts w:hint="eastAsia"/>
          <w:rtl/>
        </w:rPr>
        <w:t>،</w:t>
      </w:r>
      <w:r>
        <w:rPr>
          <w:rtl/>
        </w:rPr>
        <w:t xml:space="preserve"> </w:t>
      </w:r>
      <w:r>
        <w:rPr>
          <w:rFonts w:hint="eastAsia"/>
          <w:rtl/>
        </w:rPr>
        <w:t>وبعضهم</w:t>
      </w:r>
      <w:r>
        <w:rPr>
          <w:rtl/>
        </w:rPr>
        <w:t xml:space="preserve"> </w:t>
      </w:r>
      <w:r>
        <w:rPr>
          <w:rFonts w:hint="eastAsia"/>
          <w:rtl/>
        </w:rPr>
        <w:t>عرّفها</w:t>
      </w:r>
      <w:r>
        <w:rPr>
          <w:rtl/>
        </w:rPr>
        <w:t xml:space="preserve"> </w:t>
      </w:r>
      <w:r>
        <w:rPr>
          <w:rFonts w:hint="eastAsia"/>
          <w:rtl/>
        </w:rPr>
        <w:t>بشكل</w:t>
      </w:r>
      <w:r>
        <w:rPr>
          <w:rtl/>
        </w:rPr>
        <w:t xml:space="preserve"> </w:t>
      </w:r>
      <w:r>
        <w:rPr>
          <w:rFonts w:hint="eastAsia"/>
          <w:rtl/>
        </w:rPr>
        <w:t>عام</w:t>
      </w:r>
      <w:r>
        <w:rPr>
          <w:rtl/>
        </w:rPr>
        <w:t>.</w:t>
      </w:r>
      <w:r w:rsidRPr="00DA75F8">
        <w:rPr>
          <w:rFonts w:hint="eastAsia"/>
          <w:rtl/>
        </w:rPr>
        <w:t>وعند</w:t>
      </w:r>
      <w:r w:rsidRPr="00DA75F8">
        <w:rPr>
          <w:rtl/>
        </w:rPr>
        <w:t xml:space="preserve"> </w:t>
      </w:r>
      <w:r w:rsidRPr="00DA75F8">
        <w:rPr>
          <w:rFonts w:hint="eastAsia"/>
          <w:rtl/>
        </w:rPr>
        <w:t>النظر</w:t>
      </w:r>
      <w:r w:rsidRPr="00DA75F8">
        <w:rPr>
          <w:rtl/>
        </w:rPr>
        <w:t xml:space="preserve"> </w:t>
      </w:r>
      <w:r w:rsidRPr="00DA75F8">
        <w:rPr>
          <w:rFonts w:hint="eastAsia"/>
          <w:rtl/>
        </w:rPr>
        <w:t>إلى</w:t>
      </w:r>
      <w:r w:rsidRPr="00DA75F8">
        <w:rPr>
          <w:rtl/>
        </w:rPr>
        <w:t xml:space="preserve"> </w:t>
      </w:r>
      <w:r w:rsidRPr="00DA75F8">
        <w:rPr>
          <w:rFonts w:hint="eastAsia"/>
          <w:rtl/>
        </w:rPr>
        <w:t>تعريف</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عند</w:t>
      </w:r>
      <w:r w:rsidRPr="00DA75F8">
        <w:rPr>
          <w:rtl/>
        </w:rPr>
        <w:t xml:space="preserve"> </w:t>
      </w:r>
      <w:r w:rsidRPr="00DA75F8">
        <w:rPr>
          <w:rFonts w:hint="eastAsia"/>
          <w:rtl/>
        </w:rPr>
        <w:t>الشافعية</w:t>
      </w:r>
      <w:r w:rsidRPr="00DA75F8">
        <w:rPr>
          <w:rtl/>
        </w:rPr>
        <w:t xml:space="preserve"> </w:t>
      </w:r>
      <w:r w:rsidRPr="00DA75F8">
        <w:rPr>
          <w:rFonts w:hint="eastAsia"/>
          <w:rtl/>
        </w:rPr>
        <w:t>يُرى</w:t>
      </w:r>
      <w:r w:rsidRPr="00DA75F8">
        <w:rPr>
          <w:rtl/>
        </w:rPr>
        <w:t xml:space="preserve"> </w:t>
      </w:r>
      <w:r>
        <w:rPr>
          <w:rFonts w:hint="eastAsia"/>
          <w:rtl/>
        </w:rPr>
        <w:t>أنه</w:t>
      </w:r>
      <w:r w:rsidRPr="00DA75F8">
        <w:rPr>
          <w:rFonts w:hint="eastAsia"/>
          <w:rtl/>
        </w:rPr>
        <w:t>م</w:t>
      </w:r>
      <w:r w:rsidRPr="00DA75F8">
        <w:rPr>
          <w:rtl/>
        </w:rPr>
        <w:t xml:space="preserve"> </w:t>
      </w:r>
      <w:r w:rsidRPr="00DA75F8">
        <w:rPr>
          <w:rFonts w:hint="eastAsia"/>
          <w:rtl/>
        </w:rPr>
        <w:t>عرّفوها</w:t>
      </w:r>
      <w:r w:rsidRPr="00DA75F8">
        <w:rPr>
          <w:rtl/>
        </w:rPr>
        <w:t xml:space="preserve"> </w:t>
      </w:r>
      <w:r w:rsidRPr="00DA75F8">
        <w:rPr>
          <w:rFonts w:hint="eastAsia"/>
          <w:rtl/>
        </w:rPr>
        <w:t>بالعموم،</w:t>
      </w:r>
      <w:r w:rsidRPr="00DA75F8">
        <w:rPr>
          <w:rtl/>
        </w:rPr>
        <w:t xml:space="preserve"> </w:t>
      </w:r>
      <w:r w:rsidRPr="00DA75F8">
        <w:rPr>
          <w:rFonts w:hint="eastAsia"/>
          <w:rtl/>
        </w:rPr>
        <w:t>وأيضًا</w:t>
      </w:r>
      <w:r w:rsidRPr="00DA75F8">
        <w:rPr>
          <w:rtl/>
        </w:rPr>
        <w:t xml:space="preserve"> </w:t>
      </w:r>
      <w:r w:rsidRPr="00DA75F8">
        <w:rPr>
          <w:rFonts w:hint="eastAsia"/>
          <w:rtl/>
        </w:rPr>
        <w:t>يُلفت</w:t>
      </w:r>
      <w:r w:rsidRPr="00DA75F8">
        <w:rPr>
          <w:rtl/>
        </w:rPr>
        <w:t xml:space="preserve"> </w:t>
      </w:r>
      <w:r w:rsidRPr="00DA75F8">
        <w:rPr>
          <w:rFonts w:hint="eastAsia"/>
          <w:rtl/>
        </w:rPr>
        <w:t>النظر</w:t>
      </w:r>
      <w:r w:rsidRPr="00DA75F8">
        <w:rPr>
          <w:rtl/>
        </w:rPr>
        <w:t xml:space="preserve"> </w:t>
      </w:r>
      <w:r w:rsidRPr="00DA75F8">
        <w:rPr>
          <w:rFonts w:hint="eastAsia"/>
          <w:rtl/>
        </w:rPr>
        <w:t>أنهم</w:t>
      </w:r>
      <w:r w:rsidRPr="00DA75F8">
        <w:rPr>
          <w:rtl/>
        </w:rPr>
        <w:t xml:space="preserve"> </w:t>
      </w:r>
      <w:r w:rsidRPr="00DA75F8">
        <w:rPr>
          <w:rFonts w:hint="eastAsia"/>
          <w:rtl/>
        </w:rPr>
        <w:t>ركّزوا</w:t>
      </w:r>
      <w:r w:rsidRPr="00DA75F8">
        <w:rPr>
          <w:rtl/>
        </w:rPr>
        <w:t xml:space="preserve"> </w:t>
      </w:r>
      <w:r w:rsidRPr="00DA75F8">
        <w:rPr>
          <w:rFonts w:hint="eastAsia"/>
          <w:rtl/>
        </w:rPr>
        <w:t>على</w:t>
      </w:r>
      <w:r w:rsidRPr="00DA75F8">
        <w:rPr>
          <w:rtl/>
        </w:rPr>
        <w:t xml:space="preserve"> </w:t>
      </w:r>
      <w:r w:rsidRPr="00DA75F8">
        <w:rPr>
          <w:rFonts w:hint="eastAsia"/>
          <w:rtl/>
        </w:rPr>
        <w:t>مصلحة</w:t>
      </w:r>
      <w:r w:rsidRPr="00DA75F8">
        <w:rPr>
          <w:rtl/>
        </w:rPr>
        <w:t xml:space="preserve"> </w:t>
      </w:r>
      <w:r w:rsidRPr="00DA75F8">
        <w:rPr>
          <w:rFonts w:hint="eastAsia"/>
          <w:rtl/>
        </w:rPr>
        <w:t>الأمة</w:t>
      </w:r>
      <w:r w:rsidRPr="00DA75F8">
        <w:rPr>
          <w:rtl/>
        </w:rPr>
        <w:t xml:space="preserve"> </w:t>
      </w:r>
      <w:r w:rsidRPr="00DA75F8">
        <w:rPr>
          <w:rFonts w:hint="eastAsia"/>
          <w:rtl/>
        </w:rPr>
        <w:t>في</w:t>
      </w:r>
      <w:r w:rsidRPr="00DA75F8">
        <w:rPr>
          <w:rtl/>
        </w:rPr>
        <w:t xml:space="preserve"> </w:t>
      </w:r>
      <w:r w:rsidRPr="00DA75F8">
        <w:rPr>
          <w:rFonts w:hint="eastAsia"/>
          <w:rtl/>
        </w:rPr>
        <w:t>تعريف</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Pr>
          <w:rFonts w:hint="eastAsia"/>
          <w:rtl/>
        </w:rPr>
        <w:t>،</w:t>
      </w:r>
      <w:r w:rsidRPr="00DA75F8">
        <w:rPr>
          <w:rFonts w:hint="eastAsia"/>
          <w:rtl/>
        </w:rPr>
        <w:t>وقد</w:t>
      </w:r>
      <w:r w:rsidRPr="00DA75F8">
        <w:rPr>
          <w:rtl/>
        </w:rPr>
        <w:t xml:space="preserve"> </w:t>
      </w:r>
      <w:r w:rsidRPr="00DA75F8">
        <w:rPr>
          <w:rFonts w:hint="eastAsia"/>
          <w:rtl/>
        </w:rPr>
        <w:t>ظهر</w:t>
      </w:r>
      <w:r w:rsidRPr="00DA75F8">
        <w:rPr>
          <w:rtl/>
        </w:rPr>
        <w:t xml:space="preserve"> </w:t>
      </w:r>
      <w:r w:rsidRPr="00DA75F8">
        <w:rPr>
          <w:rFonts w:hint="eastAsia"/>
          <w:rtl/>
        </w:rPr>
        <w:t>من</w:t>
      </w:r>
      <w:r w:rsidRPr="00DA75F8">
        <w:rPr>
          <w:rtl/>
        </w:rPr>
        <w:t xml:space="preserve"> </w:t>
      </w:r>
      <w:r w:rsidRPr="00DA75F8">
        <w:rPr>
          <w:rFonts w:hint="eastAsia"/>
          <w:rtl/>
        </w:rPr>
        <w:t>تعريف</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عند</w:t>
      </w:r>
      <w:r w:rsidRPr="00DA75F8">
        <w:rPr>
          <w:rtl/>
        </w:rPr>
        <w:t xml:space="preserve"> </w:t>
      </w:r>
      <w:r w:rsidRPr="00DA75F8">
        <w:rPr>
          <w:rFonts w:hint="eastAsia"/>
          <w:rtl/>
        </w:rPr>
        <w:t>الحنابلة</w:t>
      </w:r>
      <w:r w:rsidRPr="00DA75F8">
        <w:rPr>
          <w:rtl/>
        </w:rPr>
        <w:t xml:space="preserve"> </w:t>
      </w:r>
      <w:r w:rsidRPr="00DA75F8">
        <w:rPr>
          <w:rFonts w:hint="eastAsia"/>
          <w:rtl/>
        </w:rPr>
        <w:t>أنهم</w:t>
      </w:r>
      <w:r w:rsidRPr="00DA75F8">
        <w:rPr>
          <w:rtl/>
        </w:rPr>
        <w:t xml:space="preserve"> </w:t>
      </w:r>
      <w:r w:rsidRPr="00DA75F8">
        <w:rPr>
          <w:rFonts w:hint="eastAsia"/>
          <w:rtl/>
        </w:rPr>
        <w:t>أخذوا</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بشكل</w:t>
      </w:r>
      <w:r w:rsidRPr="00DA75F8">
        <w:rPr>
          <w:rtl/>
        </w:rPr>
        <w:t xml:space="preserve"> </w:t>
      </w:r>
      <w:r w:rsidRPr="00DA75F8">
        <w:rPr>
          <w:rFonts w:hint="eastAsia"/>
          <w:rtl/>
        </w:rPr>
        <w:t>عام</w:t>
      </w:r>
      <w:r w:rsidRPr="00DA75F8">
        <w:rPr>
          <w:rtl/>
        </w:rPr>
        <w:t xml:space="preserve"> </w:t>
      </w:r>
      <w:r w:rsidRPr="00DA75F8">
        <w:rPr>
          <w:rFonts w:hint="eastAsia"/>
          <w:rtl/>
        </w:rPr>
        <w:t>حيث</w:t>
      </w:r>
      <w:r w:rsidRPr="00DA75F8">
        <w:rPr>
          <w:rtl/>
        </w:rPr>
        <w:t xml:space="preserve"> </w:t>
      </w:r>
      <w:r w:rsidRPr="00DA75F8">
        <w:rPr>
          <w:rFonts w:hint="eastAsia"/>
          <w:rtl/>
        </w:rPr>
        <w:t>تَجْمَع</w:t>
      </w:r>
      <w:r w:rsidRPr="00DA75F8">
        <w:rPr>
          <w:rtl/>
        </w:rPr>
        <w:t xml:space="preserve"> </w:t>
      </w:r>
      <w:r w:rsidRPr="00DA75F8">
        <w:rPr>
          <w:rFonts w:hint="eastAsia"/>
          <w:rtl/>
        </w:rPr>
        <w:t>جميع</w:t>
      </w:r>
      <w:r w:rsidRPr="00DA75F8">
        <w:rPr>
          <w:rtl/>
        </w:rPr>
        <w:t xml:space="preserve"> </w:t>
      </w:r>
      <w:r w:rsidRPr="00DA75F8">
        <w:rPr>
          <w:rFonts w:hint="eastAsia"/>
          <w:rtl/>
        </w:rPr>
        <w:t>مناحي</w:t>
      </w:r>
      <w:r w:rsidRPr="00DA75F8">
        <w:rPr>
          <w:rtl/>
        </w:rPr>
        <w:t xml:space="preserve"> </w:t>
      </w:r>
      <w:r w:rsidRPr="00DA75F8">
        <w:rPr>
          <w:rFonts w:hint="eastAsia"/>
          <w:rtl/>
        </w:rPr>
        <w:t>الحياة</w:t>
      </w:r>
      <w:r w:rsidRPr="00DA75F8">
        <w:rPr>
          <w:rtl/>
        </w:rPr>
        <w:t>.</w:t>
      </w:r>
    </w:p>
    <w:p w:rsidR="005F44B2" w:rsidRPr="00DA75F8" w:rsidRDefault="005F44B2" w:rsidP="00776FCE">
      <w:pPr>
        <w:pStyle w:val="Subtitle"/>
        <w:jc w:val="both"/>
        <w:rPr>
          <w:rtl/>
        </w:rPr>
      </w:pPr>
      <w:r w:rsidRPr="00DA75F8">
        <w:rPr>
          <w:rFonts w:hint="eastAsia"/>
          <w:rtl/>
        </w:rPr>
        <w:t>وذكر</w:t>
      </w:r>
      <w:r w:rsidRPr="00DA75F8">
        <w:rPr>
          <w:rtl/>
        </w:rPr>
        <w:t xml:space="preserve"> </w:t>
      </w:r>
      <w:r w:rsidRPr="00DA75F8">
        <w:rPr>
          <w:rFonts w:hint="eastAsia"/>
          <w:rtl/>
        </w:rPr>
        <w:t>الباحث</w:t>
      </w:r>
      <w:r w:rsidRPr="00DA75F8">
        <w:rPr>
          <w:rtl/>
        </w:rPr>
        <w:t xml:space="preserve"> </w:t>
      </w:r>
      <w:r w:rsidRPr="00DA75F8">
        <w:rPr>
          <w:rFonts w:hint="eastAsia"/>
          <w:rtl/>
        </w:rPr>
        <w:t>تعريف</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عند</w:t>
      </w:r>
      <w:r w:rsidRPr="00DA75F8">
        <w:rPr>
          <w:rtl/>
        </w:rPr>
        <w:t xml:space="preserve"> </w:t>
      </w:r>
      <w:r w:rsidRPr="00DA75F8">
        <w:rPr>
          <w:rFonts w:hint="eastAsia"/>
          <w:rtl/>
        </w:rPr>
        <w:t>المعاصرين</w:t>
      </w:r>
      <w:r w:rsidRPr="00DA75F8">
        <w:rPr>
          <w:rtl/>
        </w:rPr>
        <w:t xml:space="preserve"> </w:t>
      </w:r>
      <w:r w:rsidRPr="00DA75F8">
        <w:rPr>
          <w:rFonts w:hint="eastAsia"/>
          <w:rtl/>
        </w:rPr>
        <w:t>فوصل</w:t>
      </w:r>
      <w:r w:rsidRPr="00DA75F8">
        <w:rPr>
          <w:rtl/>
        </w:rPr>
        <w:t xml:space="preserve"> </w:t>
      </w:r>
      <w:r w:rsidRPr="00DA75F8">
        <w:rPr>
          <w:rFonts w:hint="eastAsia"/>
          <w:rtl/>
        </w:rPr>
        <w:t>إلى</w:t>
      </w:r>
      <w:r w:rsidRPr="00DA75F8">
        <w:rPr>
          <w:rtl/>
        </w:rPr>
        <w:t xml:space="preserve"> </w:t>
      </w:r>
      <w:r w:rsidRPr="00DA75F8">
        <w:rPr>
          <w:rFonts w:hint="eastAsia"/>
          <w:rtl/>
        </w:rPr>
        <w:t>بعض</w:t>
      </w:r>
      <w:r w:rsidRPr="00DA75F8">
        <w:rPr>
          <w:rtl/>
        </w:rPr>
        <w:t xml:space="preserve"> </w:t>
      </w:r>
      <w:r w:rsidRPr="00DA75F8">
        <w:rPr>
          <w:rFonts w:hint="eastAsia"/>
          <w:rtl/>
        </w:rPr>
        <w:t>النتائج</w:t>
      </w:r>
      <w:r w:rsidRPr="00DA75F8">
        <w:rPr>
          <w:rtl/>
        </w:rPr>
        <w:t xml:space="preserve"> </w:t>
      </w:r>
      <w:r w:rsidRPr="00DA75F8">
        <w:rPr>
          <w:rFonts w:hint="eastAsia"/>
          <w:rtl/>
        </w:rPr>
        <w:t>وهي</w:t>
      </w:r>
      <w:r w:rsidRPr="00DA75F8">
        <w:rPr>
          <w:rtl/>
        </w:rPr>
        <w:t xml:space="preserve"> </w:t>
      </w:r>
      <w:r w:rsidRPr="00DA75F8">
        <w:rPr>
          <w:rFonts w:hint="eastAsia"/>
          <w:rtl/>
        </w:rPr>
        <w:t>كما</w:t>
      </w:r>
      <w:r w:rsidRPr="00DA75F8">
        <w:rPr>
          <w:rtl/>
        </w:rPr>
        <w:t xml:space="preserve"> </w:t>
      </w:r>
      <w:r w:rsidRPr="00DA75F8">
        <w:rPr>
          <w:rFonts w:hint="eastAsia"/>
          <w:rtl/>
        </w:rPr>
        <w:t>يلي</w:t>
      </w:r>
      <w:r w:rsidRPr="00DA75F8">
        <w:rPr>
          <w:rtl/>
        </w:rPr>
        <w:t xml:space="preserve">: </w:t>
      </w:r>
      <w:r w:rsidRPr="00DA75F8">
        <w:rPr>
          <w:rFonts w:hint="eastAsia"/>
          <w:rtl/>
        </w:rPr>
        <w:t>أخذ</w:t>
      </w:r>
      <w:r w:rsidRPr="00DA75F8">
        <w:rPr>
          <w:rtl/>
        </w:rPr>
        <w:t xml:space="preserve"> </w:t>
      </w:r>
      <w:r w:rsidRPr="00DA75F8">
        <w:rPr>
          <w:rFonts w:hint="eastAsia"/>
          <w:rtl/>
        </w:rPr>
        <w:t>المعاصرون</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بالمعنى</w:t>
      </w:r>
      <w:r w:rsidRPr="00DA75F8">
        <w:rPr>
          <w:rtl/>
        </w:rPr>
        <w:t xml:space="preserve"> </w:t>
      </w:r>
      <w:r w:rsidRPr="00DA75F8">
        <w:rPr>
          <w:rFonts w:hint="eastAsia"/>
          <w:rtl/>
        </w:rPr>
        <w:t>العام</w:t>
      </w:r>
      <w:r w:rsidRPr="00DA75F8">
        <w:rPr>
          <w:rtl/>
        </w:rPr>
        <w:t xml:space="preserve"> </w:t>
      </w:r>
      <w:r w:rsidRPr="00DA75F8">
        <w:rPr>
          <w:rFonts w:hint="eastAsia"/>
          <w:rtl/>
        </w:rPr>
        <w:t>ولم</w:t>
      </w:r>
      <w:r w:rsidRPr="00DA75F8">
        <w:rPr>
          <w:rtl/>
        </w:rPr>
        <w:t xml:space="preserve"> </w:t>
      </w:r>
      <w:r w:rsidRPr="00DA75F8">
        <w:rPr>
          <w:rFonts w:hint="eastAsia"/>
          <w:rtl/>
        </w:rPr>
        <w:t>يقصروها</w:t>
      </w:r>
      <w:r w:rsidRPr="00DA75F8">
        <w:rPr>
          <w:rtl/>
        </w:rPr>
        <w:t xml:space="preserve"> </w:t>
      </w:r>
      <w:r w:rsidRPr="00DA75F8">
        <w:rPr>
          <w:rFonts w:hint="eastAsia"/>
          <w:rtl/>
        </w:rPr>
        <w:t>على</w:t>
      </w:r>
      <w:r w:rsidRPr="00DA75F8">
        <w:rPr>
          <w:rtl/>
        </w:rPr>
        <w:t xml:space="preserve"> </w:t>
      </w:r>
      <w:r w:rsidRPr="00DA75F8">
        <w:rPr>
          <w:rFonts w:hint="eastAsia"/>
          <w:rtl/>
        </w:rPr>
        <w:t>فرع</w:t>
      </w:r>
      <w:r w:rsidRPr="00DA75F8">
        <w:rPr>
          <w:rtl/>
        </w:rPr>
        <w:t xml:space="preserve"> </w:t>
      </w:r>
      <w:r w:rsidRPr="00DA75F8">
        <w:rPr>
          <w:rFonts w:hint="eastAsia"/>
          <w:rtl/>
        </w:rPr>
        <w:t>من</w:t>
      </w:r>
      <w:r w:rsidRPr="00DA75F8">
        <w:rPr>
          <w:rtl/>
        </w:rPr>
        <w:t xml:space="preserve"> </w:t>
      </w:r>
      <w:r w:rsidRPr="00DA75F8">
        <w:rPr>
          <w:rFonts w:hint="eastAsia"/>
          <w:rtl/>
        </w:rPr>
        <w:t>فروعها،</w:t>
      </w:r>
      <w:r w:rsidRPr="00DA75F8">
        <w:rPr>
          <w:rtl/>
        </w:rPr>
        <w:t xml:space="preserve"> </w:t>
      </w:r>
      <w:r w:rsidRPr="00DA75F8">
        <w:rPr>
          <w:rFonts w:hint="eastAsia"/>
          <w:rtl/>
        </w:rPr>
        <w:t>وكلهم</w:t>
      </w:r>
      <w:r w:rsidRPr="00DA75F8">
        <w:rPr>
          <w:rtl/>
        </w:rPr>
        <w:t xml:space="preserve"> </w:t>
      </w:r>
      <w:r w:rsidRPr="00DA75F8">
        <w:rPr>
          <w:rFonts w:hint="eastAsia"/>
          <w:rtl/>
        </w:rPr>
        <w:t>يتفقون</w:t>
      </w:r>
      <w:r w:rsidRPr="00DA75F8">
        <w:rPr>
          <w:rtl/>
        </w:rPr>
        <w:t xml:space="preserve"> </w:t>
      </w:r>
      <w:r w:rsidRPr="00DA75F8">
        <w:rPr>
          <w:rFonts w:hint="eastAsia"/>
          <w:rtl/>
        </w:rPr>
        <w:t>في</w:t>
      </w:r>
      <w:r w:rsidRPr="00DA75F8">
        <w:rPr>
          <w:rtl/>
        </w:rPr>
        <w:t xml:space="preserve"> </w:t>
      </w:r>
      <w:r w:rsidRPr="00DA75F8">
        <w:rPr>
          <w:rFonts w:hint="eastAsia"/>
          <w:rtl/>
        </w:rPr>
        <w:t>تعريفاتهم</w:t>
      </w:r>
      <w:r w:rsidRPr="00DA75F8">
        <w:rPr>
          <w:rtl/>
        </w:rPr>
        <w:t xml:space="preserve"> </w:t>
      </w:r>
      <w:r w:rsidRPr="00DA75F8">
        <w:rPr>
          <w:rFonts w:hint="eastAsia"/>
          <w:rtl/>
        </w:rPr>
        <w:t>على</w:t>
      </w:r>
      <w:r w:rsidRPr="00DA75F8">
        <w:rPr>
          <w:rtl/>
        </w:rPr>
        <w:t xml:space="preserve"> </w:t>
      </w:r>
      <w:r w:rsidRPr="00DA75F8">
        <w:rPr>
          <w:rFonts w:hint="eastAsia"/>
          <w:rtl/>
        </w:rPr>
        <w:t>أنّ</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يجب</w:t>
      </w:r>
      <w:r w:rsidRPr="00DA75F8">
        <w:rPr>
          <w:rtl/>
        </w:rPr>
        <w:t xml:space="preserve"> </w:t>
      </w:r>
      <w:r w:rsidRPr="00DA75F8">
        <w:rPr>
          <w:rFonts w:hint="eastAsia"/>
          <w:rtl/>
        </w:rPr>
        <w:t>أن</w:t>
      </w:r>
      <w:r w:rsidRPr="00DA75F8">
        <w:rPr>
          <w:rtl/>
        </w:rPr>
        <w:t xml:space="preserve"> </w:t>
      </w:r>
      <w:r w:rsidRPr="00DA75F8">
        <w:rPr>
          <w:rFonts w:hint="eastAsia"/>
          <w:rtl/>
        </w:rPr>
        <w:t>تكون</w:t>
      </w:r>
      <w:r w:rsidRPr="00DA75F8">
        <w:rPr>
          <w:rtl/>
        </w:rPr>
        <w:t xml:space="preserve"> </w:t>
      </w:r>
      <w:r w:rsidRPr="00DA75F8">
        <w:rPr>
          <w:rFonts w:hint="eastAsia"/>
          <w:rtl/>
        </w:rPr>
        <w:t>موافقة</w:t>
      </w:r>
      <w:r w:rsidRPr="00DA75F8">
        <w:rPr>
          <w:rtl/>
        </w:rPr>
        <w:t xml:space="preserve"> </w:t>
      </w:r>
      <w:r w:rsidRPr="00DA75F8">
        <w:rPr>
          <w:rFonts w:hint="eastAsia"/>
          <w:rtl/>
        </w:rPr>
        <w:t>للشرع</w:t>
      </w:r>
      <w:r w:rsidRPr="00DA75F8">
        <w:rPr>
          <w:rtl/>
        </w:rPr>
        <w:t xml:space="preserve"> </w:t>
      </w:r>
      <w:r w:rsidRPr="00DA75F8">
        <w:rPr>
          <w:rFonts w:hint="eastAsia"/>
          <w:rtl/>
        </w:rPr>
        <w:t>وليست</w:t>
      </w:r>
      <w:r w:rsidRPr="00DA75F8">
        <w:rPr>
          <w:rtl/>
        </w:rPr>
        <w:t xml:space="preserve"> </w:t>
      </w:r>
      <w:r w:rsidRPr="00DA75F8">
        <w:rPr>
          <w:rFonts w:hint="eastAsia"/>
          <w:rtl/>
        </w:rPr>
        <w:t>مخالفة</w:t>
      </w:r>
      <w:r w:rsidRPr="00DA75F8">
        <w:rPr>
          <w:rtl/>
        </w:rPr>
        <w:t xml:space="preserve"> </w:t>
      </w:r>
      <w:r w:rsidRPr="00DA75F8">
        <w:rPr>
          <w:rFonts w:hint="eastAsia"/>
          <w:rtl/>
        </w:rPr>
        <w:t>له،</w:t>
      </w:r>
      <w:r w:rsidRPr="00DA75F8">
        <w:rPr>
          <w:rtl/>
        </w:rPr>
        <w:t xml:space="preserve"> </w:t>
      </w:r>
      <w:r w:rsidRPr="00DA75F8">
        <w:rPr>
          <w:rFonts w:hint="eastAsia"/>
          <w:rtl/>
        </w:rPr>
        <w:t>وأكّدوا</w:t>
      </w:r>
      <w:r w:rsidRPr="00DA75F8">
        <w:rPr>
          <w:rtl/>
        </w:rPr>
        <w:t xml:space="preserve"> </w:t>
      </w:r>
      <w:r w:rsidRPr="00DA75F8">
        <w:rPr>
          <w:rFonts w:hint="eastAsia"/>
          <w:rtl/>
        </w:rPr>
        <w:t>أنّ</w:t>
      </w:r>
      <w:r w:rsidRPr="00DA75F8">
        <w:rPr>
          <w:rtl/>
        </w:rPr>
        <w:t xml:space="preserve"> </w:t>
      </w:r>
      <w:r w:rsidRPr="00DA75F8">
        <w:rPr>
          <w:rFonts w:hint="eastAsia"/>
          <w:rtl/>
        </w:rPr>
        <w:t>المصلحة</w:t>
      </w:r>
      <w:r w:rsidRPr="00DA75F8">
        <w:rPr>
          <w:rtl/>
        </w:rPr>
        <w:t xml:space="preserve"> </w:t>
      </w:r>
      <w:r w:rsidRPr="00DA75F8">
        <w:rPr>
          <w:rFonts w:hint="eastAsia"/>
          <w:rtl/>
        </w:rPr>
        <w:t>أصل</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وهي</w:t>
      </w:r>
      <w:r w:rsidRPr="00DA75F8">
        <w:rPr>
          <w:rtl/>
        </w:rPr>
        <w:t xml:space="preserve"> </w:t>
      </w:r>
      <w:r w:rsidRPr="00DA75F8">
        <w:rPr>
          <w:rFonts w:hint="eastAsia"/>
          <w:rtl/>
        </w:rPr>
        <w:t>تتغير</w:t>
      </w:r>
      <w:r w:rsidRPr="00DA75F8">
        <w:rPr>
          <w:rtl/>
        </w:rPr>
        <w:t xml:space="preserve"> </w:t>
      </w:r>
      <w:r w:rsidRPr="00DA75F8">
        <w:rPr>
          <w:rFonts w:hint="eastAsia"/>
          <w:rtl/>
        </w:rPr>
        <w:t>بتغير</w:t>
      </w:r>
      <w:r w:rsidRPr="00DA75F8">
        <w:rPr>
          <w:rtl/>
        </w:rPr>
        <w:t xml:space="preserve"> </w:t>
      </w:r>
      <w:r w:rsidRPr="00DA75F8">
        <w:rPr>
          <w:rFonts w:hint="eastAsia"/>
          <w:rtl/>
        </w:rPr>
        <w:t>الزمان</w:t>
      </w:r>
      <w:r w:rsidRPr="00DA75F8">
        <w:rPr>
          <w:rtl/>
        </w:rPr>
        <w:t xml:space="preserve"> </w:t>
      </w:r>
      <w:r w:rsidRPr="00DA75F8">
        <w:rPr>
          <w:rFonts w:hint="eastAsia"/>
          <w:rtl/>
        </w:rPr>
        <w:t>والمكان،</w:t>
      </w:r>
      <w:r w:rsidRPr="00DA75F8">
        <w:rPr>
          <w:rtl/>
        </w:rPr>
        <w:t xml:space="preserve"> </w:t>
      </w:r>
      <w:r w:rsidRPr="00DA75F8">
        <w:rPr>
          <w:rFonts w:hint="eastAsia"/>
          <w:rtl/>
        </w:rPr>
        <w:t>وجعلوا</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عِلْمًا</w:t>
      </w:r>
      <w:r w:rsidRPr="00DA75F8">
        <w:rPr>
          <w:rtl/>
        </w:rPr>
        <w:t xml:space="preserve"> </w:t>
      </w:r>
      <w:r w:rsidRPr="00DA75F8">
        <w:rPr>
          <w:rFonts w:hint="eastAsia"/>
          <w:rtl/>
        </w:rPr>
        <w:t>قائمًا</w:t>
      </w:r>
      <w:r w:rsidRPr="00DA75F8">
        <w:rPr>
          <w:rtl/>
        </w:rPr>
        <w:t xml:space="preserve"> </w:t>
      </w:r>
      <w:r w:rsidRPr="00DA75F8">
        <w:rPr>
          <w:rFonts w:hint="eastAsia"/>
          <w:rtl/>
        </w:rPr>
        <w:t>بذاته،</w:t>
      </w:r>
      <w:r w:rsidRPr="00DA75F8">
        <w:rPr>
          <w:rtl/>
        </w:rPr>
        <w:t xml:space="preserve"> </w:t>
      </w:r>
      <w:r w:rsidRPr="00DA75F8">
        <w:rPr>
          <w:rFonts w:hint="eastAsia"/>
          <w:rtl/>
        </w:rPr>
        <w:t>ويشترط</w:t>
      </w:r>
      <w:r w:rsidRPr="00DA75F8">
        <w:rPr>
          <w:rtl/>
        </w:rPr>
        <w:t xml:space="preserve"> </w:t>
      </w:r>
      <w:r w:rsidRPr="00DA75F8">
        <w:rPr>
          <w:rFonts w:hint="eastAsia"/>
          <w:rtl/>
        </w:rPr>
        <w:t>المعاصرون</w:t>
      </w:r>
      <w:r w:rsidRPr="00DA75F8">
        <w:rPr>
          <w:rtl/>
        </w:rPr>
        <w:t xml:space="preserve"> </w:t>
      </w:r>
      <w:r w:rsidRPr="00DA75F8">
        <w:rPr>
          <w:rFonts w:hint="eastAsia"/>
          <w:rtl/>
        </w:rPr>
        <w:t>في</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أن</w:t>
      </w:r>
      <w:r w:rsidRPr="00DA75F8">
        <w:rPr>
          <w:rtl/>
        </w:rPr>
        <w:t xml:space="preserve"> </w:t>
      </w:r>
      <w:r w:rsidRPr="00DA75F8">
        <w:rPr>
          <w:rFonts w:hint="eastAsia"/>
          <w:rtl/>
        </w:rPr>
        <w:t>تتفق</w:t>
      </w:r>
      <w:r w:rsidRPr="00DA75F8">
        <w:rPr>
          <w:rtl/>
        </w:rPr>
        <w:t xml:space="preserve"> </w:t>
      </w:r>
      <w:r w:rsidRPr="00DA75F8">
        <w:rPr>
          <w:rFonts w:hint="eastAsia"/>
          <w:rtl/>
        </w:rPr>
        <w:t>مع</w:t>
      </w:r>
      <w:r w:rsidRPr="00DA75F8">
        <w:rPr>
          <w:rtl/>
        </w:rPr>
        <w:t xml:space="preserve"> </w:t>
      </w:r>
      <w:r w:rsidRPr="00DA75F8">
        <w:rPr>
          <w:rFonts w:hint="eastAsia"/>
          <w:rtl/>
        </w:rPr>
        <w:t>روح</w:t>
      </w:r>
      <w:r w:rsidRPr="00DA75F8">
        <w:rPr>
          <w:rtl/>
        </w:rPr>
        <w:t xml:space="preserve"> </w:t>
      </w:r>
      <w:r w:rsidRPr="00DA75F8">
        <w:rPr>
          <w:rFonts w:hint="eastAsia"/>
          <w:rtl/>
        </w:rPr>
        <w:t>الشريعة</w:t>
      </w:r>
      <w:r w:rsidRPr="00DA75F8">
        <w:rPr>
          <w:rtl/>
        </w:rPr>
        <w:t xml:space="preserve"> </w:t>
      </w:r>
      <w:r w:rsidRPr="00DA75F8">
        <w:rPr>
          <w:rFonts w:hint="eastAsia"/>
          <w:rtl/>
        </w:rPr>
        <w:t>ومبادئها</w:t>
      </w:r>
      <w:r w:rsidRPr="00DA75F8">
        <w:rPr>
          <w:rtl/>
        </w:rPr>
        <w:t xml:space="preserve"> </w:t>
      </w:r>
      <w:r w:rsidRPr="00DA75F8">
        <w:rPr>
          <w:rFonts w:hint="eastAsia"/>
          <w:rtl/>
        </w:rPr>
        <w:t>العلمية</w:t>
      </w:r>
      <w:r w:rsidRPr="00DA75F8">
        <w:rPr>
          <w:rtl/>
        </w:rPr>
        <w:t>.</w:t>
      </w:r>
    </w:p>
    <w:p w:rsidR="005F44B2" w:rsidRPr="00DA75F8" w:rsidRDefault="005F44B2" w:rsidP="00776FCE">
      <w:pPr>
        <w:pStyle w:val="Subtitle"/>
        <w:jc w:val="both"/>
        <w:rPr>
          <w:rtl/>
        </w:rPr>
      </w:pPr>
      <w:r w:rsidRPr="00DA75F8">
        <w:rPr>
          <w:rFonts w:hint="eastAsia"/>
          <w:rtl/>
        </w:rPr>
        <w:t>ويظهر</w:t>
      </w:r>
      <w:r w:rsidRPr="00DA75F8">
        <w:rPr>
          <w:rtl/>
        </w:rPr>
        <w:t xml:space="preserve"> </w:t>
      </w:r>
      <w:r w:rsidRPr="00DA75F8">
        <w:rPr>
          <w:rFonts w:hint="eastAsia"/>
          <w:rtl/>
        </w:rPr>
        <w:t>من</w:t>
      </w:r>
      <w:r w:rsidRPr="00DA75F8">
        <w:rPr>
          <w:rtl/>
        </w:rPr>
        <w:t xml:space="preserve"> </w:t>
      </w:r>
      <w:r w:rsidRPr="00DA75F8">
        <w:rPr>
          <w:rFonts w:hint="eastAsia"/>
          <w:rtl/>
        </w:rPr>
        <w:t>كل</w:t>
      </w:r>
      <w:r w:rsidRPr="00DA75F8">
        <w:rPr>
          <w:rtl/>
        </w:rPr>
        <w:t xml:space="preserve"> </w:t>
      </w:r>
      <w:r w:rsidRPr="00DA75F8">
        <w:rPr>
          <w:rFonts w:hint="eastAsia"/>
          <w:rtl/>
        </w:rPr>
        <w:t>هذه</w:t>
      </w:r>
      <w:r w:rsidRPr="00DA75F8">
        <w:rPr>
          <w:rtl/>
        </w:rPr>
        <w:t xml:space="preserve"> </w:t>
      </w:r>
      <w:r w:rsidRPr="00DA75F8">
        <w:rPr>
          <w:rFonts w:hint="eastAsia"/>
          <w:rtl/>
        </w:rPr>
        <w:t>النتائج</w:t>
      </w:r>
      <w:r w:rsidRPr="00DA75F8">
        <w:rPr>
          <w:rtl/>
        </w:rPr>
        <w:t xml:space="preserve"> </w:t>
      </w:r>
      <w:r w:rsidRPr="00DA75F8">
        <w:rPr>
          <w:rFonts w:hint="eastAsia"/>
          <w:rtl/>
        </w:rPr>
        <w:t>لتعريفات</w:t>
      </w:r>
      <w:r w:rsidRPr="00DA75F8">
        <w:rPr>
          <w:rtl/>
        </w:rPr>
        <w:t xml:space="preserve"> </w:t>
      </w:r>
      <w:r w:rsidRPr="00DA75F8">
        <w:rPr>
          <w:rFonts w:hint="eastAsia"/>
          <w:rtl/>
        </w:rPr>
        <w:t>المتأخرين</w:t>
      </w:r>
      <w:r w:rsidRPr="00DA75F8">
        <w:rPr>
          <w:rtl/>
        </w:rPr>
        <w:t xml:space="preserve"> </w:t>
      </w:r>
      <w:r w:rsidRPr="00DA75F8">
        <w:rPr>
          <w:rFonts w:hint="eastAsia"/>
          <w:rtl/>
        </w:rPr>
        <w:t>والمتقدمين</w:t>
      </w:r>
      <w:r w:rsidRPr="00DA75F8">
        <w:rPr>
          <w:rtl/>
        </w:rPr>
        <w:t xml:space="preserve"> </w:t>
      </w:r>
      <w:r w:rsidRPr="00DA75F8">
        <w:rPr>
          <w:rFonts w:hint="eastAsia"/>
          <w:rtl/>
        </w:rPr>
        <w:t>وابن</w:t>
      </w:r>
      <w:r w:rsidRPr="00DA75F8">
        <w:rPr>
          <w:rtl/>
        </w:rPr>
        <w:t xml:space="preserve"> </w:t>
      </w:r>
      <w:r w:rsidRPr="00DA75F8">
        <w:rPr>
          <w:rFonts w:hint="eastAsia"/>
          <w:rtl/>
        </w:rPr>
        <w:t>عابدين،</w:t>
      </w:r>
      <w:r w:rsidRPr="00DA75F8">
        <w:rPr>
          <w:rtl/>
        </w:rPr>
        <w:t xml:space="preserve"> </w:t>
      </w:r>
      <w:r w:rsidRPr="00DA75F8">
        <w:rPr>
          <w:rFonts w:hint="eastAsia"/>
          <w:rtl/>
        </w:rPr>
        <w:t>أنهم</w:t>
      </w:r>
      <w:r w:rsidRPr="00DA75F8">
        <w:rPr>
          <w:rtl/>
        </w:rPr>
        <w:t xml:space="preserve"> </w:t>
      </w:r>
      <w:r w:rsidRPr="00DA75F8">
        <w:rPr>
          <w:rFonts w:hint="eastAsia"/>
          <w:rtl/>
        </w:rPr>
        <w:t>كلهم</w:t>
      </w:r>
      <w:r w:rsidRPr="00DA75F8">
        <w:rPr>
          <w:rtl/>
        </w:rPr>
        <w:t xml:space="preserve"> </w:t>
      </w:r>
      <w:r w:rsidRPr="00DA75F8">
        <w:rPr>
          <w:rFonts w:hint="eastAsia"/>
          <w:rtl/>
        </w:rPr>
        <w:t>اتفقوا</w:t>
      </w:r>
      <w:r w:rsidRPr="00DA75F8">
        <w:rPr>
          <w:rtl/>
        </w:rPr>
        <w:t xml:space="preserve"> </w:t>
      </w:r>
      <w:r w:rsidRPr="00DA75F8">
        <w:rPr>
          <w:rFonts w:hint="eastAsia"/>
          <w:rtl/>
        </w:rPr>
        <w:t>على</w:t>
      </w:r>
      <w:r w:rsidRPr="00DA75F8">
        <w:rPr>
          <w:rtl/>
        </w:rPr>
        <w:t xml:space="preserve"> </w:t>
      </w:r>
      <w:r w:rsidRPr="00DA75F8">
        <w:rPr>
          <w:rFonts w:hint="eastAsia"/>
          <w:rtl/>
        </w:rPr>
        <w:t>المصلحة،</w:t>
      </w:r>
      <w:r w:rsidRPr="00DA75F8">
        <w:rPr>
          <w:rtl/>
        </w:rPr>
        <w:t xml:space="preserve"> </w:t>
      </w:r>
      <w:r w:rsidRPr="00DA75F8">
        <w:rPr>
          <w:rFonts w:hint="eastAsia"/>
          <w:rtl/>
        </w:rPr>
        <w:t>حيث</w:t>
      </w:r>
      <w:r w:rsidRPr="00DA75F8">
        <w:rPr>
          <w:rtl/>
        </w:rPr>
        <w:t xml:space="preserve"> </w:t>
      </w:r>
      <w:r w:rsidRPr="00DA75F8">
        <w:rPr>
          <w:rFonts w:hint="eastAsia"/>
          <w:rtl/>
        </w:rPr>
        <w:t>جعلوها</w:t>
      </w:r>
      <w:r w:rsidRPr="00DA75F8">
        <w:rPr>
          <w:rtl/>
        </w:rPr>
        <w:t xml:space="preserve"> </w:t>
      </w:r>
      <w:r w:rsidRPr="00DA75F8">
        <w:rPr>
          <w:rFonts w:hint="eastAsia"/>
          <w:rtl/>
        </w:rPr>
        <w:t>أساس</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ولكن</w:t>
      </w:r>
      <w:r w:rsidRPr="00DA75F8">
        <w:rPr>
          <w:rtl/>
        </w:rPr>
        <w:t xml:space="preserve"> </w:t>
      </w:r>
      <w:r w:rsidRPr="00DA75F8">
        <w:rPr>
          <w:rFonts w:hint="eastAsia"/>
          <w:rtl/>
        </w:rPr>
        <w:t>اختلف</w:t>
      </w:r>
      <w:r w:rsidRPr="00DA75F8">
        <w:rPr>
          <w:rtl/>
        </w:rPr>
        <w:t xml:space="preserve"> </w:t>
      </w:r>
      <w:r w:rsidRPr="00DA75F8">
        <w:rPr>
          <w:rFonts w:hint="eastAsia"/>
          <w:rtl/>
        </w:rPr>
        <w:t>المتقدمون</w:t>
      </w:r>
      <w:r w:rsidRPr="00DA75F8">
        <w:rPr>
          <w:rtl/>
        </w:rPr>
        <w:t xml:space="preserve"> </w:t>
      </w:r>
      <w:r w:rsidRPr="00DA75F8">
        <w:rPr>
          <w:rFonts w:hint="eastAsia"/>
          <w:rtl/>
        </w:rPr>
        <w:t>في</w:t>
      </w:r>
      <w:r w:rsidRPr="00DA75F8">
        <w:rPr>
          <w:rtl/>
        </w:rPr>
        <w:t xml:space="preserve"> </w:t>
      </w:r>
      <w:r w:rsidRPr="00DA75F8">
        <w:rPr>
          <w:rFonts w:hint="eastAsia"/>
          <w:rtl/>
        </w:rPr>
        <w:t>أخذ</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فمنهم</w:t>
      </w:r>
      <w:r w:rsidRPr="00DA75F8">
        <w:rPr>
          <w:rtl/>
        </w:rPr>
        <w:t xml:space="preserve"> </w:t>
      </w:r>
      <w:r w:rsidRPr="00DA75F8">
        <w:rPr>
          <w:rFonts w:hint="eastAsia"/>
          <w:rtl/>
        </w:rPr>
        <w:t>من</w:t>
      </w:r>
      <w:r w:rsidRPr="00DA75F8">
        <w:rPr>
          <w:rtl/>
        </w:rPr>
        <w:t xml:space="preserve"> </w:t>
      </w:r>
      <w:r w:rsidRPr="00DA75F8">
        <w:rPr>
          <w:rFonts w:hint="eastAsia"/>
          <w:rtl/>
        </w:rPr>
        <w:t>أخذ</w:t>
      </w:r>
      <w:r w:rsidRPr="00DA75F8">
        <w:rPr>
          <w:rtl/>
        </w:rPr>
        <w:t xml:space="preserve"> </w:t>
      </w:r>
      <w:r w:rsidRPr="00DA75F8">
        <w:rPr>
          <w:rFonts w:hint="eastAsia"/>
          <w:rtl/>
        </w:rPr>
        <w:t>بها</w:t>
      </w:r>
      <w:r w:rsidRPr="00DA75F8">
        <w:rPr>
          <w:rtl/>
        </w:rPr>
        <w:t xml:space="preserve"> </w:t>
      </w:r>
      <w:r w:rsidRPr="00DA75F8">
        <w:rPr>
          <w:rFonts w:hint="eastAsia"/>
          <w:rtl/>
        </w:rPr>
        <w:t>بوجه</w:t>
      </w:r>
      <w:r w:rsidRPr="00DA75F8">
        <w:rPr>
          <w:rtl/>
        </w:rPr>
        <w:t xml:space="preserve"> </w:t>
      </w:r>
      <w:r w:rsidRPr="00DA75F8">
        <w:rPr>
          <w:rFonts w:hint="eastAsia"/>
          <w:rtl/>
        </w:rPr>
        <w:t>خاص،</w:t>
      </w:r>
      <w:r w:rsidRPr="00DA75F8">
        <w:rPr>
          <w:rtl/>
        </w:rPr>
        <w:t xml:space="preserve"> </w:t>
      </w:r>
      <w:r w:rsidRPr="00DA75F8">
        <w:rPr>
          <w:rFonts w:hint="eastAsia"/>
          <w:rtl/>
        </w:rPr>
        <w:t>ومنهم</w:t>
      </w:r>
      <w:r w:rsidRPr="00DA75F8">
        <w:rPr>
          <w:rtl/>
        </w:rPr>
        <w:t xml:space="preserve"> </w:t>
      </w:r>
      <w:r w:rsidRPr="00DA75F8">
        <w:rPr>
          <w:rFonts w:hint="eastAsia"/>
          <w:rtl/>
        </w:rPr>
        <w:t>من</w:t>
      </w:r>
      <w:r w:rsidRPr="00DA75F8">
        <w:rPr>
          <w:rtl/>
        </w:rPr>
        <w:t xml:space="preserve"> </w:t>
      </w:r>
      <w:r w:rsidRPr="00DA75F8">
        <w:rPr>
          <w:rFonts w:hint="eastAsia"/>
          <w:rtl/>
        </w:rPr>
        <w:t>أخذ</w:t>
      </w:r>
      <w:r w:rsidRPr="00DA75F8">
        <w:rPr>
          <w:rtl/>
        </w:rPr>
        <w:t xml:space="preserve"> </w:t>
      </w:r>
      <w:r w:rsidRPr="00DA75F8">
        <w:rPr>
          <w:rFonts w:hint="eastAsia"/>
          <w:rtl/>
        </w:rPr>
        <w:t>بها</w:t>
      </w:r>
      <w:r w:rsidRPr="00DA75F8">
        <w:rPr>
          <w:rtl/>
        </w:rPr>
        <w:t xml:space="preserve"> </w:t>
      </w:r>
      <w:r w:rsidRPr="00DA75F8">
        <w:rPr>
          <w:rFonts w:hint="eastAsia"/>
          <w:rtl/>
        </w:rPr>
        <w:t>بوجه</w:t>
      </w:r>
      <w:r w:rsidRPr="00DA75F8">
        <w:rPr>
          <w:rtl/>
        </w:rPr>
        <w:t xml:space="preserve"> </w:t>
      </w:r>
      <w:r w:rsidRPr="00DA75F8">
        <w:rPr>
          <w:rFonts w:hint="eastAsia"/>
          <w:rtl/>
        </w:rPr>
        <w:t>عام،</w:t>
      </w:r>
      <w:r w:rsidRPr="00DA75F8">
        <w:rPr>
          <w:rtl/>
        </w:rPr>
        <w:t xml:space="preserve"> </w:t>
      </w:r>
      <w:r w:rsidRPr="00DA75F8">
        <w:rPr>
          <w:rFonts w:hint="eastAsia"/>
          <w:rtl/>
        </w:rPr>
        <w:t>غير</w:t>
      </w:r>
      <w:r w:rsidRPr="00DA75F8">
        <w:rPr>
          <w:rtl/>
        </w:rPr>
        <w:t xml:space="preserve"> </w:t>
      </w:r>
      <w:r w:rsidRPr="00DA75F8">
        <w:rPr>
          <w:rFonts w:hint="eastAsia"/>
          <w:rtl/>
        </w:rPr>
        <w:t>أن</w:t>
      </w:r>
      <w:r w:rsidRPr="00DA75F8">
        <w:rPr>
          <w:rtl/>
        </w:rPr>
        <w:t xml:space="preserve"> </w:t>
      </w:r>
      <w:r w:rsidRPr="00DA75F8">
        <w:rPr>
          <w:rFonts w:hint="eastAsia"/>
          <w:rtl/>
        </w:rPr>
        <w:t>المعاصرين</w:t>
      </w:r>
      <w:r w:rsidRPr="00DA75F8">
        <w:rPr>
          <w:rtl/>
        </w:rPr>
        <w:t xml:space="preserve"> </w:t>
      </w:r>
      <w:r w:rsidRPr="00DA75F8">
        <w:rPr>
          <w:rFonts w:hint="eastAsia"/>
          <w:rtl/>
        </w:rPr>
        <w:t>اتفقوا</w:t>
      </w:r>
      <w:r w:rsidRPr="00DA75F8">
        <w:rPr>
          <w:rtl/>
        </w:rPr>
        <w:t xml:space="preserve"> </w:t>
      </w:r>
      <w:r w:rsidRPr="00DA75F8">
        <w:rPr>
          <w:rFonts w:hint="eastAsia"/>
          <w:rtl/>
        </w:rPr>
        <w:t>على</w:t>
      </w:r>
      <w:r w:rsidRPr="00DA75F8">
        <w:rPr>
          <w:rtl/>
        </w:rPr>
        <w:t xml:space="preserve"> </w:t>
      </w:r>
      <w:r w:rsidRPr="00DA75F8">
        <w:rPr>
          <w:rFonts w:hint="eastAsia"/>
          <w:rtl/>
        </w:rPr>
        <w:t>أخذها</w:t>
      </w:r>
      <w:r w:rsidRPr="00DA75F8">
        <w:rPr>
          <w:rtl/>
        </w:rPr>
        <w:t xml:space="preserve"> </w:t>
      </w:r>
      <w:r w:rsidRPr="00DA75F8">
        <w:rPr>
          <w:rFonts w:hint="eastAsia"/>
          <w:rtl/>
        </w:rPr>
        <w:t>بوجه</w:t>
      </w:r>
      <w:r w:rsidRPr="00DA75F8">
        <w:rPr>
          <w:rtl/>
        </w:rPr>
        <w:t xml:space="preserve"> </w:t>
      </w:r>
      <w:r w:rsidRPr="00DA75F8">
        <w:rPr>
          <w:rFonts w:hint="eastAsia"/>
          <w:rtl/>
        </w:rPr>
        <w:t>عام،</w:t>
      </w:r>
      <w:r w:rsidRPr="00DA75F8">
        <w:rPr>
          <w:rtl/>
        </w:rPr>
        <w:t xml:space="preserve"> </w:t>
      </w:r>
      <w:r w:rsidRPr="00DA75F8">
        <w:rPr>
          <w:rFonts w:hint="eastAsia"/>
          <w:rtl/>
        </w:rPr>
        <w:t>ومعظم</w:t>
      </w:r>
      <w:r w:rsidRPr="00DA75F8">
        <w:rPr>
          <w:rtl/>
        </w:rPr>
        <w:t xml:space="preserve"> </w:t>
      </w:r>
      <w:r w:rsidRPr="00DA75F8">
        <w:rPr>
          <w:rFonts w:hint="eastAsia"/>
          <w:rtl/>
        </w:rPr>
        <w:t>تعريفات</w:t>
      </w:r>
      <w:r w:rsidRPr="00DA75F8">
        <w:rPr>
          <w:rtl/>
        </w:rPr>
        <w:t xml:space="preserve"> </w:t>
      </w:r>
      <w:r w:rsidRPr="00DA75F8">
        <w:rPr>
          <w:rFonts w:hint="eastAsia"/>
          <w:rtl/>
        </w:rPr>
        <w:t>هؤلاء</w:t>
      </w:r>
      <w:r w:rsidRPr="00DA75F8">
        <w:rPr>
          <w:rtl/>
        </w:rPr>
        <w:t xml:space="preserve"> </w:t>
      </w:r>
      <w:r w:rsidRPr="00DA75F8">
        <w:rPr>
          <w:rFonts w:hint="eastAsia"/>
          <w:rtl/>
        </w:rPr>
        <w:t>تدور</w:t>
      </w:r>
      <w:r w:rsidRPr="00DA75F8">
        <w:rPr>
          <w:rtl/>
        </w:rPr>
        <w:t xml:space="preserve"> </w:t>
      </w:r>
      <w:r w:rsidRPr="00DA75F8">
        <w:rPr>
          <w:rFonts w:hint="eastAsia"/>
          <w:rtl/>
        </w:rPr>
        <w:t>حول</w:t>
      </w:r>
      <w:r w:rsidRPr="00DA75F8">
        <w:rPr>
          <w:rtl/>
        </w:rPr>
        <w:t xml:space="preserve"> </w:t>
      </w:r>
      <w:r w:rsidRPr="00DA75F8">
        <w:rPr>
          <w:rFonts w:hint="eastAsia"/>
          <w:rtl/>
        </w:rPr>
        <w:t>المصلحة</w:t>
      </w:r>
      <w:r w:rsidRPr="00DA75F8">
        <w:rPr>
          <w:rtl/>
        </w:rPr>
        <w:t>.</w:t>
      </w:r>
    </w:p>
    <w:p w:rsidR="005F44B2" w:rsidRPr="00DA75F8" w:rsidRDefault="005F44B2" w:rsidP="00776FCE">
      <w:pPr>
        <w:pStyle w:val="Subtitle"/>
        <w:jc w:val="both"/>
        <w:rPr>
          <w:rtl/>
        </w:rPr>
      </w:pPr>
      <w:r w:rsidRPr="00DA75F8">
        <w:rPr>
          <w:rFonts w:hint="eastAsia"/>
          <w:rtl/>
        </w:rPr>
        <w:t>قد</w:t>
      </w:r>
      <w:r w:rsidRPr="00DA75F8">
        <w:rPr>
          <w:rtl/>
        </w:rPr>
        <w:t xml:space="preserve"> </w:t>
      </w:r>
      <w:r w:rsidRPr="00DA75F8">
        <w:rPr>
          <w:rFonts w:hint="eastAsia"/>
          <w:rtl/>
        </w:rPr>
        <w:t>ذكر</w:t>
      </w:r>
      <w:r w:rsidRPr="00DA75F8">
        <w:rPr>
          <w:rtl/>
        </w:rPr>
        <w:t xml:space="preserve"> </w:t>
      </w:r>
      <w:r w:rsidRPr="00DA75F8">
        <w:rPr>
          <w:rFonts w:hint="eastAsia"/>
          <w:rtl/>
        </w:rPr>
        <w:t>الباحث</w:t>
      </w:r>
      <w:r w:rsidRPr="00DA75F8">
        <w:rPr>
          <w:rtl/>
        </w:rPr>
        <w:t xml:space="preserve"> </w:t>
      </w:r>
      <w:r w:rsidRPr="00DA75F8">
        <w:rPr>
          <w:rFonts w:hint="eastAsia"/>
          <w:rtl/>
        </w:rPr>
        <w:t>في</w:t>
      </w:r>
      <w:r w:rsidRPr="00DA75F8">
        <w:rPr>
          <w:rtl/>
        </w:rPr>
        <w:t xml:space="preserve"> </w:t>
      </w:r>
      <w:r w:rsidRPr="00DA75F8">
        <w:rPr>
          <w:rFonts w:hint="eastAsia"/>
          <w:rtl/>
        </w:rPr>
        <w:t>هذه</w:t>
      </w:r>
      <w:r w:rsidRPr="00DA75F8">
        <w:rPr>
          <w:rtl/>
        </w:rPr>
        <w:t xml:space="preserve"> </w:t>
      </w:r>
      <w:r w:rsidRPr="00DA75F8">
        <w:rPr>
          <w:rFonts w:hint="eastAsia"/>
          <w:rtl/>
        </w:rPr>
        <w:t>الرسالة</w:t>
      </w:r>
      <w:r w:rsidRPr="00DA75F8">
        <w:rPr>
          <w:rtl/>
        </w:rPr>
        <w:t xml:space="preserve"> </w:t>
      </w:r>
      <w:r w:rsidRPr="00DA75F8">
        <w:rPr>
          <w:rFonts w:hint="eastAsia"/>
          <w:rtl/>
        </w:rPr>
        <w:t>قواعد</w:t>
      </w:r>
      <w:r w:rsidRPr="00DA75F8">
        <w:rPr>
          <w:rtl/>
        </w:rPr>
        <w:t xml:space="preserve"> </w:t>
      </w:r>
      <w:r w:rsidRPr="00DA75F8">
        <w:rPr>
          <w:rFonts w:hint="eastAsia"/>
          <w:rtl/>
        </w:rPr>
        <w:t>التنظيمات</w:t>
      </w:r>
      <w:r w:rsidRPr="00DA75F8">
        <w:rPr>
          <w:rtl/>
        </w:rPr>
        <w:t xml:space="preserve"> </w:t>
      </w:r>
      <w:r w:rsidRPr="00DA75F8">
        <w:rPr>
          <w:rFonts w:hint="eastAsia"/>
          <w:rtl/>
        </w:rPr>
        <w:t>ومدى</w:t>
      </w:r>
      <w:r w:rsidRPr="00DA75F8">
        <w:rPr>
          <w:rtl/>
        </w:rPr>
        <w:t xml:space="preserve"> </w:t>
      </w:r>
      <w:r w:rsidRPr="00DA75F8">
        <w:rPr>
          <w:rFonts w:hint="eastAsia"/>
          <w:rtl/>
        </w:rPr>
        <w:t>تأثرها</w:t>
      </w:r>
      <w:r w:rsidRPr="00DA75F8">
        <w:rPr>
          <w:rtl/>
        </w:rPr>
        <w:t xml:space="preserve"> </w:t>
      </w:r>
      <w:r w:rsidRPr="00DA75F8">
        <w:rPr>
          <w:rFonts w:hint="eastAsia"/>
          <w:rtl/>
        </w:rPr>
        <w:t>بآراء</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حيث</w:t>
      </w:r>
      <w:r w:rsidRPr="00DA75F8">
        <w:rPr>
          <w:rtl/>
        </w:rPr>
        <w:t xml:space="preserve"> </w:t>
      </w:r>
      <w:r w:rsidRPr="00DA75F8">
        <w:rPr>
          <w:rFonts w:hint="eastAsia"/>
          <w:rtl/>
        </w:rPr>
        <w:t>تحدّث</w:t>
      </w:r>
      <w:r w:rsidRPr="00DA75F8">
        <w:rPr>
          <w:rtl/>
        </w:rPr>
        <w:t xml:space="preserve"> </w:t>
      </w:r>
      <w:r w:rsidRPr="00DA75F8">
        <w:rPr>
          <w:rFonts w:hint="eastAsia"/>
          <w:rtl/>
        </w:rPr>
        <w:t>عن</w:t>
      </w:r>
      <w:r w:rsidRPr="00DA75F8">
        <w:rPr>
          <w:rtl/>
        </w:rPr>
        <w:t xml:space="preserve"> </w:t>
      </w:r>
      <w:r w:rsidRPr="00DA75F8">
        <w:rPr>
          <w:rFonts w:hint="eastAsia"/>
          <w:rtl/>
        </w:rPr>
        <w:t>حركات</w:t>
      </w:r>
      <w:r w:rsidRPr="00DA75F8">
        <w:rPr>
          <w:rtl/>
        </w:rPr>
        <w:t xml:space="preserve"> </w:t>
      </w:r>
      <w:r w:rsidRPr="00DA75F8">
        <w:rPr>
          <w:rFonts w:hint="eastAsia"/>
          <w:rtl/>
        </w:rPr>
        <w:t>الإصلاح</w:t>
      </w:r>
      <w:r w:rsidRPr="00DA75F8">
        <w:rPr>
          <w:rtl/>
        </w:rPr>
        <w:t xml:space="preserve"> </w:t>
      </w:r>
      <w:r w:rsidRPr="00DA75F8">
        <w:rPr>
          <w:rFonts w:hint="eastAsia"/>
          <w:rtl/>
        </w:rPr>
        <w:t>في</w:t>
      </w:r>
      <w:r w:rsidRPr="00DA75F8">
        <w:rPr>
          <w:rtl/>
        </w:rPr>
        <w:t xml:space="preserve"> </w:t>
      </w:r>
      <w:r w:rsidRPr="00DA75F8">
        <w:rPr>
          <w:rFonts w:hint="eastAsia"/>
          <w:rtl/>
        </w:rPr>
        <w:t>التنظيمات</w:t>
      </w:r>
      <w:r w:rsidRPr="00DA75F8">
        <w:rPr>
          <w:rtl/>
        </w:rPr>
        <w:t xml:space="preserve"> </w:t>
      </w:r>
      <w:r w:rsidRPr="00DA75F8">
        <w:rPr>
          <w:rFonts w:hint="eastAsia"/>
          <w:rtl/>
        </w:rPr>
        <w:t>وموقع</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في</w:t>
      </w:r>
      <w:r w:rsidRPr="00DA75F8">
        <w:rPr>
          <w:rtl/>
        </w:rPr>
        <w:t xml:space="preserve"> </w:t>
      </w:r>
      <w:r w:rsidRPr="00DA75F8">
        <w:rPr>
          <w:rFonts w:hint="eastAsia"/>
          <w:rtl/>
        </w:rPr>
        <w:t>هذا</w:t>
      </w:r>
      <w:r w:rsidRPr="00DA75F8">
        <w:rPr>
          <w:rtl/>
        </w:rPr>
        <w:t xml:space="preserve"> </w:t>
      </w:r>
      <w:r w:rsidRPr="00DA75F8">
        <w:rPr>
          <w:rFonts w:hint="eastAsia"/>
          <w:rtl/>
        </w:rPr>
        <w:t>الزمان</w:t>
      </w:r>
      <w:r w:rsidRPr="00DA75F8">
        <w:rPr>
          <w:rtl/>
        </w:rPr>
        <w:t xml:space="preserve"> </w:t>
      </w:r>
      <w:r w:rsidRPr="00DA75F8">
        <w:rPr>
          <w:rFonts w:hint="eastAsia"/>
          <w:rtl/>
        </w:rPr>
        <w:t>حيث</w:t>
      </w:r>
      <w:r w:rsidRPr="00DA75F8">
        <w:rPr>
          <w:rtl/>
        </w:rPr>
        <w:t xml:space="preserve"> </w:t>
      </w:r>
      <w:r w:rsidRPr="00DA75F8">
        <w:rPr>
          <w:rFonts w:hint="eastAsia"/>
          <w:rtl/>
        </w:rPr>
        <w:t>تجنّب</w:t>
      </w:r>
      <w:r w:rsidRPr="00DA75F8">
        <w:rPr>
          <w:rtl/>
        </w:rPr>
        <w:t xml:space="preserve"> </w:t>
      </w:r>
      <w:r w:rsidRPr="00DA75F8">
        <w:rPr>
          <w:rFonts w:hint="eastAsia"/>
          <w:rtl/>
        </w:rPr>
        <w:t>الحوادث</w:t>
      </w:r>
      <w:r w:rsidRPr="00DA75F8">
        <w:rPr>
          <w:rtl/>
        </w:rPr>
        <w:t xml:space="preserve"> </w:t>
      </w:r>
      <w:r w:rsidRPr="00DA75F8">
        <w:rPr>
          <w:rFonts w:hint="eastAsia"/>
          <w:rtl/>
        </w:rPr>
        <w:t>السياسية</w:t>
      </w:r>
      <w:r w:rsidRPr="00DA75F8">
        <w:rPr>
          <w:rtl/>
        </w:rPr>
        <w:t xml:space="preserve"> </w:t>
      </w:r>
      <w:r w:rsidRPr="00DA75F8">
        <w:rPr>
          <w:rFonts w:hint="eastAsia"/>
          <w:rtl/>
        </w:rPr>
        <w:t>ولم</w:t>
      </w:r>
      <w:r w:rsidRPr="00DA75F8">
        <w:rPr>
          <w:rtl/>
        </w:rPr>
        <w:t xml:space="preserve"> </w:t>
      </w:r>
      <w:r w:rsidRPr="00DA75F8">
        <w:rPr>
          <w:rFonts w:hint="eastAsia"/>
          <w:rtl/>
        </w:rPr>
        <w:t>يتدخّل،</w:t>
      </w:r>
      <w:r w:rsidRPr="00DA75F8">
        <w:rPr>
          <w:rtl/>
        </w:rPr>
        <w:t xml:space="preserve"> </w:t>
      </w:r>
      <w:r w:rsidRPr="00DA75F8">
        <w:rPr>
          <w:rFonts w:hint="eastAsia"/>
          <w:rtl/>
        </w:rPr>
        <w:t>ولم</w:t>
      </w:r>
      <w:r w:rsidRPr="00DA75F8">
        <w:rPr>
          <w:rtl/>
        </w:rPr>
        <w:t xml:space="preserve"> </w:t>
      </w:r>
      <w:r w:rsidRPr="00DA75F8">
        <w:rPr>
          <w:rFonts w:hint="eastAsia"/>
          <w:rtl/>
        </w:rPr>
        <w:t>يشاطرة</w:t>
      </w:r>
      <w:r w:rsidRPr="00DA75F8">
        <w:rPr>
          <w:rtl/>
        </w:rPr>
        <w:t xml:space="preserve"> </w:t>
      </w:r>
      <w:r w:rsidRPr="00DA75F8">
        <w:rPr>
          <w:rFonts w:hint="eastAsia"/>
          <w:rtl/>
        </w:rPr>
        <w:t>رأيه</w:t>
      </w:r>
      <w:r w:rsidRPr="00DA75F8">
        <w:rPr>
          <w:rtl/>
        </w:rPr>
        <w:t xml:space="preserve"> </w:t>
      </w:r>
      <w:r w:rsidRPr="00DA75F8">
        <w:rPr>
          <w:rFonts w:hint="eastAsia"/>
          <w:rtl/>
        </w:rPr>
        <w:t>أحدًا،</w:t>
      </w:r>
      <w:r w:rsidRPr="00DA75F8">
        <w:rPr>
          <w:rtl/>
        </w:rPr>
        <w:t xml:space="preserve"> </w:t>
      </w:r>
      <w:r w:rsidRPr="00DA75F8">
        <w:rPr>
          <w:rFonts w:hint="eastAsia"/>
          <w:rtl/>
        </w:rPr>
        <w:t>ولكن</w:t>
      </w:r>
      <w:r w:rsidRPr="00DA75F8">
        <w:rPr>
          <w:rtl/>
        </w:rPr>
        <w:t xml:space="preserve"> </w:t>
      </w:r>
      <w:r w:rsidRPr="00DA75F8">
        <w:rPr>
          <w:rFonts w:hint="eastAsia"/>
          <w:rtl/>
        </w:rPr>
        <w:t>أثّر</w:t>
      </w:r>
      <w:r w:rsidRPr="00DA75F8">
        <w:rPr>
          <w:rtl/>
        </w:rPr>
        <w:t xml:space="preserve"> </w:t>
      </w:r>
      <w:r w:rsidRPr="00DA75F8">
        <w:rPr>
          <w:rFonts w:hint="eastAsia"/>
          <w:rtl/>
        </w:rPr>
        <w:t>بآرائه</w:t>
      </w:r>
      <w:r w:rsidRPr="00DA75F8">
        <w:rPr>
          <w:rtl/>
        </w:rPr>
        <w:t xml:space="preserve"> </w:t>
      </w:r>
      <w:r w:rsidRPr="00DA75F8">
        <w:rPr>
          <w:rFonts w:hint="eastAsia"/>
          <w:rtl/>
        </w:rPr>
        <w:t>على</w:t>
      </w:r>
      <w:r w:rsidRPr="00DA75F8">
        <w:rPr>
          <w:rtl/>
        </w:rPr>
        <w:t xml:space="preserve"> </w:t>
      </w:r>
      <w:r w:rsidRPr="00DA75F8">
        <w:rPr>
          <w:rFonts w:hint="eastAsia"/>
          <w:rtl/>
        </w:rPr>
        <w:t>مجلة</w:t>
      </w:r>
      <w:r w:rsidRPr="00DA75F8">
        <w:rPr>
          <w:rtl/>
        </w:rPr>
        <w:t xml:space="preserve"> </w:t>
      </w:r>
      <w:r w:rsidRPr="00DA75F8">
        <w:rPr>
          <w:rFonts w:hint="eastAsia"/>
          <w:rtl/>
        </w:rPr>
        <w:t>الأحكام</w:t>
      </w:r>
      <w:r w:rsidRPr="00DA75F8">
        <w:rPr>
          <w:rtl/>
        </w:rPr>
        <w:t xml:space="preserve"> </w:t>
      </w:r>
      <w:r w:rsidRPr="00DA75F8">
        <w:rPr>
          <w:rFonts w:hint="eastAsia"/>
          <w:rtl/>
        </w:rPr>
        <w:t>العدلية</w:t>
      </w:r>
      <w:r w:rsidRPr="00DA75F8">
        <w:rPr>
          <w:rtl/>
        </w:rPr>
        <w:t xml:space="preserve"> </w:t>
      </w:r>
      <w:r w:rsidRPr="00DA75F8">
        <w:rPr>
          <w:rFonts w:hint="eastAsia"/>
          <w:rtl/>
        </w:rPr>
        <w:t>التي</w:t>
      </w:r>
      <w:r w:rsidRPr="00DA75F8">
        <w:rPr>
          <w:rtl/>
        </w:rPr>
        <w:t xml:space="preserve"> </w:t>
      </w:r>
      <w:r w:rsidRPr="00DA75F8">
        <w:rPr>
          <w:rFonts w:hint="eastAsia"/>
          <w:rtl/>
        </w:rPr>
        <w:t>كانت</w:t>
      </w:r>
      <w:r w:rsidRPr="00DA75F8">
        <w:rPr>
          <w:rtl/>
        </w:rPr>
        <w:t xml:space="preserve"> </w:t>
      </w:r>
      <w:r w:rsidRPr="00DA75F8">
        <w:rPr>
          <w:rFonts w:hint="eastAsia"/>
          <w:rtl/>
        </w:rPr>
        <w:t>أول</w:t>
      </w:r>
      <w:r w:rsidRPr="00DA75F8">
        <w:rPr>
          <w:rtl/>
        </w:rPr>
        <w:t xml:space="preserve"> </w:t>
      </w:r>
      <w:r w:rsidRPr="00DA75F8">
        <w:rPr>
          <w:rFonts w:hint="eastAsia"/>
          <w:rtl/>
        </w:rPr>
        <w:t>قانون</w:t>
      </w:r>
      <w:r w:rsidRPr="00DA75F8">
        <w:rPr>
          <w:rtl/>
        </w:rPr>
        <w:t xml:space="preserve"> </w:t>
      </w:r>
      <w:r w:rsidRPr="00DA75F8">
        <w:rPr>
          <w:rFonts w:hint="eastAsia"/>
          <w:rtl/>
        </w:rPr>
        <w:t>يعتمد</w:t>
      </w:r>
      <w:r w:rsidRPr="00DA75F8">
        <w:rPr>
          <w:rtl/>
        </w:rPr>
        <w:t xml:space="preserve"> </w:t>
      </w:r>
      <w:r w:rsidRPr="00DA75F8">
        <w:rPr>
          <w:rFonts w:hint="eastAsia"/>
          <w:rtl/>
        </w:rPr>
        <w:t>الشريعة</w:t>
      </w:r>
      <w:r w:rsidRPr="00DA75F8">
        <w:rPr>
          <w:rtl/>
        </w:rPr>
        <w:t xml:space="preserve"> </w:t>
      </w:r>
      <w:r w:rsidRPr="00DA75F8">
        <w:rPr>
          <w:rFonts w:hint="eastAsia"/>
          <w:rtl/>
        </w:rPr>
        <w:t>الإسلامية،</w:t>
      </w:r>
      <w:r w:rsidRPr="00DA75F8">
        <w:rPr>
          <w:rtl/>
        </w:rPr>
        <w:t xml:space="preserve"> </w:t>
      </w:r>
      <w:r w:rsidRPr="00DA75F8">
        <w:rPr>
          <w:rFonts w:hint="eastAsia"/>
          <w:rtl/>
        </w:rPr>
        <w:t>حيث</w:t>
      </w:r>
      <w:r w:rsidRPr="00DA75F8">
        <w:rPr>
          <w:rtl/>
        </w:rPr>
        <w:t xml:space="preserve"> </w:t>
      </w:r>
      <w:r w:rsidRPr="00DA75F8">
        <w:rPr>
          <w:rFonts w:hint="eastAsia"/>
          <w:rtl/>
        </w:rPr>
        <w:t>أُخذ</w:t>
      </w:r>
      <w:r w:rsidRPr="00DA75F8">
        <w:rPr>
          <w:rtl/>
        </w:rPr>
        <w:t xml:space="preserve"> 271 </w:t>
      </w:r>
      <w:r w:rsidRPr="00DA75F8">
        <w:rPr>
          <w:rFonts w:hint="eastAsia"/>
          <w:rtl/>
        </w:rPr>
        <w:t>مادة</w:t>
      </w:r>
      <w:r w:rsidRPr="00DA75F8">
        <w:rPr>
          <w:rtl/>
        </w:rPr>
        <w:t xml:space="preserve"> </w:t>
      </w:r>
      <w:r w:rsidRPr="00DA75F8">
        <w:rPr>
          <w:rFonts w:hint="eastAsia"/>
          <w:rtl/>
        </w:rPr>
        <w:t>من</w:t>
      </w:r>
      <w:r w:rsidRPr="00DA75F8">
        <w:rPr>
          <w:rtl/>
        </w:rPr>
        <w:t xml:space="preserve"> 1081 </w:t>
      </w:r>
      <w:r w:rsidRPr="00DA75F8">
        <w:rPr>
          <w:rFonts w:hint="eastAsia"/>
          <w:rtl/>
        </w:rPr>
        <w:t>مادة</w:t>
      </w:r>
      <w:r w:rsidRPr="00DA75F8">
        <w:rPr>
          <w:rtl/>
        </w:rPr>
        <w:t xml:space="preserve"> </w:t>
      </w:r>
      <w:r w:rsidRPr="00DA75F8">
        <w:rPr>
          <w:rFonts w:hint="eastAsia"/>
          <w:rtl/>
        </w:rPr>
        <w:t>في</w:t>
      </w:r>
      <w:r w:rsidRPr="00DA75F8">
        <w:rPr>
          <w:rtl/>
        </w:rPr>
        <w:t xml:space="preserve"> </w:t>
      </w:r>
      <w:r w:rsidRPr="00DA75F8">
        <w:rPr>
          <w:rFonts w:hint="eastAsia"/>
          <w:rtl/>
        </w:rPr>
        <w:t>المجلة</w:t>
      </w:r>
      <w:r w:rsidRPr="00DA75F8">
        <w:rPr>
          <w:rtl/>
        </w:rPr>
        <w:t xml:space="preserve"> </w:t>
      </w:r>
      <w:r w:rsidRPr="00DA75F8">
        <w:rPr>
          <w:rFonts w:hint="eastAsia"/>
          <w:rtl/>
        </w:rPr>
        <w:t>من</w:t>
      </w:r>
      <w:r w:rsidRPr="00DA75F8">
        <w:rPr>
          <w:rtl/>
        </w:rPr>
        <w:t xml:space="preserve"> </w:t>
      </w:r>
      <w:r w:rsidRPr="00DA75F8">
        <w:rPr>
          <w:rFonts w:hint="eastAsia"/>
          <w:rtl/>
        </w:rPr>
        <w:t>آراء</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w:t>
      </w:r>
    </w:p>
    <w:p w:rsidR="005F44B2" w:rsidRPr="00DA75F8" w:rsidRDefault="005F44B2" w:rsidP="00776FCE">
      <w:pPr>
        <w:pStyle w:val="Subtitle"/>
        <w:jc w:val="both"/>
        <w:rPr>
          <w:rtl/>
        </w:rPr>
      </w:pPr>
      <w:r w:rsidRPr="00DA75F8">
        <w:rPr>
          <w:rFonts w:hint="eastAsia"/>
          <w:rtl/>
        </w:rPr>
        <w:t>أيّد</w:t>
      </w:r>
      <w:r w:rsidRPr="00DA75F8">
        <w:rPr>
          <w:rtl/>
        </w:rPr>
        <w:t xml:space="preserve"> </w:t>
      </w:r>
      <w:r w:rsidRPr="00DA75F8">
        <w:rPr>
          <w:rFonts w:hint="eastAsia"/>
          <w:rtl/>
        </w:rPr>
        <w:t>الباحث</w:t>
      </w:r>
      <w:r w:rsidRPr="00DA75F8">
        <w:rPr>
          <w:rtl/>
        </w:rPr>
        <w:t xml:space="preserve"> </w:t>
      </w:r>
      <w:r w:rsidRPr="00DA75F8">
        <w:rPr>
          <w:rFonts w:hint="eastAsia"/>
          <w:rtl/>
        </w:rPr>
        <w:t>آراء</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في</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بذكر</w:t>
      </w:r>
      <w:r w:rsidRPr="00DA75F8">
        <w:rPr>
          <w:rtl/>
        </w:rPr>
        <w:t xml:space="preserve"> </w:t>
      </w:r>
      <w:r w:rsidRPr="00DA75F8">
        <w:rPr>
          <w:rFonts w:hint="eastAsia"/>
          <w:rtl/>
        </w:rPr>
        <w:t>التطبيقات</w:t>
      </w:r>
      <w:r w:rsidRPr="00DA75F8">
        <w:rPr>
          <w:rtl/>
        </w:rPr>
        <w:t xml:space="preserve"> </w:t>
      </w:r>
      <w:r w:rsidRPr="00DA75F8">
        <w:rPr>
          <w:rFonts w:hint="eastAsia"/>
          <w:rtl/>
        </w:rPr>
        <w:t>التي</w:t>
      </w:r>
      <w:r w:rsidRPr="00DA75F8">
        <w:rPr>
          <w:rtl/>
        </w:rPr>
        <w:t xml:space="preserve"> </w:t>
      </w:r>
      <w:r w:rsidRPr="00DA75F8">
        <w:rPr>
          <w:rFonts w:hint="eastAsia"/>
          <w:rtl/>
        </w:rPr>
        <w:t>أخذها</w:t>
      </w:r>
      <w:r w:rsidRPr="00DA75F8">
        <w:rPr>
          <w:rtl/>
        </w:rPr>
        <w:t xml:space="preserve"> </w:t>
      </w:r>
      <w:r w:rsidRPr="00DA75F8">
        <w:rPr>
          <w:rFonts w:hint="eastAsia"/>
          <w:rtl/>
        </w:rPr>
        <w:t>من</w:t>
      </w:r>
      <w:r w:rsidRPr="00DA75F8">
        <w:rPr>
          <w:rtl/>
        </w:rPr>
        <w:t xml:space="preserve"> </w:t>
      </w:r>
      <w:r w:rsidRPr="00DA75F8">
        <w:rPr>
          <w:rFonts w:hint="eastAsia"/>
          <w:rtl/>
        </w:rPr>
        <w:t>كتب</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ويظهر</w:t>
      </w:r>
      <w:r w:rsidRPr="00DA75F8">
        <w:rPr>
          <w:rtl/>
        </w:rPr>
        <w:t xml:space="preserve"> </w:t>
      </w:r>
      <w:r w:rsidRPr="00DA75F8">
        <w:rPr>
          <w:rFonts w:hint="eastAsia"/>
          <w:rtl/>
        </w:rPr>
        <w:t>في</w:t>
      </w:r>
      <w:r w:rsidRPr="00DA75F8">
        <w:rPr>
          <w:rtl/>
        </w:rPr>
        <w:t xml:space="preserve"> </w:t>
      </w:r>
      <w:r w:rsidRPr="00DA75F8">
        <w:rPr>
          <w:rFonts w:hint="eastAsia"/>
          <w:rtl/>
        </w:rPr>
        <w:t>ذهن</w:t>
      </w:r>
      <w:r w:rsidRPr="00DA75F8">
        <w:rPr>
          <w:rtl/>
        </w:rPr>
        <w:t xml:space="preserve"> </w:t>
      </w:r>
      <w:r w:rsidRPr="00DA75F8">
        <w:rPr>
          <w:rFonts w:hint="eastAsia"/>
          <w:rtl/>
        </w:rPr>
        <w:t>من</w:t>
      </w:r>
      <w:r w:rsidRPr="00DA75F8">
        <w:rPr>
          <w:rtl/>
        </w:rPr>
        <w:t xml:space="preserve"> </w:t>
      </w:r>
      <w:r w:rsidRPr="00DA75F8">
        <w:rPr>
          <w:rFonts w:hint="eastAsia"/>
          <w:rtl/>
        </w:rPr>
        <w:t>يقرأ</w:t>
      </w:r>
      <w:r w:rsidRPr="00DA75F8">
        <w:rPr>
          <w:rtl/>
        </w:rPr>
        <w:t xml:space="preserve"> </w:t>
      </w:r>
      <w:r w:rsidRPr="00DA75F8">
        <w:rPr>
          <w:rFonts w:hint="eastAsia"/>
          <w:rtl/>
        </w:rPr>
        <w:t>الرسالة</w:t>
      </w:r>
      <w:r w:rsidRPr="00DA75F8">
        <w:rPr>
          <w:rtl/>
        </w:rPr>
        <w:t xml:space="preserve"> </w:t>
      </w:r>
      <w:r w:rsidRPr="00DA75F8">
        <w:rPr>
          <w:rFonts w:hint="eastAsia"/>
          <w:rtl/>
        </w:rPr>
        <w:t>من</w:t>
      </w:r>
      <w:r w:rsidRPr="00DA75F8">
        <w:rPr>
          <w:rtl/>
        </w:rPr>
        <w:t xml:space="preserve"> </w:t>
      </w:r>
      <w:r w:rsidRPr="00DA75F8">
        <w:rPr>
          <w:rFonts w:hint="eastAsia"/>
          <w:rtl/>
        </w:rPr>
        <w:t>البداية</w:t>
      </w:r>
      <w:r w:rsidRPr="00DA75F8">
        <w:rPr>
          <w:rtl/>
        </w:rPr>
        <w:t xml:space="preserve"> </w:t>
      </w:r>
      <w:r w:rsidRPr="00DA75F8">
        <w:rPr>
          <w:rFonts w:hint="eastAsia"/>
          <w:rtl/>
        </w:rPr>
        <w:t>إلى</w:t>
      </w:r>
      <w:r w:rsidRPr="00DA75F8">
        <w:rPr>
          <w:rtl/>
        </w:rPr>
        <w:t xml:space="preserve"> </w:t>
      </w:r>
      <w:r w:rsidRPr="00DA75F8">
        <w:rPr>
          <w:rFonts w:hint="eastAsia"/>
          <w:rtl/>
        </w:rPr>
        <w:t>النهاية</w:t>
      </w:r>
      <w:r w:rsidRPr="00DA75F8">
        <w:rPr>
          <w:rtl/>
        </w:rPr>
        <w:t xml:space="preserve"> </w:t>
      </w:r>
      <w:r w:rsidRPr="00DA75F8">
        <w:rPr>
          <w:rFonts w:hint="eastAsia"/>
          <w:rtl/>
        </w:rPr>
        <w:t>أنّ</w:t>
      </w:r>
      <w:r w:rsidRPr="00DA75F8">
        <w:rPr>
          <w:rtl/>
        </w:rPr>
        <w:t xml:space="preserve"> </w:t>
      </w:r>
      <w:r w:rsidRPr="00DA75F8">
        <w:rPr>
          <w:rFonts w:hint="eastAsia"/>
          <w:rtl/>
        </w:rPr>
        <w:t>آراء</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تتواءم</w:t>
      </w:r>
      <w:r w:rsidRPr="00DA75F8">
        <w:rPr>
          <w:rtl/>
        </w:rPr>
        <w:t xml:space="preserve"> </w:t>
      </w:r>
      <w:r w:rsidRPr="00DA75F8">
        <w:rPr>
          <w:rFonts w:hint="eastAsia"/>
          <w:rtl/>
        </w:rPr>
        <w:t>مع</w:t>
      </w:r>
      <w:r w:rsidRPr="00DA75F8">
        <w:rPr>
          <w:rtl/>
        </w:rPr>
        <w:t xml:space="preserve"> </w:t>
      </w:r>
      <w:r w:rsidRPr="00DA75F8">
        <w:rPr>
          <w:rFonts w:hint="eastAsia"/>
          <w:rtl/>
        </w:rPr>
        <w:t>التطبيقات</w:t>
      </w:r>
      <w:r w:rsidRPr="00DA75F8">
        <w:rPr>
          <w:rtl/>
        </w:rPr>
        <w:t xml:space="preserve"> </w:t>
      </w:r>
      <w:r w:rsidRPr="00DA75F8">
        <w:rPr>
          <w:rFonts w:hint="eastAsia"/>
          <w:rtl/>
        </w:rPr>
        <w:t>التي</w:t>
      </w:r>
      <w:r w:rsidRPr="00DA75F8">
        <w:rPr>
          <w:rtl/>
        </w:rPr>
        <w:t xml:space="preserve"> </w:t>
      </w:r>
      <w:r w:rsidRPr="00DA75F8">
        <w:rPr>
          <w:rFonts w:hint="eastAsia"/>
          <w:rtl/>
        </w:rPr>
        <w:t>ذكرها</w:t>
      </w:r>
      <w:r w:rsidRPr="00DA75F8">
        <w:rPr>
          <w:rtl/>
        </w:rPr>
        <w:t xml:space="preserve"> </w:t>
      </w:r>
      <w:r w:rsidRPr="00DA75F8">
        <w:rPr>
          <w:rFonts w:hint="eastAsia"/>
          <w:rtl/>
        </w:rPr>
        <w:t>الباحث</w:t>
      </w:r>
      <w:r w:rsidRPr="00DA75F8">
        <w:rPr>
          <w:rtl/>
        </w:rPr>
        <w:t xml:space="preserve"> </w:t>
      </w:r>
      <w:r w:rsidRPr="00DA75F8">
        <w:rPr>
          <w:rFonts w:hint="eastAsia"/>
          <w:rtl/>
        </w:rPr>
        <w:t>في</w:t>
      </w:r>
      <w:r w:rsidRPr="00DA75F8">
        <w:rPr>
          <w:rtl/>
        </w:rPr>
        <w:t xml:space="preserve"> </w:t>
      </w:r>
      <w:r w:rsidRPr="00DA75F8">
        <w:rPr>
          <w:rFonts w:hint="eastAsia"/>
          <w:rtl/>
        </w:rPr>
        <w:t>الفصل</w:t>
      </w:r>
      <w:r w:rsidRPr="00DA75F8">
        <w:rPr>
          <w:rtl/>
        </w:rPr>
        <w:t xml:space="preserve"> </w:t>
      </w:r>
      <w:r w:rsidRPr="00DA75F8">
        <w:rPr>
          <w:rFonts w:hint="eastAsia"/>
          <w:rtl/>
        </w:rPr>
        <w:t>الأخير</w:t>
      </w:r>
      <w:r w:rsidRPr="00DA75F8">
        <w:rPr>
          <w:rtl/>
        </w:rPr>
        <w:t xml:space="preserve"> </w:t>
      </w:r>
      <w:r w:rsidRPr="00DA75F8">
        <w:rPr>
          <w:rFonts w:hint="eastAsia"/>
          <w:rtl/>
        </w:rPr>
        <w:t>من</w:t>
      </w:r>
      <w:r w:rsidRPr="00DA75F8">
        <w:rPr>
          <w:rtl/>
        </w:rPr>
        <w:t xml:space="preserve"> </w:t>
      </w:r>
      <w:r w:rsidRPr="00DA75F8">
        <w:rPr>
          <w:rFonts w:hint="eastAsia"/>
          <w:rtl/>
        </w:rPr>
        <w:t>الرسالة،</w:t>
      </w:r>
      <w:r w:rsidRPr="00DA75F8">
        <w:rPr>
          <w:rtl/>
        </w:rPr>
        <w:t xml:space="preserve"> </w:t>
      </w:r>
      <w:r w:rsidRPr="00DA75F8">
        <w:rPr>
          <w:rFonts w:hint="eastAsia"/>
          <w:rtl/>
        </w:rPr>
        <w:t>حيث</w:t>
      </w:r>
      <w:r w:rsidRPr="00DA75F8">
        <w:rPr>
          <w:rtl/>
        </w:rPr>
        <w:t xml:space="preserve"> </w:t>
      </w:r>
      <w:r w:rsidRPr="00DA75F8">
        <w:rPr>
          <w:rFonts w:hint="eastAsia"/>
          <w:rtl/>
        </w:rPr>
        <w:t>ذكر</w:t>
      </w:r>
      <w:r w:rsidRPr="00DA75F8">
        <w:rPr>
          <w:rtl/>
        </w:rPr>
        <w:t xml:space="preserve"> </w:t>
      </w:r>
      <w:r w:rsidRPr="00DA75F8">
        <w:rPr>
          <w:rFonts w:hint="eastAsia"/>
          <w:rtl/>
        </w:rPr>
        <w:t>عشرين</w:t>
      </w:r>
      <w:r w:rsidRPr="00DA75F8">
        <w:rPr>
          <w:rtl/>
        </w:rPr>
        <w:t xml:space="preserve"> </w:t>
      </w:r>
      <w:r w:rsidRPr="00DA75F8">
        <w:rPr>
          <w:rFonts w:hint="eastAsia"/>
          <w:rtl/>
        </w:rPr>
        <w:t>تطبيقًا</w:t>
      </w:r>
      <w:r w:rsidRPr="00DA75F8">
        <w:rPr>
          <w:rtl/>
        </w:rPr>
        <w:t xml:space="preserve"> </w:t>
      </w:r>
      <w:r w:rsidRPr="00DA75F8">
        <w:rPr>
          <w:rFonts w:hint="eastAsia"/>
          <w:rtl/>
        </w:rPr>
        <w:t>للسياسة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واكتفى</w:t>
      </w:r>
      <w:r w:rsidRPr="00DA75F8">
        <w:rPr>
          <w:rtl/>
        </w:rPr>
        <w:t xml:space="preserve"> </w:t>
      </w:r>
      <w:r w:rsidRPr="00DA75F8">
        <w:rPr>
          <w:rFonts w:hint="eastAsia"/>
          <w:rtl/>
        </w:rPr>
        <w:t>بهذا</w:t>
      </w:r>
      <w:r w:rsidRPr="00DA75F8">
        <w:rPr>
          <w:rtl/>
        </w:rPr>
        <w:t xml:space="preserve"> </w:t>
      </w:r>
      <w:r w:rsidRPr="00DA75F8">
        <w:rPr>
          <w:rFonts w:hint="eastAsia"/>
          <w:rtl/>
        </w:rPr>
        <w:t>العدد،</w:t>
      </w:r>
      <w:r w:rsidRPr="00DA75F8">
        <w:rPr>
          <w:rtl/>
        </w:rPr>
        <w:t xml:space="preserve"> </w:t>
      </w:r>
      <w:r w:rsidRPr="00DA75F8">
        <w:rPr>
          <w:rFonts w:hint="eastAsia"/>
          <w:rtl/>
        </w:rPr>
        <w:t>لأن</w:t>
      </w:r>
      <w:r w:rsidRPr="00DA75F8">
        <w:rPr>
          <w:rtl/>
        </w:rPr>
        <w:t xml:space="preserve"> </w:t>
      </w:r>
      <w:r w:rsidRPr="00DA75F8">
        <w:rPr>
          <w:rFonts w:hint="eastAsia"/>
          <w:rtl/>
        </w:rPr>
        <w:t>هذه</w:t>
      </w:r>
      <w:r w:rsidRPr="00DA75F8">
        <w:rPr>
          <w:rtl/>
        </w:rPr>
        <w:t xml:space="preserve"> </w:t>
      </w:r>
      <w:r w:rsidRPr="00DA75F8">
        <w:rPr>
          <w:rFonts w:hint="eastAsia"/>
          <w:rtl/>
        </w:rPr>
        <w:t>التطبيقات</w:t>
      </w:r>
      <w:r w:rsidRPr="00DA75F8">
        <w:rPr>
          <w:rtl/>
        </w:rPr>
        <w:t xml:space="preserve"> </w:t>
      </w:r>
      <w:r w:rsidRPr="00DA75F8">
        <w:rPr>
          <w:rFonts w:hint="eastAsia"/>
          <w:rtl/>
        </w:rPr>
        <w:t>تكفي</w:t>
      </w:r>
      <w:r w:rsidRPr="00DA75F8">
        <w:rPr>
          <w:rtl/>
        </w:rPr>
        <w:t xml:space="preserve"> </w:t>
      </w:r>
      <w:r w:rsidRPr="00DA75F8">
        <w:rPr>
          <w:rFonts w:hint="eastAsia"/>
          <w:rtl/>
        </w:rPr>
        <w:t>من</w:t>
      </w:r>
      <w:r w:rsidRPr="00DA75F8">
        <w:rPr>
          <w:rtl/>
        </w:rPr>
        <w:t xml:space="preserve"> </w:t>
      </w:r>
      <w:r w:rsidRPr="00DA75F8">
        <w:rPr>
          <w:rFonts w:hint="eastAsia"/>
          <w:rtl/>
        </w:rPr>
        <w:t>ناحية</w:t>
      </w:r>
      <w:r w:rsidRPr="00DA75F8">
        <w:rPr>
          <w:rtl/>
        </w:rPr>
        <w:t xml:space="preserve"> </w:t>
      </w:r>
      <w:r w:rsidRPr="00DA75F8">
        <w:rPr>
          <w:rFonts w:hint="eastAsia"/>
          <w:rtl/>
        </w:rPr>
        <w:t>الوضوح،</w:t>
      </w:r>
      <w:r w:rsidRPr="00DA75F8">
        <w:rPr>
          <w:rtl/>
        </w:rPr>
        <w:t xml:space="preserve"> </w:t>
      </w:r>
      <w:r w:rsidRPr="00DA75F8">
        <w:rPr>
          <w:rFonts w:hint="eastAsia"/>
          <w:rtl/>
        </w:rPr>
        <w:t>وناحية</w:t>
      </w:r>
      <w:r w:rsidRPr="00DA75F8">
        <w:rPr>
          <w:rtl/>
        </w:rPr>
        <w:t xml:space="preserve"> </w:t>
      </w:r>
      <w:r w:rsidRPr="00DA75F8">
        <w:rPr>
          <w:rFonts w:hint="eastAsia"/>
          <w:rtl/>
        </w:rPr>
        <w:t>العدد،</w:t>
      </w:r>
      <w:r w:rsidRPr="00DA75F8">
        <w:rPr>
          <w:rtl/>
        </w:rPr>
        <w:t xml:space="preserve"> </w:t>
      </w:r>
      <w:r w:rsidRPr="00DA75F8">
        <w:rPr>
          <w:rFonts w:hint="eastAsia"/>
          <w:rtl/>
        </w:rPr>
        <w:t>وناحية</w:t>
      </w:r>
      <w:r w:rsidRPr="00DA75F8">
        <w:rPr>
          <w:rtl/>
        </w:rPr>
        <w:t xml:space="preserve"> </w:t>
      </w:r>
      <w:r w:rsidRPr="00DA75F8">
        <w:rPr>
          <w:rFonts w:hint="eastAsia"/>
          <w:rtl/>
        </w:rPr>
        <w:t>موافقتها</w:t>
      </w:r>
      <w:r w:rsidRPr="00DA75F8">
        <w:rPr>
          <w:rtl/>
        </w:rPr>
        <w:t xml:space="preserve"> </w:t>
      </w:r>
      <w:r w:rsidRPr="00DA75F8">
        <w:rPr>
          <w:rFonts w:hint="eastAsia"/>
          <w:rtl/>
        </w:rPr>
        <w:t>لقول</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عن</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w:t>
      </w:r>
    </w:p>
    <w:p w:rsidR="005F44B2" w:rsidRPr="00DA75F8" w:rsidRDefault="005F44B2" w:rsidP="00776FCE">
      <w:pPr>
        <w:pStyle w:val="Subtitle"/>
        <w:jc w:val="both"/>
        <w:rPr>
          <w:rtl/>
        </w:rPr>
      </w:pPr>
      <w:r w:rsidRPr="00DA75F8">
        <w:rPr>
          <w:rFonts w:hint="eastAsia"/>
          <w:rtl/>
        </w:rPr>
        <w:t>وقد</w:t>
      </w:r>
      <w:r w:rsidRPr="00DA75F8">
        <w:rPr>
          <w:rtl/>
        </w:rPr>
        <w:t xml:space="preserve"> </w:t>
      </w:r>
      <w:r w:rsidRPr="00DA75F8">
        <w:rPr>
          <w:rFonts w:hint="eastAsia"/>
          <w:rtl/>
        </w:rPr>
        <w:t>ذكر</w:t>
      </w:r>
      <w:r w:rsidRPr="00DA75F8">
        <w:rPr>
          <w:rtl/>
        </w:rPr>
        <w:t xml:space="preserve"> </w:t>
      </w:r>
      <w:r w:rsidRPr="00DA75F8">
        <w:rPr>
          <w:rFonts w:hint="eastAsia"/>
          <w:rtl/>
        </w:rPr>
        <w:t>الباحث</w:t>
      </w:r>
      <w:r w:rsidRPr="00DA75F8">
        <w:rPr>
          <w:rtl/>
        </w:rPr>
        <w:t xml:space="preserve"> </w:t>
      </w:r>
      <w:r w:rsidRPr="00DA75F8">
        <w:rPr>
          <w:rFonts w:hint="eastAsia"/>
          <w:rtl/>
        </w:rPr>
        <w:t>هذه</w:t>
      </w:r>
      <w:r w:rsidRPr="00DA75F8">
        <w:rPr>
          <w:rtl/>
        </w:rPr>
        <w:t xml:space="preserve"> </w:t>
      </w:r>
      <w:r w:rsidRPr="00DA75F8">
        <w:rPr>
          <w:rFonts w:hint="eastAsia"/>
          <w:rtl/>
        </w:rPr>
        <w:t>النتائج</w:t>
      </w:r>
      <w:r w:rsidRPr="00DA75F8">
        <w:rPr>
          <w:rtl/>
        </w:rPr>
        <w:t xml:space="preserve"> </w:t>
      </w:r>
      <w:r w:rsidRPr="00DA75F8">
        <w:rPr>
          <w:rFonts w:hint="eastAsia"/>
          <w:rtl/>
        </w:rPr>
        <w:t>التي</w:t>
      </w:r>
      <w:r w:rsidRPr="00DA75F8">
        <w:rPr>
          <w:rtl/>
        </w:rPr>
        <w:t xml:space="preserve"> </w:t>
      </w:r>
      <w:r w:rsidRPr="00DA75F8">
        <w:rPr>
          <w:rFonts w:hint="eastAsia"/>
          <w:rtl/>
        </w:rPr>
        <w:t>وصل</w:t>
      </w:r>
      <w:r w:rsidRPr="00DA75F8">
        <w:rPr>
          <w:rtl/>
        </w:rPr>
        <w:t xml:space="preserve"> </w:t>
      </w:r>
      <w:r w:rsidRPr="00DA75F8">
        <w:rPr>
          <w:rFonts w:hint="eastAsia"/>
          <w:rtl/>
        </w:rPr>
        <w:t>إليها</w:t>
      </w:r>
      <w:r w:rsidRPr="00DA75F8">
        <w:rPr>
          <w:rtl/>
        </w:rPr>
        <w:t xml:space="preserve"> </w:t>
      </w:r>
      <w:r w:rsidRPr="00DA75F8">
        <w:rPr>
          <w:rFonts w:hint="eastAsia"/>
          <w:rtl/>
        </w:rPr>
        <w:t>خلال</w:t>
      </w:r>
      <w:r w:rsidRPr="00DA75F8">
        <w:rPr>
          <w:rtl/>
        </w:rPr>
        <w:t xml:space="preserve"> </w:t>
      </w:r>
      <w:r w:rsidRPr="00DA75F8">
        <w:rPr>
          <w:rFonts w:hint="eastAsia"/>
          <w:rtl/>
        </w:rPr>
        <w:t>دراسته</w:t>
      </w:r>
      <w:r w:rsidRPr="00DA75F8">
        <w:rPr>
          <w:rtl/>
        </w:rPr>
        <w:t xml:space="preserve"> </w:t>
      </w:r>
      <w:r w:rsidRPr="00DA75F8">
        <w:rPr>
          <w:rFonts w:hint="eastAsia"/>
          <w:rtl/>
        </w:rPr>
        <w:t>ولكن</w:t>
      </w:r>
      <w:r w:rsidRPr="00DA75F8">
        <w:rPr>
          <w:rtl/>
        </w:rPr>
        <w:t xml:space="preserve"> </w:t>
      </w:r>
      <w:r w:rsidRPr="00DA75F8">
        <w:rPr>
          <w:rFonts w:hint="eastAsia"/>
          <w:rtl/>
        </w:rPr>
        <w:t>أهم</w:t>
      </w:r>
      <w:r w:rsidRPr="00DA75F8">
        <w:rPr>
          <w:rtl/>
        </w:rPr>
        <w:t xml:space="preserve"> </w:t>
      </w:r>
      <w:r w:rsidRPr="00DA75F8">
        <w:rPr>
          <w:rFonts w:hint="eastAsia"/>
          <w:rtl/>
        </w:rPr>
        <w:t>نتيجة</w:t>
      </w:r>
      <w:r w:rsidRPr="00DA75F8">
        <w:rPr>
          <w:rtl/>
        </w:rPr>
        <w:t xml:space="preserve"> </w:t>
      </w:r>
      <w:r w:rsidRPr="00DA75F8">
        <w:rPr>
          <w:rFonts w:hint="eastAsia"/>
          <w:rtl/>
        </w:rPr>
        <w:t>عند</w:t>
      </w:r>
      <w:r w:rsidRPr="00DA75F8">
        <w:rPr>
          <w:rtl/>
        </w:rPr>
        <w:t xml:space="preserve"> </w:t>
      </w:r>
      <w:r w:rsidRPr="00DA75F8">
        <w:rPr>
          <w:rFonts w:hint="eastAsia"/>
          <w:rtl/>
        </w:rPr>
        <w:t>الباحث</w:t>
      </w:r>
      <w:r w:rsidRPr="00DA75F8">
        <w:rPr>
          <w:rtl/>
        </w:rPr>
        <w:t xml:space="preserve"> </w:t>
      </w:r>
      <w:r w:rsidRPr="00DA75F8">
        <w:rPr>
          <w:rFonts w:hint="eastAsia"/>
          <w:rtl/>
        </w:rPr>
        <w:t>مختلفة</w:t>
      </w:r>
      <w:r w:rsidRPr="00DA75F8">
        <w:rPr>
          <w:rtl/>
        </w:rPr>
        <w:t xml:space="preserve"> </w:t>
      </w:r>
      <w:r w:rsidRPr="00DA75F8">
        <w:rPr>
          <w:rFonts w:hint="eastAsia"/>
          <w:rtl/>
        </w:rPr>
        <w:t>وهي</w:t>
      </w:r>
      <w:r w:rsidRPr="00DA75F8">
        <w:rPr>
          <w:rtl/>
        </w:rPr>
        <w:t xml:space="preserve"> </w:t>
      </w:r>
      <w:r w:rsidRPr="00DA75F8">
        <w:rPr>
          <w:rFonts w:hint="eastAsia"/>
          <w:rtl/>
        </w:rPr>
        <w:t>كما</w:t>
      </w:r>
      <w:r w:rsidRPr="00DA75F8">
        <w:rPr>
          <w:rtl/>
        </w:rPr>
        <w:t xml:space="preserve"> </w:t>
      </w:r>
      <w:r w:rsidRPr="00DA75F8">
        <w:rPr>
          <w:rFonts w:hint="eastAsia"/>
          <w:rtl/>
        </w:rPr>
        <w:t>يلي</w:t>
      </w:r>
      <w:r w:rsidRPr="00DA75F8">
        <w:rPr>
          <w:rtl/>
        </w:rPr>
        <w:t xml:space="preserve">: </w:t>
      </w:r>
    </w:p>
    <w:p w:rsidR="005F44B2" w:rsidRPr="00DA75F8" w:rsidRDefault="005F44B2" w:rsidP="009016E9">
      <w:pPr>
        <w:pStyle w:val="Subtitle"/>
        <w:numPr>
          <w:ilvl w:val="0"/>
          <w:numId w:val="0"/>
        </w:numPr>
        <w:jc w:val="both"/>
        <w:rPr>
          <w:rtl/>
        </w:rPr>
      </w:pPr>
      <w:r w:rsidRPr="00DA75F8">
        <w:rPr>
          <w:rFonts w:hint="eastAsia"/>
          <w:rtl/>
        </w:rPr>
        <w:t>من</w:t>
      </w:r>
      <w:r w:rsidRPr="00DA75F8">
        <w:rPr>
          <w:rtl/>
        </w:rPr>
        <w:t xml:space="preserve"> </w:t>
      </w:r>
      <w:r w:rsidRPr="00DA75F8">
        <w:rPr>
          <w:rFonts w:hint="eastAsia"/>
          <w:rtl/>
        </w:rPr>
        <w:t>المعروف</w:t>
      </w:r>
      <w:r w:rsidRPr="00DA75F8">
        <w:rPr>
          <w:rtl/>
        </w:rPr>
        <w:t xml:space="preserve"> </w:t>
      </w:r>
      <w:r w:rsidRPr="00DA75F8">
        <w:rPr>
          <w:rFonts w:hint="eastAsia"/>
          <w:rtl/>
        </w:rPr>
        <w:t>أن</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لم</w:t>
      </w:r>
      <w:r w:rsidRPr="00DA75F8">
        <w:rPr>
          <w:rtl/>
        </w:rPr>
        <w:t xml:space="preserve"> </w:t>
      </w:r>
      <w:r w:rsidRPr="00DA75F8">
        <w:rPr>
          <w:rFonts w:hint="eastAsia"/>
          <w:rtl/>
        </w:rPr>
        <w:t>يكتب</w:t>
      </w:r>
      <w:r w:rsidRPr="00DA75F8">
        <w:rPr>
          <w:rtl/>
        </w:rPr>
        <w:t xml:space="preserve"> </w:t>
      </w:r>
      <w:r w:rsidRPr="00DA75F8">
        <w:rPr>
          <w:rFonts w:hint="eastAsia"/>
          <w:rtl/>
        </w:rPr>
        <w:t>كتابا</w:t>
      </w:r>
      <w:r w:rsidRPr="00DA75F8">
        <w:rPr>
          <w:rtl/>
        </w:rPr>
        <w:t xml:space="preserve"> </w:t>
      </w:r>
      <w:r w:rsidRPr="00DA75F8">
        <w:rPr>
          <w:rFonts w:hint="eastAsia"/>
          <w:rtl/>
        </w:rPr>
        <w:t>خاصا</w:t>
      </w:r>
      <w:r w:rsidRPr="00DA75F8">
        <w:rPr>
          <w:rtl/>
        </w:rPr>
        <w:t xml:space="preserve"> </w:t>
      </w:r>
      <w:r w:rsidRPr="00DA75F8">
        <w:rPr>
          <w:rFonts w:hint="eastAsia"/>
          <w:rtl/>
        </w:rPr>
        <w:t>في</w:t>
      </w:r>
      <w:r w:rsidRPr="00DA75F8">
        <w:rPr>
          <w:rtl/>
        </w:rPr>
        <w:t xml:space="preserve"> </w:t>
      </w:r>
      <w:r w:rsidRPr="00DA75F8">
        <w:rPr>
          <w:rFonts w:hint="eastAsia"/>
          <w:rtl/>
        </w:rPr>
        <w:t>علم</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ومع</w:t>
      </w:r>
      <w:r w:rsidRPr="00DA75F8">
        <w:rPr>
          <w:rtl/>
        </w:rPr>
        <w:t xml:space="preserve"> </w:t>
      </w:r>
      <w:r w:rsidRPr="00DA75F8">
        <w:rPr>
          <w:rFonts w:hint="eastAsia"/>
          <w:rtl/>
        </w:rPr>
        <w:t>هذا</w:t>
      </w:r>
      <w:r w:rsidRPr="00DA75F8">
        <w:rPr>
          <w:rtl/>
        </w:rPr>
        <w:t xml:space="preserve"> </w:t>
      </w:r>
      <w:r w:rsidRPr="00DA75F8">
        <w:rPr>
          <w:rFonts w:hint="eastAsia"/>
          <w:rtl/>
        </w:rPr>
        <w:t>ذكر</w:t>
      </w:r>
      <w:r w:rsidRPr="00DA75F8">
        <w:rPr>
          <w:rtl/>
        </w:rPr>
        <w:t xml:space="preserve"> </w:t>
      </w:r>
      <w:r w:rsidRPr="00DA75F8">
        <w:rPr>
          <w:rFonts w:hint="eastAsia"/>
          <w:rtl/>
        </w:rPr>
        <w:t>تعريفها</w:t>
      </w:r>
      <w:r w:rsidRPr="00DA75F8">
        <w:rPr>
          <w:rtl/>
        </w:rPr>
        <w:t xml:space="preserve"> </w:t>
      </w:r>
      <w:r w:rsidRPr="00DA75F8">
        <w:rPr>
          <w:rFonts w:hint="eastAsia"/>
          <w:rtl/>
        </w:rPr>
        <w:t>وعرّفها</w:t>
      </w:r>
      <w:r w:rsidRPr="00DA75F8">
        <w:rPr>
          <w:rtl/>
        </w:rPr>
        <w:t xml:space="preserve"> </w:t>
      </w:r>
      <w:r w:rsidRPr="00DA75F8">
        <w:rPr>
          <w:rFonts w:hint="eastAsia"/>
          <w:rtl/>
        </w:rPr>
        <w:t>مرة</w:t>
      </w:r>
      <w:r w:rsidRPr="00DA75F8">
        <w:rPr>
          <w:rtl/>
        </w:rPr>
        <w:t xml:space="preserve"> </w:t>
      </w:r>
      <w:r w:rsidRPr="00DA75F8">
        <w:rPr>
          <w:rFonts w:hint="eastAsia"/>
          <w:rtl/>
        </w:rPr>
        <w:t>بشكل</w:t>
      </w:r>
      <w:r w:rsidRPr="00DA75F8">
        <w:rPr>
          <w:rtl/>
        </w:rPr>
        <w:t xml:space="preserve"> </w:t>
      </w:r>
      <w:r w:rsidRPr="00DA75F8">
        <w:rPr>
          <w:rFonts w:hint="eastAsia"/>
          <w:rtl/>
        </w:rPr>
        <w:t>خاص</w:t>
      </w:r>
      <w:r w:rsidRPr="00DA75F8">
        <w:rPr>
          <w:rtl/>
        </w:rPr>
        <w:t xml:space="preserve"> </w:t>
      </w:r>
      <w:r w:rsidRPr="00DA75F8">
        <w:rPr>
          <w:rFonts w:hint="eastAsia"/>
          <w:rtl/>
        </w:rPr>
        <w:t>حيث</w:t>
      </w:r>
      <w:r w:rsidRPr="00DA75F8">
        <w:rPr>
          <w:rtl/>
        </w:rPr>
        <w:t xml:space="preserve"> </w:t>
      </w:r>
      <w:r w:rsidRPr="00DA75F8">
        <w:rPr>
          <w:rFonts w:hint="eastAsia"/>
          <w:rtl/>
        </w:rPr>
        <w:t>قصرها</w:t>
      </w:r>
      <w:r w:rsidRPr="00DA75F8">
        <w:rPr>
          <w:rtl/>
        </w:rPr>
        <w:t xml:space="preserve"> </w:t>
      </w:r>
      <w:r w:rsidRPr="00DA75F8">
        <w:rPr>
          <w:rFonts w:hint="eastAsia"/>
          <w:rtl/>
        </w:rPr>
        <w:t>في</w:t>
      </w:r>
      <w:r w:rsidRPr="00DA75F8">
        <w:rPr>
          <w:rtl/>
        </w:rPr>
        <w:t xml:space="preserve"> </w:t>
      </w:r>
      <w:r w:rsidRPr="00DA75F8">
        <w:rPr>
          <w:rFonts w:hint="eastAsia"/>
          <w:rtl/>
        </w:rPr>
        <w:t>مجال</w:t>
      </w:r>
      <w:r w:rsidRPr="00DA75F8">
        <w:rPr>
          <w:rtl/>
        </w:rPr>
        <w:t xml:space="preserve"> </w:t>
      </w:r>
      <w:r w:rsidRPr="00DA75F8">
        <w:rPr>
          <w:rFonts w:hint="eastAsia"/>
          <w:rtl/>
        </w:rPr>
        <w:t>العقوبات</w:t>
      </w:r>
      <w:r w:rsidRPr="00DA75F8">
        <w:rPr>
          <w:rtl/>
        </w:rPr>
        <w:t xml:space="preserve"> </w:t>
      </w:r>
      <w:r w:rsidRPr="00DA75F8">
        <w:rPr>
          <w:rFonts w:hint="eastAsia"/>
          <w:rtl/>
        </w:rPr>
        <w:t>والجنايات</w:t>
      </w:r>
      <w:r w:rsidRPr="00DA75F8">
        <w:rPr>
          <w:rtl/>
        </w:rPr>
        <w:t xml:space="preserve"> </w:t>
      </w:r>
      <w:r w:rsidRPr="00DA75F8">
        <w:rPr>
          <w:rFonts w:hint="eastAsia"/>
          <w:rtl/>
        </w:rPr>
        <w:t>بالشرع</w:t>
      </w:r>
      <w:r w:rsidRPr="00DA75F8">
        <w:rPr>
          <w:rtl/>
        </w:rPr>
        <w:t xml:space="preserve"> </w:t>
      </w:r>
      <w:r w:rsidRPr="00DA75F8">
        <w:rPr>
          <w:rFonts w:hint="eastAsia"/>
          <w:rtl/>
        </w:rPr>
        <w:t>المغلظ،</w:t>
      </w:r>
      <w:r w:rsidRPr="00DA75F8">
        <w:rPr>
          <w:rtl/>
        </w:rPr>
        <w:t xml:space="preserve"> </w:t>
      </w:r>
      <w:r w:rsidRPr="00DA75F8">
        <w:rPr>
          <w:rFonts w:hint="eastAsia"/>
          <w:rtl/>
        </w:rPr>
        <w:t>وعرفها</w:t>
      </w:r>
      <w:r w:rsidRPr="00DA75F8">
        <w:rPr>
          <w:rtl/>
        </w:rPr>
        <w:t xml:space="preserve"> </w:t>
      </w:r>
      <w:r w:rsidRPr="00DA75F8">
        <w:rPr>
          <w:rFonts w:hint="eastAsia"/>
          <w:rtl/>
        </w:rPr>
        <w:t>مرة</w:t>
      </w:r>
      <w:r w:rsidRPr="00DA75F8">
        <w:rPr>
          <w:rtl/>
        </w:rPr>
        <w:t xml:space="preserve"> </w:t>
      </w:r>
      <w:r w:rsidRPr="00DA75F8">
        <w:rPr>
          <w:rFonts w:hint="eastAsia"/>
          <w:rtl/>
        </w:rPr>
        <w:t>بشكل</w:t>
      </w:r>
      <w:r w:rsidRPr="00DA75F8">
        <w:rPr>
          <w:rtl/>
        </w:rPr>
        <w:t xml:space="preserve"> </w:t>
      </w:r>
      <w:r w:rsidRPr="00DA75F8">
        <w:rPr>
          <w:rFonts w:hint="eastAsia"/>
          <w:rtl/>
        </w:rPr>
        <w:t>عام</w:t>
      </w:r>
      <w:r w:rsidRPr="00DA75F8">
        <w:rPr>
          <w:rtl/>
        </w:rPr>
        <w:t xml:space="preserve"> </w:t>
      </w:r>
      <w:r w:rsidRPr="00DA75F8">
        <w:rPr>
          <w:rFonts w:hint="eastAsia"/>
          <w:rtl/>
        </w:rPr>
        <w:t>حيث</w:t>
      </w:r>
      <w:r w:rsidRPr="00DA75F8">
        <w:rPr>
          <w:rtl/>
        </w:rPr>
        <w:t xml:space="preserve"> </w:t>
      </w:r>
      <w:r w:rsidRPr="00DA75F8">
        <w:rPr>
          <w:rFonts w:hint="eastAsia"/>
          <w:rtl/>
        </w:rPr>
        <w:t>تشمل</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جميع</w:t>
      </w:r>
      <w:r w:rsidRPr="00DA75F8">
        <w:rPr>
          <w:rtl/>
        </w:rPr>
        <w:t xml:space="preserve"> </w:t>
      </w:r>
      <w:r w:rsidRPr="00DA75F8">
        <w:rPr>
          <w:rFonts w:hint="eastAsia"/>
          <w:rtl/>
        </w:rPr>
        <w:t>مجالات</w:t>
      </w:r>
      <w:r w:rsidRPr="00DA75F8">
        <w:rPr>
          <w:rtl/>
        </w:rPr>
        <w:t xml:space="preserve"> </w:t>
      </w:r>
      <w:r w:rsidRPr="00DA75F8">
        <w:rPr>
          <w:rFonts w:hint="eastAsia"/>
          <w:rtl/>
        </w:rPr>
        <w:t>الحياة،</w:t>
      </w:r>
      <w:r w:rsidRPr="00DA75F8">
        <w:rPr>
          <w:rtl/>
        </w:rPr>
        <w:t xml:space="preserve"> </w:t>
      </w:r>
      <w:r w:rsidRPr="00DA75F8">
        <w:rPr>
          <w:rFonts w:hint="eastAsia"/>
          <w:rtl/>
        </w:rPr>
        <w:t>وطبّق</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في</w:t>
      </w:r>
      <w:r w:rsidRPr="00DA75F8">
        <w:rPr>
          <w:rtl/>
        </w:rPr>
        <w:t xml:space="preserve"> </w:t>
      </w:r>
      <w:r w:rsidRPr="00DA75F8">
        <w:rPr>
          <w:rFonts w:hint="eastAsia"/>
          <w:rtl/>
        </w:rPr>
        <w:t>مسائل</w:t>
      </w:r>
      <w:r w:rsidRPr="00DA75F8">
        <w:rPr>
          <w:rtl/>
        </w:rPr>
        <w:t xml:space="preserve"> </w:t>
      </w:r>
      <w:r w:rsidRPr="00DA75F8">
        <w:rPr>
          <w:rFonts w:hint="eastAsia"/>
          <w:rtl/>
        </w:rPr>
        <w:t>الفرعية،</w:t>
      </w:r>
      <w:r w:rsidRPr="00DA75F8">
        <w:rPr>
          <w:rtl/>
        </w:rPr>
        <w:t xml:space="preserve"> </w:t>
      </w:r>
      <w:r w:rsidRPr="00DA75F8">
        <w:rPr>
          <w:rFonts w:hint="eastAsia"/>
          <w:rtl/>
        </w:rPr>
        <w:t>ووصل</w:t>
      </w:r>
      <w:r w:rsidRPr="00DA75F8">
        <w:rPr>
          <w:rtl/>
        </w:rPr>
        <w:t xml:space="preserve"> </w:t>
      </w:r>
      <w:r w:rsidRPr="00DA75F8">
        <w:rPr>
          <w:rFonts w:hint="eastAsia"/>
          <w:rtl/>
        </w:rPr>
        <w:t>الباحث</w:t>
      </w:r>
      <w:r w:rsidRPr="00DA75F8">
        <w:rPr>
          <w:rtl/>
        </w:rPr>
        <w:t xml:space="preserve"> </w:t>
      </w:r>
      <w:r w:rsidRPr="00DA75F8">
        <w:rPr>
          <w:rFonts w:hint="eastAsia"/>
          <w:rtl/>
        </w:rPr>
        <w:t>في</w:t>
      </w:r>
      <w:r w:rsidRPr="00DA75F8">
        <w:rPr>
          <w:rtl/>
        </w:rPr>
        <w:t xml:space="preserve"> </w:t>
      </w:r>
      <w:r w:rsidRPr="00DA75F8">
        <w:rPr>
          <w:rFonts w:hint="eastAsia"/>
          <w:rtl/>
        </w:rPr>
        <w:t>التطبيقات</w:t>
      </w:r>
      <w:r w:rsidRPr="00DA75F8">
        <w:rPr>
          <w:rtl/>
        </w:rPr>
        <w:t xml:space="preserve"> </w:t>
      </w:r>
      <w:r w:rsidRPr="00DA75F8">
        <w:rPr>
          <w:rFonts w:hint="eastAsia"/>
          <w:rtl/>
        </w:rPr>
        <w:t>إلى</w:t>
      </w:r>
      <w:r w:rsidRPr="00DA75F8">
        <w:rPr>
          <w:rtl/>
        </w:rPr>
        <w:t xml:space="preserve"> </w:t>
      </w:r>
      <w:r w:rsidRPr="00DA75F8">
        <w:rPr>
          <w:rFonts w:hint="eastAsia"/>
          <w:rtl/>
        </w:rPr>
        <w:t>أن</w:t>
      </w:r>
      <w:r w:rsidRPr="00DA75F8">
        <w:rPr>
          <w:rtl/>
        </w:rPr>
        <w:t xml:space="preserve"> </w:t>
      </w:r>
      <w:r w:rsidRPr="00DA75F8">
        <w:rPr>
          <w:rFonts w:hint="eastAsia"/>
          <w:rtl/>
        </w:rPr>
        <w:t>تعريف</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وتطبيقاته</w:t>
      </w:r>
      <w:r w:rsidRPr="00DA75F8">
        <w:rPr>
          <w:rtl/>
        </w:rPr>
        <w:t xml:space="preserve"> </w:t>
      </w:r>
      <w:r w:rsidRPr="00DA75F8">
        <w:rPr>
          <w:rFonts w:hint="eastAsia"/>
          <w:rtl/>
        </w:rPr>
        <w:t>متوافقان،</w:t>
      </w:r>
      <w:r w:rsidRPr="00DA75F8">
        <w:rPr>
          <w:rtl/>
        </w:rPr>
        <w:t xml:space="preserve"> </w:t>
      </w:r>
      <w:r w:rsidRPr="00DA75F8">
        <w:rPr>
          <w:rFonts w:hint="eastAsia"/>
          <w:rtl/>
        </w:rPr>
        <w:t>ووجد</w:t>
      </w:r>
      <w:r w:rsidRPr="00DA75F8">
        <w:rPr>
          <w:rtl/>
        </w:rPr>
        <w:t xml:space="preserve"> </w:t>
      </w:r>
      <w:r w:rsidRPr="00DA75F8">
        <w:rPr>
          <w:rFonts w:hint="eastAsia"/>
          <w:rtl/>
        </w:rPr>
        <w:t>الباحث</w:t>
      </w:r>
      <w:r w:rsidRPr="00DA75F8">
        <w:rPr>
          <w:rtl/>
        </w:rPr>
        <w:t xml:space="preserve"> </w:t>
      </w:r>
      <w:r w:rsidRPr="00DA75F8">
        <w:rPr>
          <w:rFonts w:hint="eastAsia"/>
          <w:rtl/>
        </w:rPr>
        <w:t>في</w:t>
      </w:r>
      <w:r w:rsidRPr="00DA75F8">
        <w:rPr>
          <w:rtl/>
        </w:rPr>
        <w:t xml:space="preserve"> </w:t>
      </w:r>
      <w:r w:rsidRPr="00DA75F8">
        <w:rPr>
          <w:rFonts w:hint="eastAsia"/>
          <w:rtl/>
        </w:rPr>
        <w:t>الأمثلة</w:t>
      </w:r>
      <w:r w:rsidRPr="00DA75F8">
        <w:rPr>
          <w:rtl/>
        </w:rPr>
        <w:t xml:space="preserve"> </w:t>
      </w:r>
      <w:r w:rsidRPr="00DA75F8">
        <w:rPr>
          <w:rFonts w:hint="eastAsia"/>
          <w:rtl/>
        </w:rPr>
        <w:t>الفرعية</w:t>
      </w:r>
      <w:r w:rsidRPr="00DA75F8">
        <w:rPr>
          <w:rtl/>
        </w:rPr>
        <w:t xml:space="preserve"> </w:t>
      </w:r>
      <w:r w:rsidRPr="00DA75F8">
        <w:rPr>
          <w:rFonts w:hint="eastAsia"/>
          <w:rtl/>
        </w:rPr>
        <w:t>أن</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أخذ</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في</w:t>
      </w:r>
      <w:r w:rsidRPr="00DA75F8">
        <w:rPr>
          <w:rtl/>
        </w:rPr>
        <w:t xml:space="preserve"> </w:t>
      </w:r>
      <w:r w:rsidRPr="00DA75F8">
        <w:rPr>
          <w:rFonts w:hint="eastAsia"/>
          <w:rtl/>
        </w:rPr>
        <w:t>الفروع</w:t>
      </w:r>
      <w:r w:rsidRPr="00DA75F8">
        <w:rPr>
          <w:rtl/>
        </w:rPr>
        <w:t xml:space="preserve"> </w:t>
      </w:r>
      <w:r w:rsidRPr="00DA75F8">
        <w:rPr>
          <w:rFonts w:hint="eastAsia"/>
          <w:rtl/>
        </w:rPr>
        <w:t>بشكل</w:t>
      </w:r>
      <w:r w:rsidRPr="00DA75F8">
        <w:rPr>
          <w:rtl/>
        </w:rPr>
        <w:t xml:space="preserve"> </w:t>
      </w:r>
      <w:r w:rsidRPr="00DA75F8">
        <w:rPr>
          <w:rFonts w:hint="eastAsia"/>
          <w:rtl/>
        </w:rPr>
        <w:t>عام،</w:t>
      </w:r>
      <w:r w:rsidRPr="00DA75F8">
        <w:rPr>
          <w:rtl/>
        </w:rPr>
        <w:t xml:space="preserve"> </w:t>
      </w:r>
      <w:r w:rsidRPr="00DA75F8">
        <w:rPr>
          <w:rFonts w:hint="eastAsia"/>
          <w:rtl/>
        </w:rPr>
        <w:t>ونتيجة</w:t>
      </w:r>
      <w:r w:rsidRPr="00DA75F8">
        <w:rPr>
          <w:rtl/>
        </w:rPr>
        <w:t xml:space="preserve"> </w:t>
      </w:r>
      <w:r w:rsidRPr="00DA75F8">
        <w:rPr>
          <w:rFonts w:hint="eastAsia"/>
          <w:rtl/>
        </w:rPr>
        <w:t>لذلك</w:t>
      </w:r>
      <w:r w:rsidRPr="00DA75F8">
        <w:rPr>
          <w:rtl/>
        </w:rPr>
        <w:t xml:space="preserve"> </w:t>
      </w:r>
      <w:r w:rsidRPr="00DA75F8">
        <w:rPr>
          <w:rFonts w:hint="eastAsia"/>
          <w:rtl/>
        </w:rPr>
        <w:t>يقول</w:t>
      </w:r>
      <w:r w:rsidRPr="00DA75F8">
        <w:rPr>
          <w:rtl/>
        </w:rPr>
        <w:t xml:space="preserve"> </w:t>
      </w:r>
      <w:r w:rsidRPr="00DA75F8">
        <w:rPr>
          <w:rFonts w:hint="eastAsia"/>
          <w:rtl/>
        </w:rPr>
        <w:t>الباحث</w:t>
      </w:r>
      <w:r w:rsidRPr="00DA75F8">
        <w:rPr>
          <w:rtl/>
        </w:rPr>
        <w:t xml:space="preserve"> </w:t>
      </w:r>
      <w:r w:rsidRPr="00DA75F8">
        <w:rPr>
          <w:rFonts w:hint="eastAsia"/>
          <w:rtl/>
        </w:rPr>
        <w:t>أن</w:t>
      </w:r>
      <w:r w:rsidRPr="00DA75F8">
        <w:rPr>
          <w:rtl/>
        </w:rPr>
        <w:t xml:space="preserve"> </w:t>
      </w:r>
      <w:r w:rsidRPr="00DA75F8">
        <w:rPr>
          <w:rFonts w:hint="eastAsia"/>
          <w:rtl/>
        </w:rPr>
        <w:t>مفهوم</w:t>
      </w:r>
      <w:r w:rsidRPr="00DA75F8">
        <w:rPr>
          <w:rtl/>
        </w:rPr>
        <w:t xml:space="preserve"> </w:t>
      </w:r>
      <w:r w:rsidRPr="00DA75F8">
        <w:rPr>
          <w:rFonts w:hint="eastAsia"/>
          <w:rtl/>
        </w:rPr>
        <w:t>السياسة</w:t>
      </w:r>
      <w:r w:rsidRPr="00DA75F8">
        <w:rPr>
          <w:rtl/>
        </w:rPr>
        <w:t xml:space="preserve"> </w:t>
      </w:r>
      <w:r w:rsidRPr="00DA75F8">
        <w:rPr>
          <w:rFonts w:hint="eastAsia"/>
          <w:rtl/>
        </w:rPr>
        <w:t>الشرعية</w:t>
      </w:r>
      <w:r w:rsidRPr="00DA75F8">
        <w:rPr>
          <w:rtl/>
        </w:rPr>
        <w:t xml:space="preserve"> </w:t>
      </w:r>
      <w:r w:rsidRPr="00DA75F8">
        <w:rPr>
          <w:rFonts w:hint="eastAsia"/>
          <w:rtl/>
        </w:rPr>
        <w:t>عند</w:t>
      </w:r>
      <w:r w:rsidRPr="00DA75F8">
        <w:rPr>
          <w:rtl/>
        </w:rPr>
        <w:t xml:space="preserve"> </w:t>
      </w:r>
      <w:r w:rsidRPr="00DA75F8">
        <w:rPr>
          <w:rFonts w:hint="eastAsia"/>
          <w:rtl/>
        </w:rPr>
        <w:t>ابن</w:t>
      </w:r>
      <w:r w:rsidRPr="00DA75F8">
        <w:rPr>
          <w:rtl/>
        </w:rPr>
        <w:t xml:space="preserve"> </w:t>
      </w:r>
      <w:r w:rsidRPr="00DA75F8">
        <w:rPr>
          <w:rFonts w:hint="eastAsia"/>
          <w:rtl/>
        </w:rPr>
        <w:t>عابدين</w:t>
      </w:r>
      <w:r w:rsidRPr="00DA75F8">
        <w:rPr>
          <w:rtl/>
        </w:rPr>
        <w:t xml:space="preserve"> </w:t>
      </w:r>
      <w:r w:rsidRPr="00DA75F8">
        <w:rPr>
          <w:rFonts w:hint="eastAsia"/>
          <w:rtl/>
        </w:rPr>
        <w:t>عام</w:t>
      </w:r>
      <w:r w:rsidRPr="00DA75F8">
        <w:rPr>
          <w:rtl/>
        </w:rPr>
        <w:t xml:space="preserve"> </w:t>
      </w:r>
      <w:r w:rsidRPr="00DA75F8">
        <w:rPr>
          <w:rFonts w:hint="eastAsia"/>
          <w:rtl/>
        </w:rPr>
        <w:t>حيث</w:t>
      </w:r>
      <w:r w:rsidRPr="00DA75F8">
        <w:rPr>
          <w:rtl/>
        </w:rPr>
        <w:t xml:space="preserve"> </w:t>
      </w:r>
      <w:r w:rsidRPr="00DA75F8">
        <w:rPr>
          <w:rFonts w:hint="eastAsia"/>
          <w:rtl/>
        </w:rPr>
        <w:t>تشمل</w:t>
      </w:r>
      <w:r w:rsidRPr="00DA75F8">
        <w:rPr>
          <w:rtl/>
        </w:rPr>
        <w:t xml:space="preserve"> </w:t>
      </w:r>
      <w:r w:rsidRPr="00DA75F8">
        <w:rPr>
          <w:rFonts w:hint="eastAsia"/>
          <w:rtl/>
        </w:rPr>
        <w:t>جميع</w:t>
      </w:r>
      <w:r w:rsidRPr="00DA75F8">
        <w:rPr>
          <w:rtl/>
        </w:rPr>
        <w:t xml:space="preserve"> </w:t>
      </w:r>
      <w:r w:rsidRPr="00DA75F8">
        <w:rPr>
          <w:rFonts w:hint="eastAsia"/>
          <w:rtl/>
        </w:rPr>
        <w:t>مناح</w:t>
      </w:r>
      <w:r w:rsidRPr="00DA75F8">
        <w:rPr>
          <w:rtl/>
        </w:rPr>
        <w:t xml:space="preserve"> </w:t>
      </w:r>
      <w:r w:rsidRPr="00DA75F8">
        <w:rPr>
          <w:rFonts w:hint="eastAsia"/>
          <w:rtl/>
        </w:rPr>
        <w:t>الحياة</w:t>
      </w:r>
      <w:r w:rsidRPr="00DA75F8">
        <w:rPr>
          <w:rtl/>
        </w:rPr>
        <w:t>.</w:t>
      </w:r>
    </w:p>
    <w:p w:rsidR="005F44B2" w:rsidRDefault="005F44B2" w:rsidP="00A041B4">
      <w:pPr>
        <w:pStyle w:val="a0"/>
        <w:rPr>
          <w:rtl/>
        </w:rPr>
      </w:pPr>
    </w:p>
    <w:p w:rsidR="005F44B2" w:rsidRDefault="005F44B2" w:rsidP="00A041B4">
      <w:pPr>
        <w:pStyle w:val="a0"/>
        <w:rPr>
          <w:rtl/>
        </w:rPr>
      </w:pPr>
      <w:r w:rsidRPr="00DA75F8">
        <w:rPr>
          <w:rFonts w:hint="cs"/>
          <w:rtl/>
        </w:rPr>
        <w:t>والحمد</w:t>
      </w:r>
      <w:r w:rsidRPr="00DA75F8">
        <w:rPr>
          <w:rtl/>
        </w:rPr>
        <w:t xml:space="preserve"> لله الذي </w:t>
      </w:r>
      <w:r>
        <w:rPr>
          <w:rFonts w:hint="cs"/>
          <w:rtl/>
        </w:rPr>
        <w:t>تمت</w:t>
      </w:r>
      <w:r>
        <w:rPr>
          <w:rtl/>
        </w:rPr>
        <w:t xml:space="preserve"> هذه الدراسة بتوفيقه، وفضله، وآخر دعوان أن الحمد لله رب العالمين.</w:t>
      </w:r>
    </w:p>
    <w:p w:rsidR="005F44B2" w:rsidRDefault="005F44B2">
      <w:pPr>
        <w:bidi w:val="0"/>
        <w:spacing w:line="259" w:lineRule="auto"/>
        <w:rPr>
          <w:sz w:val="28"/>
          <w:szCs w:val="28"/>
          <w:rtl/>
        </w:rPr>
      </w:pPr>
      <w:r>
        <w:rPr>
          <w:rtl/>
        </w:rPr>
        <w:br w:type="page"/>
      </w:r>
    </w:p>
    <w:p w:rsidR="005F44B2" w:rsidRDefault="005F44B2" w:rsidP="00591A13">
      <w:pPr>
        <w:pStyle w:val="a1"/>
        <w:jc w:val="center"/>
      </w:pPr>
      <w:bookmarkStart w:id="51" w:name="_Toc447092593"/>
      <w:r>
        <w:rPr>
          <w:rFonts w:hint="cs"/>
          <w:rtl/>
        </w:rPr>
        <w:t>المصادر</w:t>
      </w:r>
      <w:r>
        <w:rPr>
          <w:rtl/>
        </w:rPr>
        <w:t xml:space="preserve"> والمراجع</w:t>
      </w:r>
      <w:bookmarkEnd w:id="51"/>
    </w:p>
    <w:p w:rsidR="005F44B2" w:rsidRPr="00221EA5" w:rsidRDefault="005F44B2" w:rsidP="00221EA5">
      <w:pPr>
        <w:pStyle w:val="a0"/>
        <w:rPr>
          <w:b/>
          <w:bCs/>
          <w:rtl/>
        </w:rPr>
      </w:pPr>
      <w:r>
        <w:rPr>
          <w:rFonts w:hint="cs"/>
          <w:b/>
          <w:bCs/>
          <w:rtl/>
        </w:rPr>
        <w:t>المصادر</w:t>
      </w:r>
      <w:r>
        <w:rPr>
          <w:b/>
          <w:bCs/>
          <w:rtl/>
        </w:rPr>
        <w:t xml:space="preserve"> والمراجع العربية</w:t>
      </w:r>
    </w:p>
    <w:p w:rsidR="005F44B2" w:rsidRPr="00591A13" w:rsidRDefault="005F44B2" w:rsidP="00591A13">
      <w:pPr>
        <w:pStyle w:val="Subtitle"/>
        <w:numPr>
          <w:ilvl w:val="0"/>
          <w:numId w:val="46"/>
        </w:numPr>
        <w:spacing w:line="259" w:lineRule="auto"/>
        <w:jc w:val="both"/>
      </w:pPr>
      <w:r w:rsidRPr="00591A13">
        <w:rPr>
          <w:rFonts w:hint="eastAsia"/>
          <w:rtl/>
          <w:lang w:bidi="ar-SA"/>
        </w:rPr>
        <w:t>القرآنالكريم</w:t>
      </w:r>
    </w:p>
    <w:p w:rsidR="005F44B2" w:rsidRPr="00591A13" w:rsidRDefault="005F44B2" w:rsidP="0013237C">
      <w:pPr>
        <w:pStyle w:val="Subtitle"/>
        <w:numPr>
          <w:ilvl w:val="0"/>
          <w:numId w:val="46"/>
        </w:numPr>
        <w:spacing w:line="259" w:lineRule="auto"/>
        <w:jc w:val="both"/>
      </w:pP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نجيم،</w:t>
      </w:r>
      <w:r w:rsidRPr="00591A13">
        <w:rPr>
          <w:rtl/>
        </w:rPr>
        <w:t xml:space="preserve"> </w:t>
      </w:r>
      <w:r w:rsidRPr="00591A13">
        <w:rPr>
          <w:rFonts w:hint="eastAsia"/>
          <w:rtl/>
        </w:rPr>
        <w:t>سراج</w:t>
      </w:r>
      <w:r w:rsidRPr="00591A13">
        <w:rPr>
          <w:rtl/>
        </w:rPr>
        <w:t xml:space="preserve"> </w:t>
      </w:r>
      <w:r w:rsidRPr="00591A13">
        <w:rPr>
          <w:rFonts w:hint="eastAsia"/>
          <w:rtl/>
        </w:rPr>
        <w:t>الدين</w:t>
      </w:r>
      <w:r w:rsidRPr="00591A13">
        <w:rPr>
          <w:rtl/>
        </w:rPr>
        <w:t xml:space="preserve"> </w:t>
      </w:r>
      <w:r w:rsidRPr="00591A13">
        <w:rPr>
          <w:rFonts w:hint="eastAsia"/>
          <w:rtl/>
        </w:rPr>
        <w:t>عمر</w:t>
      </w:r>
      <w:r w:rsidRPr="00591A13">
        <w:rPr>
          <w:rtl/>
        </w:rPr>
        <w:t xml:space="preserve"> </w:t>
      </w:r>
      <w:r w:rsidRPr="00591A13">
        <w:rPr>
          <w:rFonts w:hint="eastAsia"/>
          <w:rtl/>
        </w:rPr>
        <w:t>بن</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نجيم</w:t>
      </w:r>
      <w:r w:rsidRPr="00591A13">
        <w:rPr>
          <w:rtl/>
        </w:rPr>
        <w:t xml:space="preserve"> </w:t>
      </w:r>
      <w:r w:rsidRPr="00591A13">
        <w:rPr>
          <w:rFonts w:hint="eastAsia"/>
          <w:rtl/>
        </w:rPr>
        <w:t>الحنفي</w:t>
      </w:r>
      <w:r w:rsidRPr="00591A13">
        <w:rPr>
          <w:rtl/>
        </w:rPr>
        <w:t xml:space="preserve"> (</w:t>
      </w:r>
      <w:r w:rsidRPr="00591A13">
        <w:rPr>
          <w:rFonts w:hint="eastAsia"/>
          <w:rtl/>
        </w:rPr>
        <w:t>ت</w:t>
      </w:r>
      <w:r w:rsidRPr="00591A13">
        <w:rPr>
          <w:rtl/>
        </w:rPr>
        <w:t xml:space="preserve"> 1005</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النهر</w:t>
      </w:r>
      <w:r w:rsidRPr="00591A13">
        <w:rPr>
          <w:b/>
          <w:bCs/>
          <w:rtl/>
        </w:rPr>
        <w:t xml:space="preserve"> </w:t>
      </w:r>
      <w:r w:rsidRPr="00591A13">
        <w:rPr>
          <w:rFonts w:hint="eastAsia"/>
          <w:b/>
          <w:bCs/>
          <w:rtl/>
        </w:rPr>
        <w:t>الفائق</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كنز</w:t>
      </w:r>
      <w:r w:rsidRPr="00591A13">
        <w:rPr>
          <w:b/>
          <w:bCs/>
          <w:rtl/>
        </w:rPr>
        <w:t xml:space="preserve"> </w:t>
      </w:r>
      <w:r w:rsidRPr="00591A13">
        <w:rPr>
          <w:rFonts w:hint="eastAsia"/>
          <w:b/>
          <w:bCs/>
          <w:rtl/>
        </w:rPr>
        <w:t>الدقائق</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3</w:t>
      </w:r>
      <w:r w:rsidRPr="00591A13">
        <w:rPr>
          <w:rFonts w:hint="eastAsia"/>
          <w:rtl/>
        </w:rPr>
        <w:t>م،</w:t>
      </w:r>
      <w:r w:rsidRPr="00591A13">
        <w:rPr>
          <w:rtl/>
        </w:rPr>
        <w:t xml:space="preserve"> (</w:t>
      </w:r>
      <w:r w:rsidRPr="00591A13">
        <w:rPr>
          <w:rFonts w:hint="eastAsia"/>
          <w:rtl/>
        </w:rPr>
        <w:t>المحقق</w:t>
      </w:r>
      <w:r w:rsidRPr="00591A13">
        <w:rPr>
          <w:rtl/>
        </w:rPr>
        <w:t xml:space="preserve">: </w:t>
      </w:r>
      <w:r w:rsidRPr="00591A13">
        <w:rPr>
          <w:rFonts w:hint="eastAsia"/>
          <w:rtl/>
        </w:rPr>
        <w:t>أحمد</w:t>
      </w:r>
      <w:r w:rsidRPr="00591A13">
        <w:rPr>
          <w:rtl/>
        </w:rPr>
        <w:t xml:space="preserve"> </w:t>
      </w:r>
      <w:r w:rsidRPr="00591A13">
        <w:rPr>
          <w:rFonts w:hint="eastAsia"/>
          <w:rtl/>
        </w:rPr>
        <w:t>عزو</w:t>
      </w:r>
      <w:r w:rsidRPr="00591A13">
        <w:rPr>
          <w:rtl/>
        </w:rPr>
        <w:t xml:space="preserve"> </w:t>
      </w:r>
      <w:r w:rsidRPr="00591A13">
        <w:rPr>
          <w:rFonts w:hint="eastAsia"/>
          <w:rtl/>
        </w:rPr>
        <w:t>عناية</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1422</w:t>
      </w:r>
      <w:r w:rsidRPr="00591A13">
        <w:rPr>
          <w:rFonts w:hint="eastAsia"/>
          <w:rtl/>
        </w:rPr>
        <w:t>هـ</w:t>
      </w:r>
      <w:r w:rsidRPr="00591A13">
        <w:rPr>
          <w:rtl/>
        </w:rPr>
        <w:t xml:space="preserve"> / 2002</w:t>
      </w:r>
      <w:r w:rsidRPr="00591A13">
        <w:rPr>
          <w:rFonts w:hint="eastAsia"/>
          <w:rtl/>
        </w:rPr>
        <w:t>م</w:t>
      </w:r>
      <w:r w:rsidRPr="00591A13">
        <w:rPr>
          <w:rtl/>
        </w:rPr>
        <w:t>.</w:t>
      </w:r>
    </w:p>
    <w:p w:rsidR="005F44B2" w:rsidRPr="00591A13" w:rsidRDefault="005F44B2" w:rsidP="00484E92">
      <w:pPr>
        <w:pStyle w:val="Subtitle"/>
        <w:numPr>
          <w:ilvl w:val="0"/>
          <w:numId w:val="46"/>
        </w:numPr>
        <w:spacing w:line="259" w:lineRule="auto"/>
        <w:jc w:val="both"/>
      </w:pPr>
      <w:r w:rsidRPr="00591A13">
        <w:rPr>
          <w:rFonts w:hint="eastAsia"/>
          <w:rtl/>
        </w:rPr>
        <w:t>أبو</w:t>
      </w:r>
      <w:r w:rsidRPr="00591A13">
        <w:rPr>
          <w:rtl/>
        </w:rPr>
        <w:t xml:space="preserve"> </w:t>
      </w:r>
      <w:r w:rsidRPr="00591A13">
        <w:rPr>
          <w:rFonts w:hint="eastAsia"/>
          <w:rtl/>
        </w:rPr>
        <w:t>حبيب،</w:t>
      </w:r>
      <w:r w:rsidRPr="00591A13">
        <w:rPr>
          <w:rtl/>
        </w:rPr>
        <w:t xml:space="preserve"> </w:t>
      </w:r>
      <w:r w:rsidRPr="00591A13">
        <w:rPr>
          <w:rFonts w:hint="eastAsia"/>
          <w:rtl/>
        </w:rPr>
        <w:t>سعدي،</w:t>
      </w:r>
      <w:r w:rsidRPr="00591A13">
        <w:rPr>
          <w:rtl/>
        </w:rPr>
        <w:t xml:space="preserve"> </w:t>
      </w:r>
      <w:r w:rsidRPr="00591A13">
        <w:rPr>
          <w:rFonts w:hint="eastAsia"/>
          <w:b/>
          <w:bCs/>
          <w:rtl/>
        </w:rPr>
        <w:t>القاموس</w:t>
      </w:r>
      <w:r w:rsidRPr="00591A13">
        <w:rPr>
          <w:b/>
          <w:bCs/>
          <w:rtl/>
        </w:rPr>
        <w:t xml:space="preserve"> </w:t>
      </w:r>
      <w:r w:rsidRPr="00591A13">
        <w:rPr>
          <w:rFonts w:hint="eastAsia"/>
          <w:b/>
          <w:bCs/>
          <w:rtl/>
        </w:rPr>
        <w:t>الفقهي</w:t>
      </w:r>
      <w:r w:rsidRPr="00591A13">
        <w:rPr>
          <w:b/>
          <w:bCs/>
          <w:rtl/>
        </w:rPr>
        <w:t xml:space="preserve"> </w:t>
      </w:r>
      <w:r w:rsidRPr="00591A13">
        <w:rPr>
          <w:rFonts w:hint="eastAsia"/>
          <w:b/>
          <w:bCs/>
          <w:rtl/>
        </w:rPr>
        <w:t>لغة</w:t>
      </w:r>
      <w:r w:rsidRPr="00591A13">
        <w:rPr>
          <w:b/>
          <w:bCs/>
          <w:rtl/>
        </w:rPr>
        <w:t xml:space="preserve"> </w:t>
      </w:r>
      <w:r w:rsidRPr="00591A13">
        <w:rPr>
          <w:rFonts w:hint="eastAsia"/>
          <w:b/>
          <w:bCs/>
          <w:rtl/>
        </w:rPr>
        <w:t>واصطلاحا</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w:t>
      </w:r>
      <w:r w:rsidRPr="00591A13">
        <w:rPr>
          <w:rFonts w:hint="eastAsia"/>
          <w:rtl/>
        </w:rPr>
        <w:t>دمشق،</w:t>
      </w:r>
      <w:r w:rsidRPr="00591A13">
        <w:rPr>
          <w:rtl/>
        </w:rPr>
        <w:t>1988</w:t>
      </w:r>
      <w:r w:rsidRPr="00591A13">
        <w:rPr>
          <w:rFonts w:hint="eastAsia"/>
          <w:rtl/>
        </w:rPr>
        <w:t>م</w:t>
      </w:r>
      <w:r w:rsidRPr="00591A13">
        <w:rPr>
          <w:rtl/>
        </w:rPr>
        <w:t>.</w:t>
      </w:r>
    </w:p>
    <w:p w:rsidR="005F44B2" w:rsidRPr="00591A13" w:rsidRDefault="005F44B2" w:rsidP="0013237C">
      <w:pPr>
        <w:pStyle w:val="Subtitle"/>
        <w:numPr>
          <w:ilvl w:val="0"/>
          <w:numId w:val="46"/>
        </w:numPr>
        <w:spacing w:line="259" w:lineRule="auto"/>
        <w:jc w:val="both"/>
      </w:pP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حنبل،</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Pr>
          <w:rtl/>
        </w:rPr>
        <w:t xml:space="preserve"> </w:t>
      </w:r>
      <w:r>
        <w:rPr>
          <w:rFonts w:hint="eastAsia"/>
          <w:rtl/>
        </w:rPr>
        <w:t>حنبل</w:t>
      </w:r>
      <w:r>
        <w:rPr>
          <w:rtl/>
        </w:rPr>
        <w:t xml:space="preserve"> </w:t>
      </w:r>
      <w:r>
        <w:rPr>
          <w:rFonts w:hint="eastAsia"/>
          <w:rtl/>
        </w:rPr>
        <w:t>بن</w:t>
      </w:r>
      <w:r>
        <w:rPr>
          <w:rtl/>
        </w:rPr>
        <w:t xml:space="preserve"> </w:t>
      </w:r>
      <w:r>
        <w:rPr>
          <w:rFonts w:hint="eastAsia"/>
          <w:rtl/>
        </w:rPr>
        <w:t>هلال</w:t>
      </w:r>
      <w:r>
        <w:rPr>
          <w:rtl/>
        </w:rPr>
        <w:t xml:space="preserve"> </w:t>
      </w:r>
      <w:r>
        <w:rPr>
          <w:rFonts w:hint="eastAsia"/>
          <w:rtl/>
        </w:rPr>
        <w:t>بن</w:t>
      </w:r>
      <w:r>
        <w:rPr>
          <w:rtl/>
        </w:rPr>
        <w:t xml:space="preserve"> </w:t>
      </w:r>
      <w:r>
        <w:rPr>
          <w:rFonts w:hint="eastAsia"/>
          <w:rtl/>
        </w:rPr>
        <w:t>أسد</w:t>
      </w:r>
      <w:r>
        <w:rPr>
          <w:rtl/>
        </w:rPr>
        <w:t xml:space="preserve"> </w:t>
      </w:r>
      <w:r>
        <w:rPr>
          <w:rFonts w:hint="eastAsia"/>
          <w:rtl/>
        </w:rPr>
        <w:t>الشيباني</w:t>
      </w:r>
      <w:r>
        <w:rPr>
          <w:rtl/>
        </w:rPr>
        <w:t xml:space="preserve"> (</w:t>
      </w:r>
      <w:r>
        <w:rPr>
          <w:rFonts w:hint="eastAsia"/>
          <w:rtl/>
        </w:rPr>
        <w:t>ت</w:t>
      </w:r>
      <w:r w:rsidRPr="00591A13">
        <w:rPr>
          <w:rtl/>
        </w:rPr>
        <w:t xml:space="preserve"> 241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مسند</w:t>
      </w:r>
      <w:r w:rsidRPr="00591A13">
        <w:rPr>
          <w:b/>
          <w:bCs/>
          <w:rtl/>
        </w:rPr>
        <w:t xml:space="preserve"> </w:t>
      </w:r>
      <w:r w:rsidRPr="00591A13">
        <w:rPr>
          <w:rFonts w:hint="eastAsia"/>
          <w:b/>
          <w:bCs/>
          <w:rtl/>
        </w:rPr>
        <w:t>الإمام</w:t>
      </w:r>
      <w:r w:rsidRPr="00591A13">
        <w:rPr>
          <w:b/>
          <w:bCs/>
          <w:rtl/>
        </w:rPr>
        <w:t xml:space="preserve"> </w:t>
      </w:r>
      <w:r w:rsidRPr="00591A13">
        <w:rPr>
          <w:rFonts w:hint="eastAsia"/>
          <w:b/>
          <w:bCs/>
          <w:rtl/>
        </w:rPr>
        <w:t>أحمد</w:t>
      </w:r>
      <w:r w:rsidRPr="00591A13">
        <w:rPr>
          <w:b/>
          <w:bCs/>
          <w:rtl/>
        </w:rPr>
        <w:t xml:space="preserve"> </w:t>
      </w:r>
      <w:r w:rsidRPr="00591A13">
        <w:rPr>
          <w:rFonts w:hint="eastAsia"/>
          <w:b/>
          <w:bCs/>
          <w:rtl/>
        </w:rPr>
        <w:t>بن</w:t>
      </w:r>
      <w:r w:rsidRPr="00591A13">
        <w:rPr>
          <w:b/>
          <w:bCs/>
          <w:rtl/>
        </w:rPr>
        <w:t xml:space="preserve"> </w:t>
      </w:r>
      <w:r w:rsidRPr="00591A13">
        <w:rPr>
          <w:rFonts w:hint="eastAsia"/>
          <w:b/>
          <w:bCs/>
          <w:rtl/>
        </w:rPr>
        <w:t>حنبل</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50</w:t>
      </w:r>
      <w:r w:rsidRPr="00591A13">
        <w:rPr>
          <w:rFonts w:hint="eastAsia"/>
          <w:rtl/>
        </w:rPr>
        <w:t>م،</w:t>
      </w:r>
      <w:r w:rsidRPr="00591A13">
        <w:rPr>
          <w:rtl/>
        </w:rPr>
        <w:t xml:space="preserve"> (</w:t>
      </w:r>
      <w:r w:rsidRPr="00591A13">
        <w:rPr>
          <w:rFonts w:hint="eastAsia"/>
          <w:rtl/>
        </w:rPr>
        <w:t>حقّقه</w:t>
      </w:r>
      <w:r w:rsidRPr="00591A13">
        <w:rPr>
          <w:rtl/>
        </w:rPr>
        <w:t xml:space="preserve"> </w:t>
      </w:r>
      <w:r w:rsidRPr="00591A13">
        <w:rPr>
          <w:rFonts w:hint="eastAsia"/>
          <w:rtl/>
        </w:rPr>
        <w:t>وخرّج</w:t>
      </w:r>
      <w:r w:rsidRPr="00591A13">
        <w:rPr>
          <w:rtl/>
        </w:rPr>
        <w:t xml:space="preserve"> </w:t>
      </w:r>
      <w:r w:rsidRPr="00591A13">
        <w:rPr>
          <w:rFonts w:hint="eastAsia"/>
          <w:rtl/>
        </w:rPr>
        <w:t>أحاديثه</w:t>
      </w:r>
      <w:r w:rsidRPr="00591A13">
        <w:rPr>
          <w:rtl/>
        </w:rPr>
        <w:t xml:space="preserve"> </w:t>
      </w:r>
      <w:r w:rsidRPr="00591A13">
        <w:rPr>
          <w:rFonts w:hint="eastAsia"/>
          <w:rtl/>
        </w:rPr>
        <w:t>وعلّق</w:t>
      </w:r>
      <w:r w:rsidRPr="00591A13">
        <w:rPr>
          <w:rtl/>
        </w:rPr>
        <w:t xml:space="preserve"> </w:t>
      </w:r>
      <w:r w:rsidRPr="00591A13">
        <w:rPr>
          <w:rFonts w:hint="eastAsia"/>
          <w:rtl/>
        </w:rPr>
        <w:t>عليه</w:t>
      </w:r>
      <w:r w:rsidRPr="00591A13">
        <w:rPr>
          <w:rtl/>
        </w:rPr>
        <w:t xml:space="preserve">: </w:t>
      </w:r>
      <w:r w:rsidRPr="00591A13">
        <w:rPr>
          <w:rFonts w:hint="eastAsia"/>
          <w:rtl/>
        </w:rPr>
        <w:t>شعيب</w:t>
      </w:r>
      <w:r w:rsidRPr="00591A13">
        <w:rPr>
          <w:rtl/>
        </w:rPr>
        <w:t xml:space="preserve"> </w:t>
      </w:r>
      <w:r w:rsidRPr="00591A13">
        <w:rPr>
          <w:rFonts w:hint="eastAsia"/>
          <w:rtl/>
        </w:rPr>
        <w:t>الأرنؤوط</w:t>
      </w:r>
      <w:r w:rsidRPr="00591A13">
        <w:rPr>
          <w:rtl/>
        </w:rPr>
        <w:t xml:space="preserve"> - </w:t>
      </w:r>
      <w:r w:rsidRPr="00591A13">
        <w:rPr>
          <w:rFonts w:hint="eastAsia"/>
          <w:rtl/>
        </w:rPr>
        <w:t>عادل</w:t>
      </w:r>
      <w:r w:rsidRPr="00591A13">
        <w:rPr>
          <w:rtl/>
        </w:rPr>
        <w:t xml:space="preserve"> </w:t>
      </w:r>
      <w:r w:rsidRPr="00591A13">
        <w:rPr>
          <w:rFonts w:hint="eastAsia"/>
          <w:rtl/>
        </w:rPr>
        <w:t>مرشد</w:t>
      </w:r>
      <w:r w:rsidRPr="00591A13">
        <w:rPr>
          <w:rtl/>
        </w:rPr>
        <w:t>)</w:t>
      </w:r>
      <w:r w:rsidRPr="00591A13">
        <w:rPr>
          <w:rFonts w:hint="eastAsia"/>
          <w:rtl/>
        </w:rPr>
        <w:t>،</w:t>
      </w:r>
      <w:r w:rsidRPr="00591A13">
        <w:rPr>
          <w:rtl/>
        </w:rPr>
        <w:t xml:space="preserve"> </w:t>
      </w:r>
      <w:r w:rsidRPr="00591A13">
        <w:rPr>
          <w:rFonts w:hint="eastAsia"/>
          <w:rtl/>
        </w:rPr>
        <w:t>مؤسسة</w:t>
      </w:r>
      <w:r w:rsidRPr="00591A13">
        <w:rPr>
          <w:rtl/>
        </w:rPr>
        <w:t xml:space="preserve"> </w:t>
      </w:r>
      <w:r w:rsidRPr="00591A13">
        <w:rPr>
          <w:rFonts w:hint="eastAsia"/>
          <w:rtl/>
        </w:rPr>
        <w:t>الرسالة،</w:t>
      </w:r>
      <w:r w:rsidRPr="00591A13">
        <w:rPr>
          <w:rtl/>
        </w:rPr>
        <w:t xml:space="preserve"> </w:t>
      </w:r>
      <w:r w:rsidRPr="00591A13">
        <w:rPr>
          <w:rFonts w:hint="eastAsia"/>
          <w:rtl/>
        </w:rPr>
        <w:t>بيروت،</w:t>
      </w:r>
      <w:r w:rsidRPr="00591A13">
        <w:rPr>
          <w:rtl/>
        </w:rPr>
        <w:t xml:space="preserve"> 2001</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مصطفى</w:t>
      </w:r>
      <w:r w:rsidRPr="00591A13">
        <w:rPr>
          <w:rtl/>
        </w:rPr>
        <w:t xml:space="preserve"> </w:t>
      </w:r>
      <w:r w:rsidRPr="00591A13">
        <w:rPr>
          <w:rFonts w:hint="eastAsia"/>
          <w:rtl/>
        </w:rPr>
        <w:t>بن</w:t>
      </w:r>
      <w:r w:rsidRPr="00591A13">
        <w:rPr>
          <w:rtl/>
        </w:rPr>
        <w:t xml:space="preserve"> </w:t>
      </w:r>
      <w:r w:rsidRPr="00591A13">
        <w:rPr>
          <w:rFonts w:hint="eastAsia"/>
          <w:rtl/>
        </w:rPr>
        <w:t>خليل،</w:t>
      </w:r>
      <w:r w:rsidRPr="00591A13">
        <w:rPr>
          <w:rtl/>
        </w:rPr>
        <w:t xml:space="preserve"> </w:t>
      </w:r>
      <w:r w:rsidRPr="00591A13">
        <w:rPr>
          <w:rFonts w:hint="eastAsia"/>
          <w:rtl/>
        </w:rPr>
        <w:t>أبو</w:t>
      </w:r>
      <w:r w:rsidRPr="00591A13">
        <w:rPr>
          <w:rtl/>
        </w:rPr>
        <w:t xml:space="preserve"> </w:t>
      </w:r>
      <w:r w:rsidRPr="00591A13">
        <w:rPr>
          <w:rFonts w:hint="eastAsia"/>
          <w:rtl/>
        </w:rPr>
        <w:t>الخير،</w:t>
      </w:r>
      <w:r w:rsidRPr="00591A13">
        <w:rPr>
          <w:rtl/>
        </w:rPr>
        <w:t xml:space="preserve"> </w:t>
      </w:r>
      <w:r w:rsidRPr="00591A13">
        <w:rPr>
          <w:rFonts w:hint="eastAsia"/>
          <w:rtl/>
        </w:rPr>
        <w:t>عصام</w:t>
      </w:r>
      <w:r w:rsidRPr="00591A13">
        <w:rPr>
          <w:rtl/>
        </w:rPr>
        <w:t xml:space="preserve"> </w:t>
      </w:r>
      <w:r w:rsidRPr="00591A13">
        <w:rPr>
          <w:rFonts w:hint="eastAsia"/>
          <w:rtl/>
        </w:rPr>
        <w:t>الدين</w:t>
      </w:r>
      <w:r w:rsidRPr="00591A13">
        <w:rPr>
          <w:rtl/>
        </w:rPr>
        <w:t xml:space="preserve"> </w:t>
      </w:r>
      <w:r w:rsidRPr="00591A13">
        <w:rPr>
          <w:rFonts w:hint="eastAsia"/>
          <w:rtl/>
        </w:rPr>
        <w:t>طاشْكُبْري</w:t>
      </w:r>
      <w:r w:rsidRPr="00591A13">
        <w:rPr>
          <w:rtl/>
        </w:rPr>
        <w:t xml:space="preserve"> </w:t>
      </w:r>
      <w:r w:rsidRPr="00591A13">
        <w:rPr>
          <w:rFonts w:hint="eastAsia"/>
          <w:rtl/>
        </w:rPr>
        <w:t>زَادَهْ</w:t>
      </w:r>
      <w:r w:rsidRPr="00591A13">
        <w:rPr>
          <w:rtl/>
        </w:rPr>
        <w:t xml:space="preserve"> (</w:t>
      </w:r>
      <w:r w:rsidRPr="00591A13">
        <w:rPr>
          <w:rFonts w:hint="eastAsia"/>
          <w:rtl/>
        </w:rPr>
        <w:t>المتوفى</w:t>
      </w:r>
      <w:r w:rsidRPr="00591A13">
        <w:rPr>
          <w:rtl/>
        </w:rPr>
        <w:t>: 968</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الشقائق</w:t>
      </w:r>
      <w:r w:rsidRPr="00591A13">
        <w:rPr>
          <w:b/>
          <w:bCs/>
          <w:rtl/>
        </w:rPr>
        <w:t xml:space="preserve"> </w:t>
      </w:r>
      <w:r w:rsidRPr="00591A13">
        <w:rPr>
          <w:rFonts w:hint="eastAsia"/>
          <w:b/>
          <w:bCs/>
          <w:rtl/>
        </w:rPr>
        <w:t>النعمانية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علماء</w:t>
      </w:r>
      <w:r w:rsidRPr="00591A13">
        <w:rPr>
          <w:b/>
          <w:bCs/>
          <w:rtl/>
        </w:rPr>
        <w:t xml:space="preserve"> </w:t>
      </w:r>
      <w:r w:rsidRPr="00591A13">
        <w:rPr>
          <w:rFonts w:hint="eastAsia"/>
          <w:b/>
          <w:bCs/>
          <w:rtl/>
        </w:rPr>
        <w:t>الدولة</w:t>
      </w:r>
      <w:r w:rsidRPr="00591A13">
        <w:rPr>
          <w:b/>
          <w:bCs/>
          <w:rtl/>
        </w:rPr>
        <w:t xml:space="preserve"> </w:t>
      </w:r>
      <w:r w:rsidRPr="00591A13">
        <w:rPr>
          <w:rFonts w:hint="eastAsia"/>
          <w:b/>
          <w:bCs/>
          <w:rtl/>
        </w:rPr>
        <w:t>العثمانية</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الكتاب</w:t>
      </w:r>
      <w:r w:rsidRPr="00591A13">
        <w:rPr>
          <w:rtl/>
        </w:rPr>
        <w:t xml:space="preserve"> </w:t>
      </w:r>
      <w:r w:rsidRPr="00591A13">
        <w:rPr>
          <w:rFonts w:hint="eastAsia"/>
          <w:rtl/>
        </w:rPr>
        <w:t>العربي،</w:t>
      </w:r>
      <w:r w:rsidRPr="00591A13">
        <w:rPr>
          <w:rtl/>
        </w:rPr>
        <w:t xml:space="preserve"> </w:t>
      </w:r>
      <w:r w:rsidRPr="00591A13">
        <w:rPr>
          <w:rFonts w:hint="eastAsia"/>
          <w:rtl/>
        </w:rPr>
        <w:t>بيروت</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أح</w:t>
      </w:r>
      <w:r>
        <w:rPr>
          <w:rFonts w:hint="eastAsia"/>
          <w:rtl/>
        </w:rPr>
        <w:t>مد</w:t>
      </w:r>
      <w:r>
        <w:rPr>
          <w:rtl/>
        </w:rPr>
        <w:t xml:space="preserve"> </w:t>
      </w:r>
      <w:r>
        <w:rPr>
          <w:rFonts w:hint="eastAsia"/>
          <w:rtl/>
        </w:rPr>
        <w:t>مختار</w:t>
      </w:r>
      <w:r>
        <w:rPr>
          <w:rtl/>
        </w:rPr>
        <w:t xml:space="preserve"> </w:t>
      </w:r>
      <w:r>
        <w:rPr>
          <w:rFonts w:hint="eastAsia"/>
          <w:rtl/>
        </w:rPr>
        <w:t>عبد</w:t>
      </w:r>
      <w:r>
        <w:rPr>
          <w:rtl/>
        </w:rPr>
        <w:t xml:space="preserve"> </w:t>
      </w:r>
      <w:r>
        <w:rPr>
          <w:rFonts w:hint="eastAsia"/>
          <w:rtl/>
        </w:rPr>
        <w:t>الحميد</w:t>
      </w:r>
      <w:r>
        <w:rPr>
          <w:rtl/>
        </w:rPr>
        <w:t xml:space="preserve"> </w:t>
      </w:r>
      <w:r>
        <w:rPr>
          <w:rFonts w:hint="eastAsia"/>
          <w:rtl/>
        </w:rPr>
        <w:t>عمر</w:t>
      </w:r>
      <w:r>
        <w:rPr>
          <w:rtl/>
        </w:rPr>
        <w:t xml:space="preserve"> (</w:t>
      </w:r>
      <w:r>
        <w:rPr>
          <w:rFonts w:hint="eastAsia"/>
          <w:rtl/>
        </w:rPr>
        <w:t>ت</w:t>
      </w:r>
      <w:r w:rsidRPr="00591A13">
        <w:rPr>
          <w:rtl/>
        </w:rPr>
        <w:t xml:space="preserve"> 1424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معجم</w:t>
      </w:r>
      <w:r w:rsidRPr="00591A13">
        <w:rPr>
          <w:b/>
          <w:bCs/>
          <w:rtl/>
        </w:rPr>
        <w:t xml:space="preserve"> </w:t>
      </w:r>
      <w:r w:rsidRPr="00591A13">
        <w:rPr>
          <w:rFonts w:hint="eastAsia"/>
          <w:b/>
          <w:bCs/>
          <w:rtl/>
        </w:rPr>
        <w:t>اللغة</w:t>
      </w:r>
      <w:r w:rsidRPr="00591A13">
        <w:rPr>
          <w:b/>
          <w:bCs/>
          <w:rtl/>
        </w:rPr>
        <w:t xml:space="preserve"> </w:t>
      </w:r>
      <w:r w:rsidRPr="00591A13">
        <w:rPr>
          <w:rFonts w:hint="eastAsia"/>
          <w:b/>
          <w:bCs/>
          <w:rtl/>
        </w:rPr>
        <w:t>العربية</w:t>
      </w:r>
      <w:r w:rsidRPr="00591A13">
        <w:rPr>
          <w:b/>
          <w:bCs/>
          <w:rtl/>
        </w:rPr>
        <w:t xml:space="preserve"> </w:t>
      </w:r>
      <w:r w:rsidRPr="00591A13">
        <w:rPr>
          <w:rFonts w:hint="eastAsia"/>
          <w:b/>
          <w:bCs/>
          <w:rtl/>
        </w:rPr>
        <w:t>المعاصرة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عالم</w:t>
      </w:r>
      <w:r w:rsidRPr="00591A13">
        <w:rPr>
          <w:rtl/>
        </w:rPr>
        <w:t xml:space="preserve"> </w:t>
      </w:r>
      <w:r w:rsidRPr="00591A13">
        <w:rPr>
          <w:rFonts w:hint="eastAsia"/>
          <w:rtl/>
        </w:rPr>
        <w:t>الكتب،</w:t>
      </w:r>
      <w:r w:rsidRPr="00591A13">
        <w:rPr>
          <w:rtl/>
        </w:rPr>
        <w:t xml:space="preserve"> 2008</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اسماعيل</w:t>
      </w:r>
      <w:r w:rsidRPr="00591A13">
        <w:rPr>
          <w:rtl/>
        </w:rPr>
        <w:t xml:space="preserve"> </w:t>
      </w:r>
      <w:r w:rsidRPr="00591A13">
        <w:rPr>
          <w:rFonts w:hint="eastAsia"/>
          <w:rtl/>
        </w:rPr>
        <w:t>باشا</w:t>
      </w:r>
      <w:r w:rsidRPr="00591A13">
        <w:rPr>
          <w:rtl/>
        </w:rPr>
        <w:t xml:space="preserve"> </w:t>
      </w:r>
      <w:r w:rsidRPr="00591A13">
        <w:rPr>
          <w:rFonts w:hint="eastAsia"/>
          <w:rtl/>
        </w:rPr>
        <w:t>البغدادي،</w:t>
      </w:r>
      <w:r w:rsidRPr="00591A13">
        <w:rPr>
          <w:rtl/>
        </w:rPr>
        <w:t xml:space="preserve"> </w:t>
      </w:r>
      <w:r w:rsidRPr="00591A13">
        <w:rPr>
          <w:rFonts w:hint="eastAsia"/>
          <w:rtl/>
        </w:rPr>
        <w:t>إسماعيل</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أمين</w:t>
      </w:r>
      <w:r w:rsidRPr="00591A13">
        <w:rPr>
          <w:rtl/>
        </w:rPr>
        <w:t xml:space="preserve"> </w:t>
      </w:r>
      <w:r w:rsidRPr="00591A13">
        <w:rPr>
          <w:rFonts w:hint="eastAsia"/>
          <w:rtl/>
        </w:rPr>
        <w:t>بن</w:t>
      </w:r>
      <w:r w:rsidRPr="00591A13">
        <w:rPr>
          <w:rtl/>
        </w:rPr>
        <w:t xml:space="preserve"> </w:t>
      </w:r>
      <w:r w:rsidRPr="00591A13">
        <w:rPr>
          <w:rFonts w:hint="eastAsia"/>
          <w:rtl/>
        </w:rPr>
        <w:t>مير</w:t>
      </w:r>
      <w:r w:rsidRPr="00591A13">
        <w:rPr>
          <w:rtl/>
        </w:rPr>
        <w:t xml:space="preserve"> </w:t>
      </w:r>
      <w:r w:rsidRPr="00591A13">
        <w:rPr>
          <w:rFonts w:hint="eastAsia"/>
          <w:rtl/>
        </w:rPr>
        <w:t>سليم</w:t>
      </w:r>
      <w:r w:rsidRPr="00591A13">
        <w:rPr>
          <w:rtl/>
        </w:rPr>
        <w:t xml:space="preserve"> </w:t>
      </w:r>
      <w:r w:rsidRPr="00591A13">
        <w:rPr>
          <w:rFonts w:hint="eastAsia"/>
          <w:rtl/>
        </w:rPr>
        <w:t>الباباني</w:t>
      </w:r>
      <w:r w:rsidRPr="00591A13">
        <w:rPr>
          <w:rtl/>
        </w:rPr>
        <w:t xml:space="preserve"> </w:t>
      </w:r>
      <w:r w:rsidRPr="00591A13">
        <w:rPr>
          <w:rFonts w:hint="eastAsia"/>
          <w:rtl/>
        </w:rPr>
        <w:t>البغدادي</w:t>
      </w:r>
      <w:r w:rsidRPr="00591A13">
        <w:rPr>
          <w:rtl/>
        </w:rPr>
        <w:t xml:space="preserve"> (</w:t>
      </w:r>
      <w:r w:rsidRPr="00591A13">
        <w:rPr>
          <w:rFonts w:hint="eastAsia"/>
          <w:rtl/>
        </w:rPr>
        <w:t>ت</w:t>
      </w:r>
      <w:r w:rsidRPr="00591A13">
        <w:rPr>
          <w:rtl/>
        </w:rPr>
        <w:t xml:space="preserve"> 1399</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هدية</w:t>
      </w:r>
      <w:r w:rsidRPr="00591A13">
        <w:rPr>
          <w:b/>
          <w:bCs/>
          <w:rtl/>
        </w:rPr>
        <w:t xml:space="preserve"> </w:t>
      </w:r>
      <w:r w:rsidRPr="00591A13">
        <w:rPr>
          <w:rFonts w:hint="eastAsia"/>
          <w:b/>
          <w:bCs/>
          <w:rtl/>
        </w:rPr>
        <w:t>العارفين</w:t>
      </w:r>
      <w:r w:rsidRPr="00591A13">
        <w:rPr>
          <w:b/>
          <w:bCs/>
          <w:rtl/>
        </w:rPr>
        <w:t xml:space="preserve"> </w:t>
      </w:r>
      <w:r w:rsidRPr="00591A13">
        <w:rPr>
          <w:rFonts w:hint="eastAsia"/>
          <w:b/>
          <w:bCs/>
          <w:rtl/>
        </w:rPr>
        <w:t>أسماء</w:t>
      </w:r>
      <w:r w:rsidRPr="00591A13">
        <w:rPr>
          <w:b/>
          <w:bCs/>
          <w:rtl/>
        </w:rPr>
        <w:t xml:space="preserve"> </w:t>
      </w:r>
      <w:r w:rsidRPr="00591A13">
        <w:rPr>
          <w:rFonts w:hint="eastAsia"/>
          <w:b/>
          <w:bCs/>
          <w:rtl/>
        </w:rPr>
        <w:t>المؤلفين</w:t>
      </w:r>
      <w:r w:rsidRPr="00591A13">
        <w:rPr>
          <w:b/>
          <w:bCs/>
          <w:rtl/>
        </w:rPr>
        <w:t xml:space="preserve"> </w:t>
      </w:r>
      <w:r w:rsidRPr="00591A13">
        <w:rPr>
          <w:rFonts w:hint="eastAsia"/>
          <w:b/>
          <w:bCs/>
          <w:rtl/>
        </w:rPr>
        <w:t>وآثار</w:t>
      </w:r>
      <w:r w:rsidRPr="00591A13">
        <w:rPr>
          <w:b/>
          <w:bCs/>
          <w:rtl/>
        </w:rPr>
        <w:t xml:space="preserve"> </w:t>
      </w:r>
      <w:r w:rsidRPr="00591A13">
        <w:rPr>
          <w:rFonts w:hint="eastAsia"/>
          <w:b/>
          <w:bCs/>
          <w:rtl/>
        </w:rPr>
        <w:t>المصنفين</w:t>
      </w:r>
      <w:r w:rsidRPr="00591A13">
        <w:rPr>
          <w:rFonts w:hint="eastAsia"/>
          <w:rtl/>
        </w:rPr>
        <w:t>،</w:t>
      </w:r>
      <w:r w:rsidRPr="00591A13">
        <w:rPr>
          <w:rtl/>
        </w:rPr>
        <w:t xml:space="preserve"> </w:t>
      </w:r>
      <w:r w:rsidRPr="00591A13">
        <w:rPr>
          <w:rFonts w:hint="eastAsia"/>
          <w:rtl/>
        </w:rPr>
        <w:t>بدون</w:t>
      </w:r>
      <w:r w:rsidRPr="00591A13">
        <w:rPr>
          <w:rtl/>
        </w:rPr>
        <w:t xml:space="preserve"> </w:t>
      </w:r>
      <w:r w:rsidRPr="00591A13">
        <w:rPr>
          <w:rFonts w:hint="eastAsia"/>
          <w:rtl/>
        </w:rPr>
        <w:t>طبعة،</w:t>
      </w:r>
      <w:r w:rsidRPr="00591A13">
        <w:rPr>
          <w:rtl/>
        </w:rPr>
        <w:t xml:space="preserve"> 2</w:t>
      </w:r>
      <w:r w:rsidRPr="00591A13">
        <w:rPr>
          <w:rFonts w:hint="eastAsia"/>
          <w:rtl/>
        </w:rPr>
        <w:t>م،</w:t>
      </w:r>
      <w:r w:rsidRPr="00591A13">
        <w:rPr>
          <w:rtl/>
        </w:rPr>
        <w:t xml:space="preserve"> </w:t>
      </w:r>
      <w:r w:rsidRPr="00591A13">
        <w:rPr>
          <w:rFonts w:hint="eastAsia"/>
          <w:rtl/>
        </w:rPr>
        <w:t>طبع</w:t>
      </w:r>
      <w:r w:rsidRPr="00591A13">
        <w:rPr>
          <w:rtl/>
        </w:rPr>
        <w:t xml:space="preserve"> </w:t>
      </w:r>
      <w:r w:rsidRPr="00591A13">
        <w:rPr>
          <w:rFonts w:hint="eastAsia"/>
          <w:rtl/>
        </w:rPr>
        <w:t>بعناية</w:t>
      </w:r>
      <w:r w:rsidRPr="00591A13">
        <w:rPr>
          <w:rtl/>
        </w:rPr>
        <w:t xml:space="preserve"> </w:t>
      </w:r>
      <w:r w:rsidRPr="00591A13">
        <w:rPr>
          <w:rFonts w:hint="eastAsia"/>
          <w:rtl/>
        </w:rPr>
        <w:t>وكالة</w:t>
      </w:r>
      <w:r w:rsidRPr="00591A13">
        <w:rPr>
          <w:rtl/>
        </w:rPr>
        <w:t xml:space="preserve"> </w:t>
      </w:r>
      <w:r w:rsidRPr="00591A13">
        <w:rPr>
          <w:rFonts w:hint="eastAsia"/>
          <w:rtl/>
        </w:rPr>
        <w:t>المعارف</w:t>
      </w:r>
      <w:r w:rsidRPr="00591A13">
        <w:rPr>
          <w:rtl/>
        </w:rPr>
        <w:t xml:space="preserve"> </w:t>
      </w:r>
      <w:r w:rsidRPr="00591A13">
        <w:rPr>
          <w:rFonts w:hint="eastAsia"/>
          <w:rtl/>
        </w:rPr>
        <w:t>الجليلة</w:t>
      </w:r>
      <w:r w:rsidRPr="00591A13">
        <w:rPr>
          <w:rtl/>
        </w:rPr>
        <w:t xml:space="preserve"> </w:t>
      </w:r>
      <w:r w:rsidRPr="00591A13">
        <w:rPr>
          <w:rFonts w:hint="eastAsia"/>
          <w:rtl/>
        </w:rPr>
        <w:t>في</w:t>
      </w:r>
      <w:r w:rsidRPr="00591A13">
        <w:rPr>
          <w:rtl/>
        </w:rPr>
        <w:t xml:space="preserve"> </w:t>
      </w:r>
      <w:r w:rsidRPr="00591A13">
        <w:rPr>
          <w:rFonts w:hint="eastAsia"/>
          <w:rtl/>
        </w:rPr>
        <w:t>مطبعتها</w:t>
      </w:r>
      <w:r w:rsidRPr="00591A13">
        <w:rPr>
          <w:rtl/>
        </w:rPr>
        <w:t xml:space="preserve"> </w:t>
      </w:r>
      <w:r w:rsidRPr="00591A13">
        <w:rPr>
          <w:rFonts w:hint="eastAsia"/>
          <w:rtl/>
        </w:rPr>
        <w:t>البهية</w:t>
      </w:r>
      <w:r w:rsidRPr="00591A13">
        <w:rPr>
          <w:rtl/>
        </w:rPr>
        <w:t xml:space="preserve"> </w:t>
      </w:r>
      <w:r w:rsidRPr="00591A13">
        <w:rPr>
          <w:rFonts w:hint="eastAsia"/>
          <w:rtl/>
        </w:rPr>
        <w:t>استانبول،</w:t>
      </w:r>
      <w:r w:rsidRPr="00591A13">
        <w:rPr>
          <w:rtl/>
        </w:rPr>
        <w:t xml:space="preserve"> 1951</w:t>
      </w:r>
      <w:r w:rsidRPr="00591A13">
        <w:rPr>
          <w:rFonts w:hint="eastAsia"/>
          <w:rtl/>
        </w:rPr>
        <w:t>م،</w:t>
      </w:r>
      <w:r w:rsidRPr="00591A13">
        <w:rPr>
          <w:rtl/>
        </w:rPr>
        <w:t xml:space="preserve"> </w:t>
      </w:r>
      <w:r w:rsidRPr="00591A13">
        <w:rPr>
          <w:rFonts w:hint="eastAsia"/>
          <w:rtl/>
        </w:rPr>
        <w:t>أعادت</w:t>
      </w:r>
      <w:r w:rsidRPr="00591A13">
        <w:rPr>
          <w:rtl/>
        </w:rPr>
        <w:t xml:space="preserve"> </w:t>
      </w:r>
      <w:r w:rsidRPr="00591A13">
        <w:rPr>
          <w:rFonts w:hint="eastAsia"/>
          <w:rtl/>
        </w:rPr>
        <w:t>طبعه</w:t>
      </w:r>
      <w:r w:rsidRPr="00591A13">
        <w:rPr>
          <w:rtl/>
        </w:rPr>
        <w:t xml:space="preserve"> </w:t>
      </w:r>
      <w:r w:rsidRPr="00591A13">
        <w:rPr>
          <w:rFonts w:hint="eastAsia"/>
          <w:rtl/>
        </w:rPr>
        <w:t>بالأوفست</w:t>
      </w:r>
      <w:r w:rsidRPr="00591A13">
        <w:rPr>
          <w:rtl/>
        </w:rPr>
        <w:t xml:space="preserve">: </w:t>
      </w:r>
      <w:r w:rsidRPr="00591A13">
        <w:rPr>
          <w:rFonts w:hint="eastAsia"/>
          <w:rtl/>
        </w:rPr>
        <w:t>دار</w:t>
      </w:r>
      <w:r w:rsidRPr="00591A13">
        <w:rPr>
          <w:rtl/>
        </w:rPr>
        <w:t xml:space="preserve"> </w:t>
      </w:r>
      <w:r w:rsidRPr="00591A13">
        <w:rPr>
          <w:rFonts w:hint="eastAsia"/>
          <w:rtl/>
        </w:rPr>
        <w:t>إحياء</w:t>
      </w:r>
      <w:r w:rsidRPr="00591A13">
        <w:rPr>
          <w:rtl/>
        </w:rPr>
        <w:t xml:space="preserve"> </w:t>
      </w:r>
      <w:r w:rsidRPr="00591A13">
        <w:rPr>
          <w:rFonts w:hint="eastAsia"/>
          <w:rtl/>
        </w:rPr>
        <w:t>التراث</w:t>
      </w:r>
      <w:r w:rsidRPr="00591A13">
        <w:rPr>
          <w:rtl/>
        </w:rPr>
        <w:t xml:space="preserve"> </w:t>
      </w:r>
      <w:r w:rsidRPr="00591A13">
        <w:rPr>
          <w:rFonts w:hint="eastAsia"/>
          <w:rtl/>
        </w:rPr>
        <w:t>العربي،</w:t>
      </w:r>
      <w:r w:rsidRPr="00591A13">
        <w:rPr>
          <w:rtl/>
        </w:rPr>
        <w:t xml:space="preserve"> </w:t>
      </w:r>
      <w:r w:rsidRPr="00591A13">
        <w:rPr>
          <w:rFonts w:hint="eastAsia"/>
          <w:rtl/>
        </w:rPr>
        <w:t>بيروت</w:t>
      </w:r>
      <w:r w:rsidRPr="00591A13">
        <w:rPr>
          <w:rtl/>
        </w:rPr>
        <w:t>.</w:t>
      </w:r>
    </w:p>
    <w:p w:rsidR="005F44B2" w:rsidRPr="00591A13" w:rsidRDefault="005F44B2" w:rsidP="005450E5">
      <w:pPr>
        <w:pStyle w:val="Subtitle"/>
        <w:numPr>
          <w:ilvl w:val="0"/>
          <w:numId w:val="46"/>
        </w:numPr>
        <w:spacing w:line="259" w:lineRule="auto"/>
        <w:jc w:val="both"/>
      </w:pPr>
      <w:r w:rsidRPr="00591A13">
        <w:rPr>
          <w:rFonts w:hint="eastAsia"/>
          <w:rtl/>
        </w:rPr>
        <w:t>الألوسي،</w:t>
      </w:r>
      <w:r w:rsidRPr="00591A13">
        <w:rPr>
          <w:rtl/>
        </w:rPr>
        <w:t xml:space="preserve"> </w:t>
      </w:r>
      <w:r w:rsidRPr="00591A13">
        <w:rPr>
          <w:rFonts w:hint="eastAsia"/>
          <w:rtl/>
        </w:rPr>
        <w:t>شهاب</w:t>
      </w:r>
      <w:r w:rsidRPr="00591A13">
        <w:rPr>
          <w:rtl/>
        </w:rPr>
        <w:t xml:space="preserve"> </w:t>
      </w:r>
      <w:r w:rsidRPr="00591A13">
        <w:rPr>
          <w:rFonts w:hint="eastAsia"/>
          <w:rtl/>
        </w:rPr>
        <w:t>الدين</w:t>
      </w:r>
      <w:r w:rsidRPr="00591A13">
        <w:rPr>
          <w:rtl/>
        </w:rPr>
        <w:t xml:space="preserve"> </w:t>
      </w:r>
      <w:r w:rsidRPr="00591A13">
        <w:rPr>
          <w:rFonts w:hint="eastAsia"/>
          <w:rtl/>
        </w:rPr>
        <w:t>محمود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الحسيني</w:t>
      </w:r>
      <w:r w:rsidRPr="00591A13">
        <w:rPr>
          <w:rtl/>
        </w:rPr>
        <w:t xml:space="preserve"> </w:t>
      </w:r>
      <w:r w:rsidRPr="00591A13">
        <w:rPr>
          <w:rFonts w:hint="eastAsia"/>
          <w:rtl/>
        </w:rPr>
        <w:t>الألوسي</w:t>
      </w:r>
      <w:r w:rsidRPr="00591A13">
        <w:rPr>
          <w:rtl/>
        </w:rPr>
        <w:t xml:space="preserve"> (</w:t>
      </w:r>
      <w:r w:rsidRPr="00591A13">
        <w:rPr>
          <w:rFonts w:hint="eastAsia"/>
          <w:rtl/>
        </w:rPr>
        <w:t>ت</w:t>
      </w:r>
      <w:r w:rsidRPr="00591A13">
        <w:rPr>
          <w:rtl/>
        </w:rPr>
        <w:t xml:space="preserve"> 1270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روح</w:t>
      </w:r>
      <w:r w:rsidRPr="00591A13">
        <w:rPr>
          <w:b/>
          <w:bCs/>
          <w:rtl/>
        </w:rPr>
        <w:t xml:space="preserve"> </w:t>
      </w:r>
      <w:r w:rsidRPr="00591A13">
        <w:rPr>
          <w:rFonts w:hint="eastAsia"/>
          <w:b/>
          <w:bCs/>
          <w:rtl/>
        </w:rPr>
        <w:t>المعاني</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تفسير</w:t>
      </w:r>
      <w:r w:rsidRPr="00591A13">
        <w:rPr>
          <w:b/>
          <w:bCs/>
          <w:rtl/>
        </w:rPr>
        <w:t xml:space="preserve"> </w:t>
      </w:r>
      <w:r w:rsidRPr="00591A13">
        <w:rPr>
          <w:rFonts w:hint="eastAsia"/>
          <w:b/>
          <w:bCs/>
          <w:rtl/>
        </w:rPr>
        <w:t>القرآن</w:t>
      </w:r>
      <w:r w:rsidRPr="00591A13">
        <w:rPr>
          <w:b/>
          <w:bCs/>
          <w:rtl/>
        </w:rPr>
        <w:t xml:space="preserve"> </w:t>
      </w:r>
      <w:r w:rsidRPr="00591A13">
        <w:rPr>
          <w:rFonts w:hint="eastAsia"/>
          <w:b/>
          <w:bCs/>
          <w:rtl/>
        </w:rPr>
        <w:t>العظيم</w:t>
      </w:r>
      <w:r w:rsidRPr="00591A13">
        <w:rPr>
          <w:b/>
          <w:bCs/>
          <w:rtl/>
        </w:rPr>
        <w:t xml:space="preserve"> </w:t>
      </w:r>
      <w:r w:rsidRPr="00591A13">
        <w:rPr>
          <w:rFonts w:hint="eastAsia"/>
          <w:b/>
          <w:bCs/>
          <w:rtl/>
        </w:rPr>
        <w:t>والسبع</w:t>
      </w:r>
      <w:r w:rsidRPr="00591A13">
        <w:rPr>
          <w:b/>
          <w:bCs/>
          <w:rtl/>
        </w:rPr>
        <w:t xml:space="preserve"> </w:t>
      </w:r>
      <w:r w:rsidRPr="00591A13">
        <w:rPr>
          <w:rFonts w:hint="eastAsia"/>
          <w:b/>
          <w:bCs/>
          <w:rtl/>
        </w:rPr>
        <w:t>المثاني</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16</w:t>
      </w:r>
      <w:r w:rsidRPr="00591A13">
        <w:rPr>
          <w:rFonts w:hint="eastAsia"/>
          <w:rtl/>
        </w:rPr>
        <w:t>م</w:t>
      </w:r>
      <w:r>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علي</w:t>
      </w:r>
      <w:r w:rsidRPr="00591A13">
        <w:rPr>
          <w:rtl/>
        </w:rPr>
        <w:t xml:space="preserve"> </w:t>
      </w:r>
      <w:r w:rsidRPr="00591A13">
        <w:rPr>
          <w:rFonts w:hint="eastAsia"/>
          <w:rtl/>
        </w:rPr>
        <w:t>عبد</w:t>
      </w:r>
      <w:r w:rsidRPr="00591A13">
        <w:rPr>
          <w:rtl/>
        </w:rPr>
        <w:t xml:space="preserve"> </w:t>
      </w:r>
      <w:r w:rsidRPr="00591A13">
        <w:rPr>
          <w:rFonts w:hint="eastAsia"/>
          <w:rtl/>
        </w:rPr>
        <w:t>الباري</w:t>
      </w:r>
      <w:r w:rsidRPr="00591A13">
        <w:rPr>
          <w:rtl/>
        </w:rPr>
        <w:t xml:space="preserve"> </w:t>
      </w:r>
      <w:r w:rsidRPr="00591A13">
        <w:rPr>
          <w:rFonts w:hint="eastAsia"/>
          <w:rtl/>
        </w:rPr>
        <w:t>عطية</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1415 </w:t>
      </w:r>
      <w:r w:rsidRPr="00591A13">
        <w:rPr>
          <w:rFonts w:hint="eastAsia"/>
          <w:rtl/>
        </w:rPr>
        <w:t>هـ</w:t>
      </w:r>
      <w:r w:rsidRPr="00591A13">
        <w:rPr>
          <w:rtl/>
        </w:rPr>
        <w:t>.</w:t>
      </w:r>
    </w:p>
    <w:p w:rsidR="005F44B2" w:rsidRPr="00591A13" w:rsidRDefault="005F44B2" w:rsidP="00CC0F85">
      <w:pPr>
        <w:pStyle w:val="Subtitle"/>
        <w:numPr>
          <w:ilvl w:val="0"/>
          <w:numId w:val="46"/>
        </w:numPr>
        <w:spacing w:line="259" w:lineRule="auto"/>
        <w:jc w:val="both"/>
      </w:pPr>
      <w:r w:rsidRPr="00591A13">
        <w:rPr>
          <w:rFonts w:hint="eastAsia"/>
          <w:rtl/>
        </w:rPr>
        <w:t>الآمدي،</w:t>
      </w:r>
      <w:r w:rsidRPr="00591A13">
        <w:rPr>
          <w:rtl/>
        </w:rPr>
        <w:t xml:space="preserve"> </w:t>
      </w:r>
      <w:r w:rsidRPr="00591A13">
        <w:rPr>
          <w:rFonts w:hint="eastAsia"/>
          <w:rtl/>
        </w:rPr>
        <w:t>أبو</w:t>
      </w:r>
      <w:r w:rsidRPr="00591A13">
        <w:rPr>
          <w:rtl/>
        </w:rPr>
        <w:t xml:space="preserve"> </w:t>
      </w:r>
      <w:r w:rsidRPr="00591A13">
        <w:rPr>
          <w:rFonts w:hint="eastAsia"/>
          <w:rtl/>
        </w:rPr>
        <w:t>الحسن</w:t>
      </w:r>
      <w:r w:rsidRPr="00591A13">
        <w:rPr>
          <w:rtl/>
        </w:rPr>
        <w:t xml:space="preserve"> </w:t>
      </w:r>
      <w:r w:rsidRPr="00591A13">
        <w:rPr>
          <w:rFonts w:hint="eastAsia"/>
          <w:rtl/>
        </w:rPr>
        <w:t>سيد</w:t>
      </w:r>
      <w:r w:rsidRPr="00591A13">
        <w:rPr>
          <w:rtl/>
        </w:rPr>
        <w:t xml:space="preserve"> </w:t>
      </w:r>
      <w:r w:rsidRPr="00591A13">
        <w:rPr>
          <w:rFonts w:hint="eastAsia"/>
          <w:rtl/>
        </w:rPr>
        <w:t>الدين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سالم</w:t>
      </w:r>
      <w:r w:rsidRPr="00591A13">
        <w:rPr>
          <w:rtl/>
        </w:rPr>
        <w:t xml:space="preserve"> </w:t>
      </w:r>
      <w:r w:rsidRPr="00591A13">
        <w:rPr>
          <w:rFonts w:hint="eastAsia"/>
          <w:rtl/>
        </w:rPr>
        <w:t>الثعلبي</w:t>
      </w:r>
      <w:r w:rsidRPr="00591A13">
        <w:rPr>
          <w:rtl/>
        </w:rPr>
        <w:t xml:space="preserve"> </w:t>
      </w:r>
      <w:r w:rsidRPr="00591A13">
        <w:rPr>
          <w:rFonts w:hint="eastAsia"/>
          <w:rtl/>
        </w:rPr>
        <w:t>الآمدي</w:t>
      </w:r>
      <w:r w:rsidRPr="00591A13">
        <w:rPr>
          <w:rtl/>
        </w:rPr>
        <w:t xml:space="preserve"> ( </w:t>
      </w:r>
      <w:r w:rsidRPr="00591A13">
        <w:rPr>
          <w:rFonts w:hint="eastAsia"/>
          <w:rtl/>
        </w:rPr>
        <w:t>ت</w:t>
      </w:r>
      <w:r w:rsidRPr="00591A13">
        <w:rPr>
          <w:rtl/>
        </w:rPr>
        <w:t xml:space="preserve"> 631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الإحكام</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أصول</w:t>
      </w:r>
      <w:r w:rsidRPr="00591A13">
        <w:rPr>
          <w:b/>
          <w:bCs/>
          <w:rtl/>
        </w:rPr>
        <w:t xml:space="preserve"> </w:t>
      </w:r>
      <w:r w:rsidRPr="00591A13">
        <w:rPr>
          <w:rFonts w:hint="eastAsia"/>
          <w:b/>
          <w:bCs/>
          <w:rtl/>
        </w:rPr>
        <w:t>الأحكام</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علّق</w:t>
      </w:r>
      <w:r w:rsidRPr="00591A13">
        <w:rPr>
          <w:rtl/>
        </w:rPr>
        <w:t xml:space="preserve"> </w:t>
      </w:r>
      <w:r w:rsidRPr="00591A13">
        <w:rPr>
          <w:rFonts w:hint="eastAsia"/>
          <w:rtl/>
        </w:rPr>
        <w:t>عليه</w:t>
      </w:r>
      <w:r w:rsidRPr="00591A13">
        <w:rPr>
          <w:rtl/>
        </w:rPr>
        <w:t xml:space="preserve"> </w:t>
      </w:r>
      <w:r w:rsidRPr="00591A13">
        <w:rPr>
          <w:rFonts w:hint="eastAsia"/>
          <w:rtl/>
        </w:rPr>
        <w:t>عبد</w:t>
      </w:r>
      <w:r w:rsidRPr="00591A13">
        <w:rPr>
          <w:rtl/>
        </w:rPr>
        <w:t xml:space="preserve"> </w:t>
      </w:r>
      <w:r w:rsidRPr="00591A13">
        <w:rPr>
          <w:rFonts w:hint="eastAsia"/>
          <w:rtl/>
        </w:rPr>
        <w:t>الرزاق</w:t>
      </w:r>
      <w:r w:rsidRPr="00591A13">
        <w:rPr>
          <w:rtl/>
        </w:rPr>
        <w:t xml:space="preserve"> </w:t>
      </w:r>
      <w:r w:rsidRPr="00591A13">
        <w:rPr>
          <w:rFonts w:hint="eastAsia"/>
          <w:rtl/>
        </w:rPr>
        <w:t>عفيفي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الصميعي،</w:t>
      </w:r>
      <w:r w:rsidRPr="00591A13">
        <w:rPr>
          <w:rtl/>
        </w:rPr>
        <w:t xml:space="preserve"> </w:t>
      </w:r>
      <w:r w:rsidRPr="00591A13">
        <w:rPr>
          <w:rFonts w:hint="eastAsia"/>
          <w:rtl/>
        </w:rPr>
        <w:t>الرياض،</w:t>
      </w:r>
      <w:r w:rsidRPr="00591A13">
        <w:rPr>
          <w:rtl/>
        </w:rPr>
        <w:t xml:space="preserve"> 2003</w:t>
      </w:r>
      <w:r w:rsidRPr="00591A13">
        <w:rPr>
          <w:rFonts w:hint="eastAsia"/>
          <w:rtl/>
        </w:rPr>
        <w:t>م</w:t>
      </w:r>
      <w:r w:rsidRPr="00591A13">
        <w:rPr>
          <w:rtl/>
        </w:rPr>
        <w:t>.</w:t>
      </w:r>
    </w:p>
    <w:p w:rsidR="005F44B2" w:rsidRDefault="005F44B2" w:rsidP="00CC0F85">
      <w:pPr>
        <w:pStyle w:val="Subtitle"/>
        <w:numPr>
          <w:ilvl w:val="0"/>
          <w:numId w:val="46"/>
        </w:numPr>
        <w:spacing w:line="259" w:lineRule="auto"/>
        <w:jc w:val="both"/>
        <w:rPr>
          <w:rtl/>
        </w:rPr>
      </w:pPr>
      <w:r w:rsidRPr="00591A13">
        <w:rPr>
          <w:rFonts w:hint="eastAsia"/>
          <w:rtl/>
        </w:rPr>
        <w:t>البجيرمي،</w:t>
      </w:r>
      <w:r w:rsidRPr="00591A13">
        <w:rPr>
          <w:rtl/>
        </w:rPr>
        <w:t xml:space="preserve"> </w:t>
      </w:r>
      <w:r w:rsidRPr="00591A13">
        <w:rPr>
          <w:rFonts w:hint="eastAsia"/>
          <w:rtl/>
        </w:rPr>
        <w:t>سليمان</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عمر</w:t>
      </w:r>
      <w:r w:rsidRPr="00591A13">
        <w:rPr>
          <w:rtl/>
        </w:rPr>
        <w:t xml:space="preserve"> </w:t>
      </w:r>
      <w:r w:rsidRPr="00591A13">
        <w:rPr>
          <w:rFonts w:hint="eastAsia"/>
          <w:rtl/>
        </w:rPr>
        <w:t>البجيرمي</w:t>
      </w:r>
      <w:r w:rsidRPr="00591A13">
        <w:rPr>
          <w:rtl/>
        </w:rPr>
        <w:t xml:space="preserve"> (</w:t>
      </w:r>
      <w:r w:rsidRPr="00591A13">
        <w:rPr>
          <w:rFonts w:hint="eastAsia"/>
          <w:rtl/>
        </w:rPr>
        <w:t>ت</w:t>
      </w:r>
      <w:r w:rsidRPr="00591A13">
        <w:rPr>
          <w:rtl/>
        </w:rPr>
        <w:t xml:space="preserve"> 1221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التجريد</w:t>
      </w:r>
      <w:r w:rsidRPr="00591A13">
        <w:rPr>
          <w:b/>
          <w:bCs/>
          <w:rtl/>
        </w:rPr>
        <w:t xml:space="preserve"> </w:t>
      </w:r>
      <w:r w:rsidRPr="00591A13">
        <w:rPr>
          <w:rFonts w:hint="eastAsia"/>
          <w:b/>
          <w:bCs/>
          <w:rtl/>
        </w:rPr>
        <w:t>لنفع</w:t>
      </w:r>
      <w:r w:rsidRPr="00591A13">
        <w:rPr>
          <w:b/>
          <w:bCs/>
          <w:rtl/>
        </w:rPr>
        <w:t xml:space="preserve"> </w:t>
      </w:r>
      <w:r w:rsidRPr="00591A13">
        <w:rPr>
          <w:rFonts w:hint="eastAsia"/>
          <w:b/>
          <w:bCs/>
          <w:rtl/>
        </w:rPr>
        <w:t>العبيد</w:t>
      </w:r>
      <w:r w:rsidRPr="00591A13">
        <w:rPr>
          <w:b/>
          <w:bCs/>
          <w:rtl/>
        </w:rPr>
        <w:t xml:space="preserve"> = </w:t>
      </w:r>
      <w:r w:rsidRPr="00591A13">
        <w:rPr>
          <w:rFonts w:hint="eastAsia"/>
          <w:b/>
          <w:bCs/>
          <w:rtl/>
        </w:rPr>
        <w:t>حاشية</w:t>
      </w:r>
      <w:r w:rsidRPr="00591A13">
        <w:rPr>
          <w:b/>
          <w:bCs/>
          <w:rtl/>
        </w:rPr>
        <w:t xml:space="preserve"> </w:t>
      </w:r>
      <w:r w:rsidRPr="00591A13">
        <w:rPr>
          <w:rFonts w:hint="eastAsia"/>
          <w:b/>
          <w:bCs/>
          <w:rtl/>
        </w:rPr>
        <w:t>البجيرمي</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المنهج</w:t>
      </w:r>
      <w:r w:rsidRPr="00591A13">
        <w:rPr>
          <w:rtl/>
        </w:rPr>
        <w:t xml:space="preserve"> (</w:t>
      </w:r>
      <w:r w:rsidRPr="00591A13">
        <w:rPr>
          <w:rFonts w:hint="eastAsia"/>
          <w:rtl/>
        </w:rPr>
        <w:t>منهج</w:t>
      </w:r>
      <w:r w:rsidRPr="00591A13">
        <w:rPr>
          <w:rtl/>
        </w:rPr>
        <w:t xml:space="preserve"> </w:t>
      </w:r>
      <w:r w:rsidRPr="00591A13">
        <w:rPr>
          <w:rFonts w:hint="eastAsia"/>
          <w:rtl/>
        </w:rPr>
        <w:t>الطلاب</w:t>
      </w:r>
      <w:r w:rsidRPr="00591A13">
        <w:rPr>
          <w:rtl/>
        </w:rPr>
        <w:t xml:space="preserve"> </w:t>
      </w:r>
      <w:r w:rsidRPr="00591A13">
        <w:rPr>
          <w:rFonts w:hint="eastAsia"/>
          <w:rtl/>
        </w:rPr>
        <w:t>اختصره</w:t>
      </w:r>
      <w:r w:rsidRPr="00591A13">
        <w:rPr>
          <w:rtl/>
        </w:rPr>
        <w:t xml:space="preserve"> </w:t>
      </w:r>
      <w:r w:rsidRPr="00591A13">
        <w:rPr>
          <w:rFonts w:hint="eastAsia"/>
          <w:rtl/>
        </w:rPr>
        <w:t>زكريا</w:t>
      </w:r>
      <w:r w:rsidRPr="00591A13">
        <w:rPr>
          <w:rtl/>
        </w:rPr>
        <w:t xml:space="preserve"> </w:t>
      </w:r>
      <w:r w:rsidRPr="00591A13">
        <w:rPr>
          <w:rFonts w:hint="eastAsia"/>
          <w:rtl/>
        </w:rPr>
        <w:t>الأنصاري</w:t>
      </w:r>
      <w:r w:rsidRPr="00591A13">
        <w:rPr>
          <w:rtl/>
        </w:rPr>
        <w:t xml:space="preserve"> </w:t>
      </w:r>
      <w:r w:rsidRPr="00591A13">
        <w:rPr>
          <w:rFonts w:hint="eastAsia"/>
          <w:rtl/>
        </w:rPr>
        <w:t>من</w:t>
      </w:r>
      <w:r w:rsidRPr="00591A13">
        <w:rPr>
          <w:rtl/>
        </w:rPr>
        <w:t xml:space="preserve"> </w:t>
      </w:r>
      <w:r w:rsidRPr="00591A13">
        <w:rPr>
          <w:rFonts w:hint="eastAsia"/>
          <w:rtl/>
        </w:rPr>
        <w:t>منهاج</w:t>
      </w:r>
      <w:r w:rsidRPr="00591A13">
        <w:rPr>
          <w:rtl/>
        </w:rPr>
        <w:t xml:space="preserve"> </w:t>
      </w:r>
      <w:r w:rsidRPr="00591A13">
        <w:rPr>
          <w:rFonts w:hint="eastAsia"/>
          <w:rtl/>
        </w:rPr>
        <w:t>الطالبين</w:t>
      </w:r>
      <w:r w:rsidRPr="00591A13">
        <w:rPr>
          <w:rtl/>
        </w:rPr>
        <w:t xml:space="preserve"> </w:t>
      </w:r>
      <w:r w:rsidRPr="00591A13">
        <w:rPr>
          <w:rFonts w:hint="eastAsia"/>
          <w:rtl/>
        </w:rPr>
        <w:t>للنووي</w:t>
      </w:r>
      <w:r w:rsidRPr="00591A13">
        <w:rPr>
          <w:rtl/>
        </w:rPr>
        <w:t xml:space="preserve"> </w:t>
      </w:r>
      <w:r w:rsidRPr="00591A13">
        <w:rPr>
          <w:rFonts w:hint="eastAsia"/>
          <w:rtl/>
        </w:rPr>
        <w:t>ثم</w:t>
      </w:r>
      <w:r w:rsidRPr="00591A13">
        <w:rPr>
          <w:rtl/>
        </w:rPr>
        <w:t xml:space="preserve"> </w:t>
      </w:r>
      <w:r w:rsidRPr="00591A13">
        <w:rPr>
          <w:rFonts w:hint="eastAsia"/>
          <w:rtl/>
        </w:rPr>
        <w:t>شرحه</w:t>
      </w:r>
      <w:r w:rsidRPr="00591A13">
        <w:rPr>
          <w:rtl/>
        </w:rPr>
        <w:t xml:space="preserve"> </w:t>
      </w:r>
      <w:r w:rsidRPr="00591A13">
        <w:rPr>
          <w:rFonts w:hint="eastAsia"/>
          <w:rtl/>
        </w:rPr>
        <w:t>في</w:t>
      </w:r>
      <w:r w:rsidRPr="00591A13">
        <w:rPr>
          <w:rtl/>
        </w:rPr>
        <w:t xml:space="preserve"> </w:t>
      </w:r>
      <w:r w:rsidRPr="00591A13">
        <w:rPr>
          <w:rFonts w:hint="eastAsia"/>
          <w:rtl/>
        </w:rPr>
        <w:t>شرح</w:t>
      </w:r>
      <w:r w:rsidRPr="00591A13">
        <w:rPr>
          <w:rtl/>
        </w:rPr>
        <w:t xml:space="preserve"> </w:t>
      </w:r>
      <w:r w:rsidRPr="00591A13">
        <w:rPr>
          <w:rFonts w:hint="eastAsia"/>
          <w:rtl/>
        </w:rPr>
        <w:t>منهج</w:t>
      </w:r>
      <w:r w:rsidRPr="00591A13">
        <w:rPr>
          <w:rtl/>
        </w:rPr>
        <w:t xml:space="preserve"> </w:t>
      </w:r>
      <w:r w:rsidRPr="00591A13">
        <w:rPr>
          <w:rFonts w:hint="eastAsia"/>
          <w:rtl/>
        </w:rPr>
        <w:t>الطلاب</w:t>
      </w:r>
      <w:r w:rsidRPr="00591A13">
        <w:rPr>
          <w:rtl/>
        </w:rPr>
        <w:t>)</w:t>
      </w:r>
      <w:r w:rsidRPr="00591A13">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مطبعة</w:t>
      </w:r>
      <w:r w:rsidRPr="00591A13">
        <w:rPr>
          <w:rtl/>
        </w:rPr>
        <w:t xml:space="preserve"> </w:t>
      </w:r>
      <w:r w:rsidRPr="00591A13">
        <w:rPr>
          <w:rFonts w:hint="eastAsia"/>
          <w:rtl/>
        </w:rPr>
        <w:t>الحلبي،</w:t>
      </w:r>
      <w:r w:rsidRPr="00591A13">
        <w:rPr>
          <w:rtl/>
        </w:rPr>
        <w:t xml:space="preserve"> 1950 </w:t>
      </w:r>
      <w:r w:rsidRPr="00591A13">
        <w:rPr>
          <w:rFonts w:hint="eastAsia"/>
          <w:rtl/>
        </w:rPr>
        <w:t>م</w:t>
      </w:r>
      <w:r w:rsidRPr="00591A13">
        <w:rPr>
          <w:rtl/>
        </w:rPr>
        <w:t>.</w:t>
      </w:r>
    </w:p>
    <w:p w:rsidR="005F44B2" w:rsidRPr="00426BE3" w:rsidRDefault="005F44B2" w:rsidP="00426BE3">
      <w:pPr>
        <w:pStyle w:val="Subtitle"/>
        <w:numPr>
          <w:ilvl w:val="0"/>
          <w:numId w:val="0"/>
        </w:numPr>
      </w:pPr>
    </w:p>
    <w:p w:rsidR="005F44B2" w:rsidRDefault="005F44B2" w:rsidP="00067A72">
      <w:pPr>
        <w:pStyle w:val="Subtitle"/>
        <w:numPr>
          <w:ilvl w:val="0"/>
          <w:numId w:val="46"/>
        </w:numPr>
        <w:spacing w:line="259" w:lineRule="auto"/>
        <w:jc w:val="both"/>
        <w:rPr>
          <w:rtl/>
        </w:rPr>
      </w:pPr>
      <w:r w:rsidRPr="00591A13">
        <w:rPr>
          <w:rFonts w:hint="eastAsia"/>
          <w:rtl/>
        </w:rPr>
        <w:t>البخاري،</w:t>
      </w:r>
      <w:r w:rsidRPr="00591A13">
        <w:rPr>
          <w:rtl/>
        </w:rPr>
        <w:t xml:space="preserve"> </w:t>
      </w:r>
      <w:r w:rsidRPr="00591A13">
        <w:rPr>
          <w:rFonts w:hint="eastAsia"/>
          <w:rtl/>
        </w:rPr>
        <w:t>عبد</w:t>
      </w:r>
      <w:r w:rsidRPr="00591A13">
        <w:rPr>
          <w:rtl/>
        </w:rPr>
        <w:t xml:space="preserve"> </w:t>
      </w:r>
      <w:r w:rsidRPr="00591A13">
        <w:rPr>
          <w:rFonts w:hint="eastAsia"/>
          <w:rtl/>
        </w:rPr>
        <w:t>العزيز</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علاء</w:t>
      </w:r>
      <w:r w:rsidRPr="00591A13">
        <w:rPr>
          <w:rtl/>
        </w:rPr>
        <w:t xml:space="preserve"> </w:t>
      </w:r>
      <w:r w:rsidRPr="00591A13">
        <w:rPr>
          <w:rFonts w:hint="eastAsia"/>
          <w:rtl/>
        </w:rPr>
        <w:t>الدين</w:t>
      </w:r>
      <w:r w:rsidRPr="00591A13">
        <w:rPr>
          <w:rtl/>
        </w:rPr>
        <w:t xml:space="preserve"> </w:t>
      </w:r>
      <w:r w:rsidRPr="00591A13">
        <w:rPr>
          <w:rFonts w:hint="eastAsia"/>
          <w:rtl/>
        </w:rPr>
        <w:t>البخاري</w:t>
      </w:r>
      <w:r w:rsidRPr="00591A13">
        <w:rPr>
          <w:rtl/>
        </w:rPr>
        <w:t xml:space="preserve"> </w:t>
      </w:r>
      <w:r w:rsidRPr="00591A13">
        <w:rPr>
          <w:rFonts w:hint="eastAsia"/>
          <w:rtl/>
        </w:rPr>
        <w:t>الحنفي</w:t>
      </w:r>
      <w:r w:rsidRPr="00591A13">
        <w:rPr>
          <w:rtl/>
        </w:rPr>
        <w:t xml:space="preserve"> ( </w:t>
      </w:r>
      <w:r w:rsidRPr="00591A13">
        <w:rPr>
          <w:rFonts w:hint="eastAsia"/>
          <w:rtl/>
        </w:rPr>
        <w:t>ت</w:t>
      </w:r>
      <w:r w:rsidRPr="00591A13">
        <w:rPr>
          <w:rtl/>
        </w:rPr>
        <w:t xml:space="preserve"> 730</w:t>
      </w:r>
      <w:r w:rsidRPr="00591A13">
        <w:rPr>
          <w:rFonts w:hint="eastAsia"/>
          <w:rtl/>
        </w:rPr>
        <w:t>هـ</w:t>
      </w:r>
      <w:r w:rsidRPr="00591A13">
        <w:rPr>
          <w:rtl/>
        </w:rPr>
        <w:t xml:space="preserve"> )</w:t>
      </w:r>
      <w:r w:rsidRPr="00591A13">
        <w:rPr>
          <w:rFonts w:hint="eastAsia"/>
          <w:rtl/>
        </w:rPr>
        <w:t>،</w:t>
      </w:r>
      <w:r w:rsidRPr="00591A13">
        <w:rPr>
          <w:rtl/>
        </w:rPr>
        <w:t xml:space="preserve"> </w:t>
      </w:r>
      <w:r w:rsidRPr="00591A13">
        <w:rPr>
          <w:rFonts w:hint="eastAsia"/>
          <w:b/>
          <w:bCs/>
          <w:rtl/>
        </w:rPr>
        <w:t>كشف</w:t>
      </w:r>
      <w:r w:rsidRPr="00591A13">
        <w:rPr>
          <w:b/>
          <w:bCs/>
          <w:rtl/>
        </w:rPr>
        <w:t xml:space="preserve"> </w:t>
      </w:r>
      <w:r w:rsidRPr="00591A13">
        <w:rPr>
          <w:rFonts w:hint="eastAsia"/>
          <w:b/>
          <w:bCs/>
          <w:rtl/>
        </w:rPr>
        <w:t>الأسرار</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أصول</w:t>
      </w:r>
      <w:r w:rsidRPr="00591A13">
        <w:rPr>
          <w:b/>
          <w:bCs/>
          <w:rtl/>
        </w:rPr>
        <w:t xml:space="preserve"> </w:t>
      </w:r>
      <w:r w:rsidRPr="00591A13">
        <w:rPr>
          <w:rFonts w:hint="eastAsia"/>
          <w:b/>
          <w:bCs/>
          <w:rtl/>
        </w:rPr>
        <w:t>البزدوي</w:t>
      </w:r>
      <w:r>
        <w:rPr>
          <w:rFonts w:hint="eastAsia"/>
          <w:rtl/>
        </w:rPr>
        <w:t>،</w:t>
      </w:r>
      <w:r>
        <w:rPr>
          <w:rtl/>
        </w:rPr>
        <w:t xml:space="preserve"> </w:t>
      </w:r>
      <w:r>
        <w:rPr>
          <w:rFonts w:hint="eastAsia"/>
          <w:rtl/>
        </w:rPr>
        <w:t>ط</w:t>
      </w:r>
      <w:r>
        <w:rPr>
          <w:rtl/>
        </w:rPr>
        <w:t>1</w:t>
      </w:r>
      <w:r w:rsidRPr="00591A13">
        <w:rPr>
          <w:rFonts w:hint="eastAsia"/>
          <w:rtl/>
        </w:rPr>
        <w:t>،</w:t>
      </w:r>
      <w:r>
        <w:rPr>
          <w:rtl/>
        </w:rPr>
        <w:t xml:space="preserve"> (</w:t>
      </w:r>
      <w:r>
        <w:rPr>
          <w:rFonts w:hint="eastAsia"/>
          <w:rtl/>
        </w:rPr>
        <w:t>تحقيق</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محمد</w:t>
      </w:r>
      <w:r>
        <w:rPr>
          <w:rtl/>
        </w:rPr>
        <w:t xml:space="preserve"> </w:t>
      </w:r>
      <w:r>
        <w:rPr>
          <w:rFonts w:hint="eastAsia"/>
          <w:rtl/>
        </w:rPr>
        <w:t>عمر</w:t>
      </w:r>
      <w:r>
        <w:rPr>
          <w:rtl/>
        </w:rPr>
        <w:t>)</w:t>
      </w:r>
      <w:r>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1997</w:t>
      </w:r>
      <w:r w:rsidRPr="00591A13">
        <w:rPr>
          <w:rFonts w:hint="eastAsia"/>
          <w:rtl/>
        </w:rPr>
        <w:t>م</w:t>
      </w:r>
      <w:r w:rsidRPr="00591A13">
        <w:rPr>
          <w:rtl/>
        </w:rPr>
        <w:t>.</w:t>
      </w:r>
    </w:p>
    <w:p w:rsidR="005F44B2" w:rsidRPr="00426BE3" w:rsidRDefault="005F44B2" w:rsidP="00067A72">
      <w:pPr>
        <w:pStyle w:val="Subtitle"/>
        <w:numPr>
          <w:ilvl w:val="0"/>
          <w:numId w:val="46"/>
        </w:numPr>
      </w:pPr>
      <w:r w:rsidRPr="00426BE3">
        <w:rPr>
          <w:rFonts w:hint="eastAsia"/>
          <w:rtl/>
        </w:rPr>
        <w:t>البخاري،</w:t>
      </w:r>
      <w:r w:rsidRPr="00426BE3">
        <w:rPr>
          <w:rtl/>
        </w:rPr>
        <w:t xml:space="preserve"> </w:t>
      </w:r>
      <w:r w:rsidRPr="00426BE3">
        <w:rPr>
          <w:rFonts w:hint="eastAsia"/>
          <w:rtl/>
        </w:rPr>
        <w:t>أبو</w:t>
      </w:r>
      <w:r w:rsidRPr="00426BE3">
        <w:rPr>
          <w:rtl/>
        </w:rPr>
        <w:t xml:space="preserve"> </w:t>
      </w:r>
      <w:r w:rsidRPr="00426BE3">
        <w:rPr>
          <w:rFonts w:hint="eastAsia"/>
          <w:rtl/>
        </w:rPr>
        <w:t>عبد</w:t>
      </w:r>
      <w:r w:rsidRPr="00426BE3">
        <w:rPr>
          <w:rtl/>
        </w:rPr>
        <w:t xml:space="preserve"> </w:t>
      </w:r>
      <w:r w:rsidRPr="00426BE3">
        <w:rPr>
          <w:rFonts w:hint="eastAsia"/>
          <w:rtl/>
        </w:rPr>
        <w:t>الله</w:t>
      </w:r>
      <w:r w:rsidRPr="00426BE3">
        <w:rPr>
          <w:rtl/>
        </w:rPr>
        <w:t xml:space="preserve"> </w:t>
      </w:r>
      <w:r w:rsidRPr="00426BE3">
        <w:rPr>
          <w:rFonts w:hint="eastAsia"/>
          <w:rtl/>
        </w:rPr>
        <w:t>محمد</w:t>
      </w:r>
      <w:r w:rsidRPr="00426BE3">
        <w:rPr>
          <w:rtl/>
        </w:rPr>
        <w:t xml:space="preserve"> </w:t>
      </w:r>
      <w:r w:rsidRPr="00426BE3">
        <w:rPr>
          <w:rFonts w:hint="eastAsia"/>
          <w:rtl/>
        </w:rPr>
        <w:t>بي</w:t>
      </w:r>
      <w:r w:rsidRPr="00426BE3">
        <w:rPr>
          <w:rtl/>
        </w:rPr>
        <w:t xml:space="preserve"> </w:t>
      </w:r>
      <w:r w:rsidRPr="00426BE3">
        <w:rPr>
          <w:rFonts w:hint="eastAsia"/>
          <w:rtl/>
        </w:rPr>
        <w:t>إسماعيل</w:t>
      </w:r>
      <w:r w:rsidRPr="00426BE3">
        <w:rPr>
          <w:rtl/>
        </w:rPr>
        <w:t xml:space="preserve"> </w:t>
      </w:r>
      <w:r w:rsidRPr="00426BE3">
        <w:rPr>
          <w:rFonts w:hint="eastAsia"/>
          <w:rtl/>
        </w:rPr>
        <w:t>البخاري</w:t>
      </w:r>
      <w:r w:rsidRPr="00426BE3">
        <w:rPr>
          <w:rtl/>
        </w:rPr>
        <w:t xml:space="preserve"> (</w:t>
      </w:r>
      <w:r>
        <w:rPr>
          <w:rFonts w:hint="eastAsia"/>
          <w:rtl/>
        </w:rPr>
        <w:t>ت</w:t>
      </w:r>
      <w:r>
        <w:rPr>
          <w:rtl/>
        </w:rPr>
        <w:t xml:space="preserve"> </w:t>
      </w:r>
      <w:r w:rsidRPr="00426BE3">
        <w:rPr>
          <w:rtl/>
        </w:rPr>
        <w:t>256</w:t>
      </w:r>
      <w:r w:rsidRPr="00426BE3">
        <w:rPr>
          <w:rFonts w:hint="eastAsia"/>
          <w:rtl/>
        </w:rPr>
        <w:t>هـ</w:t>
      </w:r>
      <w:r w:rsidRPr="00426BE3">
        <w:rPr>
          <w:rtl/>
        </w:rPr>
        <w:t>)</w:t>
      </w:r>
      <w:r w:rsidRPr="00426BE3">
        <w:rPr>
          <w:rFonts w:hint="eastAsia"/>
          <w:rtl/>
        </w:rPr>
        <w:t>،</w:t>
      </w:r>
      <w:r w:rsidRPr="00426BE3">
        <w:rPr>
          <w:rtl/>
        </w:rPr>
        <w:t xml:space="preserve"> </w:t>
      </w:r>
      <w:r w:rsidRPr="00426BE3">
        <w:rPr>
          <w:rFonts w:hint="eastAsia"/>
          <w:b/>
          <w:bCs/>
          <w:rtl/>
        </w:rPr>
        <w:t>الجامع</w:t>
      </w:r>
      <w:r w:rsidRPr="00426BE3">
        <w:rPr>
          <w:b/>
          <w:bCs/>
          <w:rtl/>
        </w:rPr>
        <w:t xml:space="preserve"> </w:t>
      </w:r>
      <w:r w:rsidRPr="00426BE3">
        <w:rPr>
          <w:rFonts w:hint="eastAsia"/>
          <w:b/>
          <w:bCs/>
          <w:rtl/>
        </w:rPr>
        <w:t>المسند</w:t>
      </w:r>
      <w:r w:rsidRPr="00426BE3">
        <w:rPr>
          <w:b/>
          <w:bCs/>
          <w:rtl/>
        </w:rPr>
        <w:t xml:space="preserve"> </w:t>
      </w:r>
      <w:r w:rsidRPr="00426BE3">
        <w:rPr>
          <w:rFonts w:hint="eastAsia"/>
          <w:b/>
          <w:bCs/>
          <w:rtl/>
        </w:rPr>
        <w:t>الصحيح</w:t>
      </w:r>
      <w:r w:rsidRPr="00426BE3">
        <w:rPr>
          <w:b/>
          <w:bCs/>
          <w:rtl/>
        </w:rPr>
        <w:t xml:space="preserve"> </w:t>
      </w:r>
      <w:r w:rsidRPr="00426BE3">
        <w:rPr>
          <w:rFonts w:hint="eastAsia"/>
          <w:b/>
          <w:bCs/>
          <w:rtl/>
        </w:rPr>
        <w:t>المختصر</w:t>
      </w:r>
      <w:r w:rsidRPr="00426BE3">
        <w:rPr>
          <w:b/>
          <w:bCs/>
          <w:rtl/>
        </w:rPr>
        <w:t xml:space="preserve"> </w:t>
      </w:r>
      <w:r w:rsidRPr="00426BE3">
        <w:rPr>
          <w:rFonts w:hint="eastAsia"/>
          <w:b/>
          <w:bCs/>
          <w:rtl/>
        </w:rPr>
        <w:t>من</w:t>
      </w:r>
      <w:r w:rsidRPr="00426BE3">
        <w:rPr>
          <w:b/>
          <w:bCs/>
          <w:rtl/>
        </w:rPr>
        <w:t xml:space="preserve"> </w:t>
      </w:r>
      <w:r w:rsidRPr="00426BE3">
        <w:rPr>
          <w:rFonts w:hint="eastAsia"/>
          <w:b/>
          <w:bCs/>
          <w:rtl/>
        </w:rPr>
        <w:t>أمور</w:t>
      </w:r>
      <w:r w:rsidRPr="00426BE3">
        <w:rPr>
          <w:b/>
          <w:bCs/>
          <w:rtl/>
        </w:rPr>
        <w:t xml:space="preserve"> </w:t>
      </w:r>
      <w:r w:rsidRPr="00426BE3">
        <w:rPr>
          <w:rFonts w:hint="eastAsia"/>
          <w:b/>
          <w:bCs/>
          <w:rtl/>
        </w:rPr>
        <w:t>رسول</w:t>
      </w:r>
      <w:r w:rsidRPr="00426BE3">
        <w:rPr>
          <w:b/>
          <w:bCs/>
          <w:rtl/>
        </w:rPr>
        <w:t xml:space="preserve"> </w:t>
      </w:r>
      <w:r w:rsidRPr="00426BE3">
        <w:rPr>
          <w:rFonts w:hint="eastAsia"/>
          <w:b/>
          <w:bCs/>
          <w:rtl/>
        </w:rPr>
        <w:t>الله</w:t>
      </w:r>
      <w:r w:rsidRPr="00426BE3">
        <w:rPr>
          <w:b/>
          <w:bCs/>
          <w:rtl/>
        </w:rPr>
        <w:t xml:space="preserve"> </w:t>
      </w:r>
      <w:r w:rsidRPr="00426BE3">
        <w:rPr>
          <w:rFonts w:hint="eastAsia"/>
          <w:b/>
          <w:bCs/>
          <w:rtl/>
        </w:rPr>
        <w:t>صلى</w:t>
      </w:r>
      <w:r w:rsidRPr="00426BE3">
        <w:rPr>
          <w:b/>
          <w:bCs/>
          <w:rtl/>
        </w:rPr>
        <w:t xml:space="preserve"> </w:t>
      </w:r>
      <w:r w:rsidRPr="00426BE3">
        <w:rPr>
          <w:rFonts w:hint="eastAsia"/>
          <w:b/>
          <w:bCs/>
          <w:rtl/>
        </w:rPr>
        <w:t>الله</w:t>
      </w:r>
      <w:r w:rsidRPr="00426BE3">
        <w:rPr>
          <w:b/>
          <w:bCs/>
          <w:rtl/>
        </w:rPr>
        <w:t xml:space="preserve"> </w:t>
      </w:r>
      <w:r w:rsidRPr="00426BE3">
        <w:rPr>
          <w:rFonts w:hint="eastAsia"/>
          <w:b/>
          <w:bCs/>
          <w:rtl/>
        </w:rPr>
        <w:t>عليه</w:t>
      </w:r>
      <w:r w:rsidRPr="00426BE3">
        <w:rPr>
          <w:b/>
          <w:bCs/>
          <w:rtl/>
        </w:rPr>
        <w:t xml:space="preserve"> </w:t>
      </w:r>
      <w:r w:rsidRPr="00426BE3">
        <w:rPr>
          <w:rFonts w:hint="eastAsia"/>
          <w:b/>
          <w:bCs/>
          <w:rtl/>
        </w:rPr>
        <w:t>وسلم</w:t>
      </w:r>
      <w:r w:rsidRPr="00426BE3">
        <w:rPr>
          <w:b/>
          <w:bCs/>
          <w:rtl/>
        </w:rPr>
        <w:t xml:space="preserve"> </w:t>
      </w:r>
      <w:r w:rsidRPr="00426BE3">
        <w:rPr>
          <w:rFonts w:hint="eastAsia"/>
          <w:b/>
          <w:bCs/>
          <w:rtl/>
        </w:rPr>
        <w:t>وسننه</w:t>
      </w:r>
      <w:r w:rsidRPr="00426BE3">
        <w:rPr>
          <w:b/>
          <w:bCs/>
          <w:rtl/>
        </w:rPr>
        <w:t xml:space="preserve"> </w:t>
      </w:r>
      <w:r w:rsidRPr="00426BE3">
        <w:rPr>
          <w:rFonts w:hint="eastAsia"/>
          <w:b/>
          <w:bCs/>
          <w:rtl/>
        </w:rPr>
        <w:t>وأيامه</w:t>
      </w:r>
      <w:r w:rsidRPr="00426BE3">
        <w:rPr>
          <w:b/>
          <w:bCs/>
          <w:rtl/>
        </w:rPr>
        <w:t xml:space="preserve"> </w:t>
      </w:r>
      <w:r w:rsidRPr="00426BE3">
        <w:rPr>
          <w:rFonts w:hint="eastAsia"/>
          <w:b/>
          <w:bCs/>
          <w:rtl/>
        </w:rPr>
        <w:t>مشهور</w:t>
      </w:r>
      <w:r w:rsidRPr="00426BE3">
        <w:rPr>
          <w:b/>
          <w:bCs/>
          <w:rtl/>
        </w:rPr>
        <w:t xml:space="preserve"> </w:t>
      </w:r>
      <w:r w:rsidRPr="00426BE3">
        <w:rPr>
          <w:rFonts w:hint="eastAsia"/>
          <w:b/>
          <w:bCs/>
          <w:rtl/>
        </w:rPr>
        <w:t>بصحيح</w:t>
      </w:r>
      <w:r w:rsidRPr="00426BE3">
        <w:rPr>
          <w:b/>
          <w:bCs/>
          <w:rtl/>
        </w:rPr>
        <w:t xml:space="preserve"> </w:t>
      </w:r>
      <w:r w:rsidRPr="00426BE3">
        <w:rPr>
          <w:rFonts w:hint="eastAsia"/>
          <w:b/>
          <w:bCs/>
          <w:rtl/>
        </w:rPr>
        <w:t>البخاري</w:t>
      </w:r>
      <w:r w:rsidRPr="00426BE3">
        <w:rPr>
          <w:rFonts w:hint="eastAsia"/>
          <w:rtl/>
        </w:rPr>
        <w:t>،</w:t>
      </w:r>
      <w:r w:rsidRPr="00426BE3">
        <w:rPr>
          <w:rtl/>
        </w:rPr>
        <w:t xml:space="preserve"> </w:t>
      </w:r>
      <w:r w:rsidRPr="00426BE3">
        <w:rPr>
          <w:rFonts w:hint="eastAsia"/>
          <w:rtl/>
        </w:rPr>
        <w:t>ط</w:t>
      </w:r>
      <w:r w:rsidRPr="00426BE3">
        <w:rPr>
          <w:rtl/>
        </w:rPr>
        <w:t>1</w:t>
      </w:r>
      <w:r w:rsidRPr="00426BE3">
        <w:rPr>
          <w:rFonts w:hint="eastAsia"/>
          <w:rtl/>
        </w:rPr>
        <w:t>،</w:t>
      </w:r>
      <w:r>
        <w:rPr>
          <w:rtl/>
        </w:rPr>
        <w:t xml:space="preserve"> 9</w:t>
      </w:r>
      <w:r>
        <w:rPr>
          <w:rFonts w:hint="eastAsia"/>
          <w:rtl/>
        </w:rPr>
        <w:t>م،</w:t>
      </w:r>
      <w:r>
        <w:rPr>
          <w:rtl/>
        </w:rPr>
        <w:t>(</w:t>
      </w:r>
      <w:r w:rsidRPr="00426BE3">
        <w:rPr>
          <w:rFonts w:hint="eastAsia"/>
          <w:rtl/>
        </w:rPr>
        <w:t>المحقق</w:t>
      </w:r>
      <w:r w:rsidRPr="00426BE3">
        <w:rPr>
          <w:rtl/>
        </w:rPr>
        <w:t xml:space="preserve">: </w:t>
      </w:r>
      <w:r w:rsidRPr="00426BE3">
        <w:rPr>
          <w:rFonts w:hint="eastAsia"/>
          <w:rtl/>
        </w:rPr>
        <w:t>محمد</w:t>
      </w:r>
      <w:r w:rsidRPr="00426BE3">
        <w:rPr>
          <w:rtl/>
        </w:rPr>
        <w:t xml:space="preserve"> </w:t>
      </w:r>
      <w:r w:rsidRPr="00426BE3">
        <w:rPr>
          <w:rFonts w:hint="eastAsia"/>
          <w:rtl/>
        </w:rPr>
        <w:t>زهير</w:t>
      </w:r>
      <w:r w:rsidRPr="00426BE3">
        <w:rPr>
          <w:rtl/>
        </w:rPr>
        <w:t xml:space="preserve"> </w:t>
      </w:r>
      <w:r w:rsidRPr="00426BE3">
        <w:rPr>
          <w:rFonts w:hint="eastAsia"/>
          <w:rtl/>
        </w:rPr>
        <w:t>بن</w:t>
      </w:r>
      <w:r w:rsidRPr="00426BE3">
        <w:rPr>
          <w:rtl/>
        </w:rPr>
        <w:t xml:space="preserve"> </w:t>
      </w:r>
      <w:r w:rsidRPr="00426BE3">
        <w:rPr>
          <w:rFonts w:hint="eastAsia"/>
          <w:rtl/>
        </w:rPr>
        <w:t>ناصر</w:t>
      </w:r>
      <w:r w:rsidRPr="00426BE3">
        <w:rPr>
          <w:rtl/>
        </w:rPr>
        <w:t xml:space="preserve"> </w:t>
      </w:r>
      <w:r w:rsidRPr="00426BE3">
        <w:rPr>
          <w:rFonts w:hint="eastAsia"/>
          <w:rtl/>
        </w:rPr>
        <w:t>الناصر</w:t>
      </w:r>
      <w:r>
        <w:rPr>
          <w:rtl/>
        </w:rPr>
        <w:t>)</w:t>
      </w:r>
      <w:r w:rsidRPr="00426BE3">
        <w:rPr>
          <w:rFonts w:hint="eastAsia"/>
          <w:rtl/>
        </w:rPr>
        <w:t>،</w:t>
      </w:r>
      <w:r>
        <w:rPr>
          <w:rtl/>
        </w:rPr>
        <w:t xml:space="preserve"> </w:t>
      </w:r>
      <w:r>
        <w:rPr>
          <w:rFonts w:hint="eastAsia"/>
          <w:rtl/>
        </w:rPr>
        <w:t>دار</w:t>
      </w:r>
      <w:r>
        <w:rPr>
          <w:rtl/>
        </w:rPr>
        <w:t xml:space="preserve"> </w:t>
      </w:r>
      <w:r>
        <w:rPr>
          <w:rFonts w:hint="eastAsia"/>
          <w:rtl/>
        </w:rPr>
        <w:t>طوق</w:t>
      </w:r>
      <w:r>
        <w:rPr>
          <w:rtl/>
        </w:rPr>
        <w:t xml:space="preserve"> </w:t>
      </w:r>
      <w:r>
        <w:rPr>
          <w:rFonts w:hint="eastAsia"/>
          <w:rtl/>
        </w:rPr>
        <w:t>النجاة،</w:t>
      </w:r>
      <w:r>
        <w:rPr>
          <w:rtl/>
        </w:rPr>
        <w:t xml:space="preserve"> 1422</w:t>
      </w:r>
      <w:r>
        <w:rPr>
          <w:rFonts w:hint="eastAsia"/>
          <w:rtl/>
        </w:rPr>
        <w:t>هـ</w:t>
      </w:r>
      <w:r>
        <w:rPr>
          <w:rtl/>
        </w:rPr>
        <w:t>.</w:t>
      </w:r>
    </w:p>
    <w:p w:rsidR="005F44B2" w:rsidRPr="00591A13" w:rsidRDefault="005F44B2" w:rsidP="00067A72">
      <w:pPr>
        <w:pStyle w:val="Subtitle"/>
        <w:numPr>
          <w:ilvl w:val="0"/>
          <w:numId w:val="46"/>
        </w:numPr>
        <w:spacing w:line="259" w:lineRule="auto"/>
        <w:jc w:val="both"/>
      </w:pPr>
      <w:r w:rsidRPr="00591A13">
        <w:rPr>
          <w:rFonts w:hint="eastAsia"/>
          <w:rtl/>
        </w:rPr>
        <w:t>البخاري،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إسماعيل</w:t>
      </w:r>
      <w:r w:rsidRPr="00591A13">
        <w:rPr>
          <w:rtl/>
        </w:rPr>
        <w:t xml:space="preserve"> </w:t>
      </w:r>
      <w:r w:rsidRPr="00591A13">
        <w:rPr>
          <w:rFonts w:hint="eastAsia"/>
          <w:rtl/>
        </w:rPr>
        <w:t>بن</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المغيرة</w:t>
      </w:r>
      <w:r w:rsidRPr="00591A13">
        <w:rPr>
          <w:rtl/>
        </w:rPr>
        <w:t xml:space="preserve"> </w:t>
      </w:r>
      <w:r w:rsidRPr="00591A13">
        <w:rPr>
          <w:rFonts w:hint="eastAsia"/>
          <w:rtl/>
        </w:rPr>
        <w:t>البخاري</w:t>
      </w:r>
      <w:r w:rsidRPr="00591A13">
        <w:rPr>
          <w:rtl/>
        </w:rPr>
        <w:t xml:space="preserve"> (</w:t>
      </w:r>
      <w:r w:rsidRPr="00591A13">
        <w:rPr>
          <w:rFonts w:hint="eastAsia"/>
          <w:rtl/>
        </w:rPr>
        <w:t>ت</w:t>
      </w:r>
      <w:r w:rsidRPr="00591A13">
        <w:rPr>
          <w:rtl/>
        </w:rPr>
        <w:t>: 256</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صحيح</w:t>
      </w:r>
      <w:r w:rsidRPr="00591A13">
        <w:rPr>
          <w:b/>
          <w:bCs/>
          <w:rtl/>
        </w:rPr>
        <w:t xml:space="preserve"> </w:t>
      </w:r>
      <w:r w:rsidRPr="00591A13">
        <w:rPr>
          <w:rFonts w:hint="eastAsia"/>
          <w:b/>
          <w:bCs/>
          <w:rtl/>
        </w:rPr>
        <w:t>الأدب</w:t>
      </w:r>
      <w:r w:rsidRPr="00591A13">
        <w:rPr>
          <w:b/>
          <w:bCs/>
          <w:rtl/>
        </w:rPr>
        <w:t xml:space="preserve"> </w:t>
      </w:r>
      <w:r w:rsidRPr="00591A13">
        <w:rPr>
          <w:rFonts w:hint="eastAsia"/>
          <w:b/>
          <w:bCs/>
          <w:rtl/>
        </w:rPr>
        <w:t>المفرد</w:t>
      </w:r>
      <w:r w:rsidRPr="00591A13">
        <w:rPr>
          <w:b/>
          <w:bCs/>
          <w:rtl/>
        </w:rPr>
        <w:t xml:space="preserve"> </w:t>
      </w:r>
      <w:r w:rsidRPr="00591A13">
        <w:rPr>
          <w:rFonts w:hint="eastAsia"/>
          <w:b/>
          <w:bCs/>
          <w:rtl/>
        </w:rPr>
        <w:t>للإمام</w:t>
      </w:r>
      <w:r w:rsidRPr="00591A13">
        <w:rPr>
          <w:b/>
          <w:bCs/>
          <w:rtl/>
        </w:rPr>
        <w:t xml:space="preserve"> </w:t>
      </w:r>
      <w:r w:rsidRPr="00591A13">
        <w:rPr>
          <w:rFonts w:hint="eastAsia"/>
          <w:b/>
          <w:bCs/>
          <w:rtl/>
        </w:rPr>
        <w:t>البخاري</w:t>
      </w:r>
      <w:r w:rsidRPr="00591A13">
        <w:rPr>
          <w:rFonts w:hint="eastAsia"/>
          <w:rtl/>
        </w:rPr>
        <w:t>،</w:t>
      </w:r>
      <w:r w:rsidRPr="00591A13">
        <w:rPr>
          <w:rtl/>
        </w:rPr>
        <w:t xml:space="preserve"> </w:t>
      </w:r>
      <w:r w:rsidRPr="00591A13">
        <w:rPr>
          <w:rFonts w:hint="eastAsia"/>
          <w:rtl/>
        </w:rPr>
        <w:t>ط</w:t>
      </w:r>
      <w:r w:rsidRPr="00591A13">
        <w:rPr>
          <w:rtl/>
        </w:rPr>
        <w:t>4</w:t>
      </w:r>
      <w:r w:rsidRPr="00591A13">
        <w:rPr>
          <w:rFonts w:hint="eastAsia"/>
          <w:rtl/>
        </w:rPr>
        <w:t>،</w:t>
      </w:r>
      <w:r w:rsidRPr="00591A13">
        <w:rPr>
          <w:rtl/>
        </w:rPr>
        <w:t xml:space="preserve"> (</w:t>
      </w:r>
      <w:r w:rsidRPr="00591A13">
        <w:rPr>
          <w:rFonts w:hint="eastAsia"/>
          <w:rtl/>
        </w:rPr>
        <w:t>حقق</w:t>
      </w:r>
      <w:r w:rsidRPr="00591A13">
        <w:rPr>
          <w:rtl/>
        </w:rPr>
        <w:t xml:space="preserve"> </w:t>
      </w:r>
      <w:r w:rsidRPr="00591A13">
        <w:rPr>
          <w:rFonts w:hint="eastAsia"/>
          <w:rtl/>
        </w:rPr>
        <w:t>أحاديثه</w:t>
      </w:r>
      <w:r w:rsidRPr="00591A13">
        <w:rPr>
          <w:rtl/>
        </w:rPr>
        <w:t xml:space="preserve"> </w:t>
      </w:r>
      <w:r w:rsidRPr="00591A13">
        <w:rPr>
          <w:rFonts w:hint="eastAsia"/>
          <w:rtl/>
        </w:rPr>
        <w:t>وعلق</w:t>
      </w:r>
      <w:r w:rsidRPr="00591A13">
        <w:rPr>
          <w:rtl/>
        </w:rPr>
        <w:t xml:space="preserve"> </w:t>
      </w:r>
      <w:r w:rsidRPr="00591A13">
        <w:rPr>
          <w:rFonts w:hint="eastAsia"/>
          <w:rtl/>
        </w:rPr>
        <w:t>عليه</w:t>
      </w:r>
      <w:r w:rsidRPr="00591A13">
        <w:rPr>
          <w:rtl/>
        </w:rPr>
        <w:t xml:space="preserve">: </w:t>
      </w:r>
      <w:r w:rsidRPr="00591A13">
        <w:rPr>
          <w:rFonts w:hint="eastAsia"/>
          <w:rtl/>
        </w:rPr>
        <w:t>محمد</w:t>
      </w:r>
      <w:r w:rsidRPr="00591A13">
        <w:rPr>
          <w:rtl/>
        </w:rPr>
        <w:t xml:space="preserve"> </w:t>
      </w:r>
      <w:r w:rsidRPr="00591A13">
        <w:rPr>
          <w:rFonts w:hint="eastAsia"/>
          <w:rtl/>
        </w:rPr>
        <w:t>ناصر</w:t>
      </w:r>
      <w:r w:rsidRPr="00591A13">
        <w:rPr>
          <w:rtl/>
        </w:rPr>
        <w:t xml:space="preserve"> </w:t>
      </w:r>
      <w:r w:rsidRPr="00591A13">
        <w:rPr>
          <w:rFonts w:hint="eastAsia"/>
          <w:rtl/>
        </w:rPr>
        <w:t>الدين</w:t>
      </w:r>
      <w:r w:rsidRPr="00591A13">
        <w:rPr>
          <w:rtl/>
        </w:rPr>
        <w:t xml:space="preserve"> </w:t>
      </w:r>
      <w:r w:rsidRPr="00591A13">
        <w:rPr>
          <w:rFonts w:hint="eastAsia"/>
          <w:rtl/>
        </w:rPr>
        <w:t>الألباني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الصديق،</w:t>
      </w:r>
      <w:r w:rsidRPr="00591A13">
        <w:rPr>
          <w:rtl/>
        </w:rPr>
        <w:t xml:space="preserve"> 1997 </w:t>
      </w:r>
      <w:r w:rsidRPr="00591A13">
        <w:rPr>
          <w:rFonts w:hint="eastAsia"/>
          <w:rtl/>
        </w:rPr>
        <w:t>م</w:t>
      </w:r>
      <w:r w:rsidRPr="00591A13">
        <w:rPr>
          <w:rtl/>
        </w:rPr>
        <w:t>.</w:t>
      </w:r>
    </w:p>
    <w:p w:rsidR="005F44B2" w:rsidRDefault="005F44B2" w:rsidP="00545029">
      <w:pPr>
        <w:pStyle w:val="Subtitle"/>
        <w:numPr>
          <w:ilvl w:val="0"/>
          <w:numId w:val="46"/>
        </w:numPr>
        <w:spacing w:line="259" w:lineRule="auto"/>
        <w:jc w:val="both"/>
      </w:pPr>
      <w:r w:rsidRPr="00545029">
        <w:rPr>
          <w:rFonts w:hint="eastAsia"/>
          <w:rtl/>
        </w:rPr>
        <w:t>برهان</w:t>
      </w:r>
      <w:r w:rsidRPr="00545029">
        <w:rPr>
          <w:rtl/>
        </w:rPr>
        <w:t xml:space="preserve"> </w:t>
      </w:r>
      <w:r w:rsidRPr="00545029">
        <w:rPr>
          <w:rFonts w:hint="eastAsia"/>
          <w:rtl/>
        </w:rPr>
        <w:t>الدين،</w:t>
      </w:r>
      <w:r w:rsidRPr="00545029">
        <w:rPr>
          <w:rtl/>
        </w:rPr>
        <w:t xml:space="preserve"> </w:t>
      </w:r>
      <w:r w:rsidRPr="00545029">
        <w:rPr>
          <w:rFonts w:hint="eastAsia"/>
          <w:rtl/>
        </w:rPr>
        <w:t>إبراهيم</w:t>
      </w:r>
      <w:r w:rsidRPr="00545029">
        <w:rPr>
          <w:rtl/>
        </w:rPr>
        <w:t xml:space="preserve"> </w:t>
      </w:r>
      <w:r w:rsidRPr="00545029">
        <w:rPr>
          <w:rFonts w:hint="eastAsia"/>
          <w:rtl/>
        </w:rPr>
        <w:t>بن</w:t>
      </w:r>
      <w:r w:rsidRPr="00545029">
        <w:rPr>
          <w:rtl/>
        </w:rPr>
        <w:t xml:space="preserve"> </w:t>
      </w:r>
      <w:r w:rsidRPr="00545029">
        <w:rPr>
          <w:rFonts w:hint="eastAsia"/>
          <w:rtl/>
        </w:rPr>
        <w:t>محمد</w:t>
      </w:r>
      <w:r w:rsidRPr="00545029">
        <w:rPr>
          <w:rtl/>
        </w:rPr>
        <w:t xml:space="preserve"> </w:t>
      </w:r>
      <w:r w:rsidRPr="00545029">
        <w:rPr>
          <w:rFonts w:hint="eastAsia"/>
          <w:rtl/>
        </w:rPr>
        <w:t>بن</w:t>
      </w:r>
      <w:r w:rsidRPr="00545029">
        <w:rPr>
          <w:rtl/>
        </w:rPr>
        <w:t xml:space="preserve"> </w:t>
      </w:r>
      <w:r w:rsidRPr="00545029">
        <w:rPr>
          <w:rFonts w:hint="eastAsia"/>
          <w:rtl/>
        </w:rPr>
        <w:t>عبد</w:t>
      </w:r>
      <w:r w:rsidRPr="00545029">
        <w:rPr>
          <w:rtl/>
        </w:rPr>
        <w:t xml:space="preserve"> </w:t>
      </w:r>
      <w:r w:rsidRPr="00545029">
        <w:rPr>
          <w:rFonts w:hint="eastAsia"/>
          <w:rtl/>
        </w:rPr>
        <w:t>الله</w:t>
      </w:r>
      <w:r w:rsidRPr="00545029">
        <w:rPr>
          <w:rtl/>
        </w:rPr>
        <w:t xml:space="preserve"> </w:t>
      </w:r>
      <w:r w:rsidRPr="00545029">
        <w:rPr>
          <w:rFonts w:hint="eastAsia"/>
          <w:rtl/>
        </w:rPr>
        <w:t>بن</w:t>
      </w:r>
      <w:r w:rsidRPr="00545029">
        <w:rPr>
          <w:rtl/>
        </w:rPr>
        <w:t xml:space="preserve"> </w:t>
      </w:r>
      <w:r w:rsidRPr="00545029">
        <w:rPr>
          <w:rFonts w:hint="eastAsia"/>
          <w:rtl/>
        </w:rPr>
        <w:t>محمد</w:t>
      </w:r>
      <w:r w:rsidRPr="00545029">
        <w:rPr>
          <w:rtl/>
        </w:rPr>
        <w:t xml:space="preserve"> </w:t>
      </w:r>
      <w:r w:rsidRPr="00545029">
        <w:rPr>
          <w:rFonts w:hint="eastAsia"/>
          <w:rtl/>
        </w:rPr>
        <w:t>ابن</w:t>
      </w:r>
      <w:r w:rsidRPr="00545029">
        <w:rPr>
          <w:rtl/>
        </w:rPr>
        <w:t xml:space="preserve"> </w:t>
      </w:r>
      <w:r w:rsidRPr="00545029">
        <w:rPr>
          <w:rFonts w:hint="eastAsia"/>
          <w:rtl/>
        </w:rPr>
        <w:t>مفلح،</w:t>
      </w:r>
      <w:r w:rsidRPr="00545029">
        <w:rPr>
          <w:rtl/>
        </w:rPr>
        <w:t xml:space="preserve"> </w:t>
      </w:r>
      <w:r w:rsidRPr="00545029">
        <w:rPr>
          <w:rFonts w:hint="eastAsia"/>
          <w:rtl/>
        </w:rPr>
        <w:t>أبو</w:t>
      </w:r>
      <w:r w:rsidRPr="00545029">
        <w:rPr>
          <w:rtl/>
        </w:rPr>
        <w:t xml:space="preserve"> </w:t>
      </w:r>
      <w:r w:rsidRPr="00545029">
        <w:rPr>
          <w:rFonts w:hint="eastAsia"/>
          <w:rtl/>
        </w:rPr>
        <w:t>إسحاق،</w:t>
      </w:r>
      <w:r w:rsidRPr="00545029">
        <w:rPr>
          <w:rtl/>
        </w:rPr>
        <w:t xml:space="preserve"> </w:t>
      </w:r>
      <w:r w:rsidRPr="00545029">
        <w:rPr>
          <w:rFonts w:hint="eastAsia"/>
          <w:rtl/>
        </w:rPr>
        <w:t>برهان</w:t>
      </w:r>
      <w:r w:rsidRPr="00545029">
        <w:rPr>
          <w:rtl/>
        </w:rPr>
        <w:t xml:space="preserve"> </w:t>
      </w:r>
      <w:r w:rsidRPr="00545029">
        <w:rPr>
          <w:rFonts w:hint="eastAsia"/>
          <w:rtl/>
        </w:rPr>
        <w:t>الدين</w:t>
      </w:r>
      <w:r w:rsidRPr="00545029">
        <w:rPr>
          <w:rtl/>
        </w:rPr>
        <w:t xml:space="preserve"> (</w:t>
      </w:r>
      <w:r w:rsidRPr="00545029">
        <w:rPr>
          <w:rFonts w:hint="eastAsia"/>
          <w:rtl/>
        </w:rPr>
        <w:t>ت</w:t>
      </w:r>
      <w:r w:rsidRPr="00545029">
        <w:rPr>
          <w:rtl/>
        </w:rPr>
        <w:t xml:space="preserve"> 884</w:t>
      </w:r>
      <w:r w:rsidRPr="00545029">
        <w:rPr>
          <w:rFonts w:hint="eastAsia"/>
          <w:rtl/>
        </w:rPr>
        <w:t>هـ</w:t>
      </w:r>
      <w:r w:rsidRPr="00545029">
        <w:rPr>
          <w:rtl/>
        </w:rPr>
        <w:t>)</w:t>
      </w:r>
      <w:r w:rsidRPr="00545029">
        <w:rPr>
          <w:rFonts w:hint="eastAsia"/>
          <w:rtl/>
        </w:rPr>
        <w:t>،</w:t>
      </w:r>
      <w:r w:rsidRPr="00545029">
        <w:rPr>
          <w:rtl/>
        </w:rPr>
        <w:t xml:space="preserve"> </w:t>
      </w:r>
      <w:r w:rsidRPr="00545029">
        <w:rPr>
          <w:rFonts w:hint="eastAsia"/>
          <w:b/>
          <w:bCs/>
          <w:rtl/>
        </w:rPr>
        <w:t>المبدع</w:t>
      </w:r>
      <w:r w:rsidRPr="00545029">
        <w:rPr>
          <w:b/>
          <w:bCs/>
          <w:rtl/>
        </w:rPr>
        <w:t xml:space="preserve"> </w:t>
      </w:r>
      <w:r w:rsidRPr="00545029">
        <w:rPr>
          <w:rFonts w:hint="eastAsia"/>
          <w:b/>
          <w:bCs/>
          <w:rtl/>
        </w:rPr>
        <w:t>في</w:t>
      </w:r>
      <w:r w:rsidRPr="00545029">
        <w:rPr>
          <w:b/>
          <w:bCs/>
          <w:rtl/>
        </w:rPr>
        <w:t xml:space="preserve"> </w:t>
      </w:r>
      <w:r w:rsidRPr="00545029">
        <w:rPr>
          <w:rFonts w:hint="eastAsia"/>
          <w:b/>
          <w:bCs/>
          <w:rtl/>
        </w:rPr>
        <w:t>شرح</w:t>
      </w:r>
      <w:r w:rsidRPr="00545029">
        <w:rPr>
          <w:b/>
          <w:bCs/>
          <w:rtl/>
        </w:rPr>
        <w:t xml:space="preserve"> </w:t>
      </w:r>
      <w:r w:rsidRPr="00545029">
        <w:rPr>
          <w:rFonts w:hint="eastAsia"/>
          <w:b/>
          <w:bCs/>
          <w:rtl/>
        </w:rPr>
        <w:t>المقنع</w:t>
      </w:r>
      <w:r w:rsidRPr="00545029">
        <w:rPr>
          <w:rFonts w:hint="eastAsia"/>
          <w:rtl/>
        </w:rPr>
        <w:t>،</w:t>
      </w:r>
      <w:r w:rsidRPr="00545029">
        <w:rPr>
          <w:rtl/>
        </w:rPr>
        <w:t xml:space="preserve"> </w:t>
      </w:r>
      <w:r w:rsidRPr="00545029">
        <w:rPr>
          <w:rFonts w:hint="eastAsia"/>
          <w:rtl/>
        </w:rPr>
        <w:t>ط</w:t>
      </w:r>
      <w:r w:rsidRPr="00545029">
        <w:rPr>
          <w:rtl/>
        </w:rPr>
        <w:t>1</w:t>
      </w:r>
      <w:r w:rsidRPr="00545029">
        <w:rPr>
          <w:rFonts w:hint="eastAsia"/>
          <w:rtl/>
        </w:rPr>
        <w:t>،</w:t>
      </w:r>
      <w:r>
        <w:rPr>
          <w:rtl/>
        </w:rPr>
        <w:t xml:space="preserve"> 8</w:t>
      </w:r>
      <w:r>
        <w:rPr>
          <w:rFonts w:hint="eastAsia"/>
          <w:rtl/>
        </w:rPr>
        <w:t>م،</w:t>
      </w:r>
      <w:r w:rsidRPr="00545029">
        <w:rPr>
          <w:rtl/>
        </w:rPr>
        <w:t xml:space="preserve"> </w:t>
      </w:r>
      <w:r w:rsidRPr="00545029">
        <w:rPr>
          <w:rFonts w:hint="eastAsia"/>
          <w:rtl/>
        </w:rPr>
        <w:t>دار</w:t>
      </w:r>
      <w:r w:rsidRPr="00545029">
        <w:rPr>
          <w:rtl/>
        </w:rPr>
        <w:t xml:space="preserve"> </w:t>
      </w:r>
      <w:r w:rsidRPr="00545029">
        <w:rPr>
          <w:rFonts w:hint="eastAsia"/>
          <w:rtl/>
        </w:rPr>
        <w:t>الكتب</w:t>
      </w:r>
      <w:r w:rsidRPr="00545029">
        <w:rPr>
          <w:rtl/>
        </w:rPr>
        <w:t xml:space="preserve"> </w:t>
      </w:r>
      <w:r w:rsidRPr="00545029">
        <w:rPr>
          <w:rFonts w:hint="eastAsia"/>
          <w:rtl/>
        </w:rPr>
        <w:t>العلمية،</w:t>
      </w:r>
      <w:r w:rsidRPr="00545029">
        <w:rPr>
          <w:rtl/>
        </w:rPr>
        <w:t xml:space="preserve"> </w:t>
      </w:r>
      <w:r w:rsidRPr="00545029">
        <w:rPr>
          <w:rFonts w:hint="eastAsia"/>
          <w:rtl/>
        </w:rPr>
        <w:t>بيروت،</w:t>
      </w:r>
      <w:r w:rsidRPr="00545029">
        <w:rPr>
          <w:rtl/>
        </w:rPr>
        <w:t xml:space="preserve"> 1418 </w:t>
      </w:r>
      <w:r w:rsidRPr="00545029">
        <w:rPr>
          <w:rFonts w:hint="eastAsia"/>
          <w:rtl/>
        </w:rPr>
        <w:t>هـ</w:t>
      </w:r>
      <w:r w:rsidRPr="00545029">
        <w:rPr>
          <w:rtl/>
        </w:rPr>
        <w:t xml:space="preserve"> / </w:t>
      </w:r>
      <w:r>
        <w:rPr>
          <w:rtl/>
        </w:rPr>
        <w:t xml:space="preserve">1997 </w:t>
      </w:r>
      <w:r>
        <w:rPr>
          <w:rFonts w:hint="eastAsia"/>
          <w:rtl/>
        </w:rPr>
        <w:t>م</w:t>
      </w:r>
      <w:r w:rsidRPr="00545029">
        <w:rPr>
          <w:rtl/>
        </w:rPr>
        <w:t>.</w:t>
      </w:r>
    </w:p>
    <w:p w:rsidR="005F44B2" w:rsidRPr="00591A13" w:rsidRDefault="005F44B2" w:rsidP="00591A13">
      <w:pPr>
        <w:pStyle w:val="Subtitle"/>
        <w:numPr>
          <w:ilvl w:val="0"/>
          <w:numId w:val="46"/>
        </w:numPr>
        <w:spacing w:line="259" w:lineRule="auto"/>
        <w:jc w:val="both"/>
      </w:pPr>
      <w:r w:rsidRPr="00591A13">
        <w:rPr>
          <w:rFonts w:hint="eastAsia"/>
          <w:rtl/>
        </w:rPr>
        <w:t>البهوتي،</w:t>
      </w:r>
      <w:r w:rsidRPr="00591A13">
        <w:rPr>
          <w:rtl/>
        </w:rPr>
        <w:t xml:space="preserve">  </w:t>
      </w:r>
      <w:r w:rsidRPr="00591A13">
        <w:rPr>
          <w:rFonts w:hint="eastAsia"/>
          <w:rtl/>
        </w:rPr>
        <w:t>منصور</w:t>
      </w:r>
      <w:r w:rsidRPr="00591A13">
        <w:rPr>
          <w:rtl/>
        </w:rPr>
        <w:t xml:space="preserve"> </w:t>
      </w:r>
      <w:r w:rsidRPr="00591A13">
        <w:rPr>
          <w:rFonts w:hint="eastAsia"/>
          <w:rtl/>
        </w:rPr>
        <w:t>بن</w:t>
      </w:r>
      <w:r w:rsidRPr="00591A13">
        <w:rPr>
          <w:rtl/>
        </w:rPr>
        <w:t xml:space="preserve"> </w:t>
      </w:r>
      <w:r w:rsidRPr="00591A13">
        <w:rPr>
          <w:rFonts w:hint="eastAsia"/>
          <w:rtl/>
        </w:rPr>
        <w:t>يونس</w:t>
      </w:r>
      <w:r w:rsidRPr="00591A13">
        <w:rPr>
          <w:rtl/>
        </w:rPr>
        <w:t xml:space="preserve"> </w:t>
      </w:r>
      <w:r w:rsidRPr="00591A13">
        <w:rPr>
          <w:rFonts w:hint="eastAsia"/>
          <w:rtl/>
        </w:rPr>
        <w:t>بن</w:t>
      </w:r>
      <w:r w:rsidRPr="00591A13">
        <w:rPr>
          <w:rtl/>
        </w:rPr>
        <w:t xml:space="preserve"> </w:t>
      </w:r>
      <w:r w:rsidRPr="00591A13">
        <w:rPr>
          <w:rFonts w:hint="eastAsia"/>
          <w:rtl/>
        </w:rPr>
        <w:t>صلاح</w:t>
      </w:r>
      <w:r w:rsidRPr="00591A13">
        <w:rPr>
          <w:rtl/>
        </w:rPr>
        <w:t xml:space="preserve"> </w:t>
      </w:r>
      <w:r w:rsidRPr="00591A13">
        <w:rPr>
          <w:rFonts w:hint="eastAsia"/>
          <w:rtl/>
        </w:rPr>
        <w:t>الدين</w:t>
      </w:r>
      <w:r w:rsidRPr="00591A13">
        <w:rPr>
          <w:rtl/>
        </w:rPr>
        <w:t xml:space="preserve"> </w:t>
      </w:r>
      <w:r w:rsidRPr="00591A13">
        <w:rPr>
          <w:rFonts w:hint="eastAsia"/>
          <w:rtl/>
        </w:rPr>
        <w:t>ابن</w:t>
      </w:r>
      <w:r w:rsidRPr="00591A13">
        <w:rPr>
          <w:rtl/>
        </w:rPr>
        <w:t xml:space="preserve"> </w:t>
      </w:r>
      <w:r w:rsidRPr="00591A13">
        <w:rPr>
          <w:rFonts w:hint="eastAsia"/>
          <w:rtl/>
        </w:rPr>
        <w:t>حسن</w:t>
      </w:r>
      <w:r w:rsidRPr="00591A13">
        <w:rPr>
          <w:rtl/>
        </w:rPr>
        <w:t xml:space="preserve"> </w:t>
      </w:r>
      <w:r w:rsidRPr="00591A13">
        <w:rPr>
          <w:rFonts w:hint="eastAsia"/>
          <w:rtl/>
        </w:rPr>
        <w:t>بن</w:t>
      </w:r>
      <w:r w:rsidRPr="00591A13">
        <w:rPr>
          <w:rtl/>
        </w:rPr>
        <w:t xml:space="preserve"> </w:t>
      </w:r>
      <w:r w:rsidRPr="00591A13">
        <w:rPr>
          <w:rFonts w:hint="eastAsia"/>
          <w:rtl/>
        </w:rPr>
        <w:t>إدريس</w:t>
      </w:r>
      <w:r w:rsidRPr="00591A13">
        <w:rPr>
          <w:rtl/>
        </w:rPr>
        <w:t xml:space="preserve"> </w:t>
      </w:r>
      <w:r w:rsidRPr="00591A13">
        <w:rPr>
          <w:rFonts w:hint="eastAsia"/>
          <w:rtl/>
        </w:rPr>
        <w:t>البهوتى</w:t>
      </w:r>
      <w:r w:rsidRPr="00591A13">
        <w:rPr>
          <w:rtl/>
        </w:rPr>
        <w:t xml:space="preserve"> </w:t>
      </w:r>
      <w:r w:rsidRPr="00591A13">
        <w:rPr>
          <w:rFonts w:hint="eastAsia"/>
          <w:rtl/>
        </w:rPr>
        <w:t>الحنبلى</w:t>
      </w:r>
      <w:r w:rsidRPr="00591A13">
        <w:rPr>
          <w:rtl/>
        </w:rPr>
        <w:t xml:space="preserve"> (</w:t>
      </w:r>
      <w:r w:rsidRPr="00591A13">
        <w:rPr>
          <w:rFonts w:hint="eastAsia"/>
          <w:rtl/>
        </w:rPr>
        <w:t>ت</w:t>
      </w:r>
      <w:r w:rsidRPr="00591A13">
        <w:rPr>
          <w:rtl/>
        </w:rPr>
        <w:t xml:space="preserve"> 1051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دقائق</w:t>
      </w:r>
      <w:r w:rsidRPr="00591A13">
        <w:rPr>
          <w:b/>
          <w:bCs/>
          <w:rtl/>
        </w:rPr>
        <w:t xml:space="preserve"> </w:t>
      </w:r>
      <w:r w:rsidRPr="00591A13">
        <w:rPr>
          <w:rFonts w:hint="eastAsia"/>
          <w:b/>
          <w:bCs/>
          <w:rtl/>
        </w:rPr>
        <w:t>أولي</w:t>
      </w:r>
      <w:r w:rsidRPr="00591A13">
        <w:rPr>
          <w:b/>
          <w:bCs/>
          <w:rtl/>
        </w:rPr>
        <w:t xml:space="preserve"> </w:t>
      </w:r>
      <w:r w:rsidRPr="00591A13">
        <w:rPr>
          <w:rFonts w:hint="eastAsia"/>
          <w:b/>
          <w:bCs/>
          <w:rtl/>
        </w:rPr>
        <w:t>النهى</w:t>
      </w:r>
      <w:r w:rsidRPr="00591A13">
        <w:rPr>
          <w:b/>
          <w:bCs/>
          <w:rtl/>
        </w:rPr>
        <w:t xml:space="preserve"> </w:t>
      </w:r>
      <w:r w:rsidRPr="00591A13">
        <w:rPr>
          <w:rFonts w:hint="eastAsia"/>
          <w:b/>
          <w:bCs/>
          <w:rtl/>
        </w:rPr>
        <w:t>لشرح</w:t>
      </w:r>
      <w:r w:rsidRPr="00591A13">
        <w:rPr>
          <w:b/>
          <w:bCs/>
          <w:rtl/>
        </w:rPr>
        <w:t xml:space="preserve"> </w:t>
      </w:r>
      <w:r w:rsidRPr="00591A13">
        <w:rPr>
          <w:rFonts w:hint="eastAsia"/>
          <w:b/>
          <w:bCs/>
          <w:rtl/>
        </w:rPr>
        <w:t>المنتهى</w:t>
      </w:r>
      <w:r w:rsidRPr="00591A13">
        <w:rPr>
          <w:b/>
          <w:bCs/>
          <w:rtl/>
        </w:rPr>
        <w:t xml:space="preserve"> </w:t>
      </w:r>
      <w:r w:rsidRPr="00591A13">
        <w:rPr>
          <w:rFonts w:hint="eastAsia"/>
          <w:b/>
          <w:bCs/>
          <w:rtl/>
        </w:rPr>
        <w:t>المعروف</w:t>
      </w:r>
      <w:r w:rsidRPr="00591A13">
        <w:rPr>
          <w:b/>
          <w:bCs/>
          <w:rtl/>
        </w:rPr>
        <w:t xml:space="preserve"> </w:t>
      </w:r>
      <w:r w:rsidRPr="00591A13">
        <w:rPr>
          <w:rFonts w:hint="eastAsia"/>
          <w:b/>
          <w:bCs/>
          <w:rtl/>
        </w:rPr>
        <w:t>بشرح</w:t>
      </w:r>
      <w:r w:rsidRPr="00591A13">
        <w:rPr>
          <w:b/>
          <w:bCs/>
          <w:rtl/>
        </w:rPr>
        <w:t xml:space="preserve"> </w:t>
      </w:r>
      <w:r w:rsidRPr="00591A13">
        <w:rPr>
          <w:rFonts w:hint="eastAsia"/>
          <w:b/>
          <w:bCs/>
          <w:rtl/>
        </w:rPr>
        <w:t>منتهى</w:t>
      </w:r>
      <w:r w:rsidRPr="00591A13">
        <w:rPr>
          <w:b/>
          <w:bCs/>
          <w:rtl/>
        </w:rPr>
        <w:t xml:space="preserve"> </w:t>
      </w:r>
      <w:r w:rsidRPr="00591A13">
        <w:rPr>
          <w:rFonts w:hint="eastAsia"/>
          <w:b/>
          <w:bCs/>
          <w:rtl/>
        </w:rPr>
        <w:t>الإرادات</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3</w:t>
      </w:r>
      <w:r w:rsidRPr="00591A13">
        <w:rPr>
          <w:rFonts w:hint="eastAsia"/>
          <w:rtl/>
        </w:rPr>
        <w:t>م،</w:t>
      </w:r>
      <w:r w:rsidRPr="00591A13">
        <w:rPr>
          <w:rtl/>
        </w:rPr>
        <w:t xml:space="preserve"> </w:t>
      </w:r>
      <w:r w:rsidRPr="00591A13">
        <w:rPr>
          <w:rFonts w:hint="eastAsia"/>
          <w:rtl/>
        </w:rPr>
        <w:t>عالم</w:t>
      </w:r>
      <w:r w:rsidRPr="00591A13">
        <w:rPr>
          <w:rtl/>
        </w:rPr>
        <w:t xml:space="preserve"> </w:t>
      </w:r>
      <w:r w:rsidRPr="00591A13">
        <w:rPr>
          <w:rFonts w:hint="eastAsia"/>
          <w:rtl/>
        </w:rPr>
        <w:t>الكتب،</w:t>
      </w:r>
      <w:r w:rsidRPr="00591A13">
        <w:rPr>
          <w:rtl/>
        </w:rPr>
        <w:t xml:space="preserve"> 1414</w:t>
      </w:r>
      <w:r w:rsidRPr="00591A13">
        <w:rPr>
          <w:rFonts w:hint="eastAsia"/>
          <w:rtl/>
        </w:rPr>
        <w:t>هـ</w:t>
      </w:r>
      <w:r w:rsidRPr="00591A13">
        <w:rPr>
          <w:rtl/>
        </w:rPr>
        <w:t xml:space="preserve"> - 1993</w:t>
      </w:r>
      <w:r w:rsidRPr="00591A13">
        <w:rPr>
          <w:rFonts w:hint="eastAsia"/>
          <w:rtl/>
        </w:rPr>
        <w:t>م</w:t>
      </w:r>
      <w:r w:rsidRPr="00591A13">
        <w:rPr>
          <w:rtl/>
        </w:rPr>
        <w:t>.</w:t>
      </w:r>
    </w:p>
    <w:p w:rsidR="005F44B2" w:rsidRPr="00591A13" w:rsidRDefault="005F44B2" w:rsidP="00067A72">
      <w:pPr>
        <w:pStyle w:val="Subtitle"/>
        <w:numPr>
          <w:ilvl w:val="0"/>
          <w:numId w:val="46"/>
        </w:numPr>
        <w:spacing w:line="259" w:lineRule="auto"/>
        <w:jc w:val="both"/>
      </w:pPr>
      <w:r w:rsidRPr="00591A13">
        <w:rPr>
          <w:rFonts w:hint="eastAsia"/>
          <w:rtl/>
        </w:rPr>
        <w:t>البهوتي،</w:t>
      </w:r>
      <w:r w:rsidRPr="00591A13">
        <w:rPr>
          <w:rtl/>
        </w:rPr>
        <w:t xml:space="preserve"> </w:t>
      </w:r>
      <w:r w:rsidRPr="00591A13">
        <w:rPr>
          <w:rFonts w:hint="eastAsia"/>
          <w:rtl/>
        </w:rPr>
        <w:t>منصور</w:t>
      </w:r>
      <w:r w:rsidRPr="00591A13">
        <w:rPr>
          <w:rtl/>
        </w:rPr>
        <w:t xml:space="preserve"> </w:t>
      </w:r>
      <w:r w:rsidRPr="00591A13">
        <w:rPr>
          <w:rFonts w:hint="eastAsia"/>
          <w:rtl/>
        </w:rPr>
        <w:t>بن</w:t>
      </w:r>
      <w:r w:rsidRPr="00591A13">
        <w:rPr>
          <w:rtl/>
        </w:rPr>
        <w:t xml:space="preserve"> </w:t>
      </w:r>
      <w:r w:rsidRPr="00591A13">
        <w:rPr>
          <w:rFonts w:hint="eastAsia"/>
          <w:rtl/>
        </w:rPr>
        <w:t>يونس</w:t>
      </w:r>
      <w:r w:rsidRPr="00591A13">
        <w:rPr>
          <w:rtl/>
        </w:rPr>
        <w:t xml:space="preserve"> </w:t>
      </w:r>
      <w:r w:rsidRPr="00591A13">
        <w:rPr>
          <w:rFonts w:hint="eastAsia"/>
          <w:rtl/>
        </w:rPr>
        <w:t>بن</w:t>
      </w:r>
      <w:r w:rsidRPr="00591A13">
        <w:rPr>
          <w:rtl/>
        </w:rPr>
        <w:t xml:space="preserve"> </w:t>
      </w:r>
      <w:r w:rsidRPr="00591A13">
        <w:rPr>
          <w:rFonts w:hint="eastAsia"/>
          <w:rtl/>
        </w:rPr>
        <w:t>صلاح</w:t>
      </w:r>
      <w:r w:rsidRPr="00591A13">
        <w:rPr>
          <w:rtl/>
        </w:rPr>
        <w:t xml:space="preserve"> </w:t>
      </w:r>
      <w:r w:rsidRPr="00591A13">
        <w:rPr>
          <w:rFonts w:hint="eastAsia"/>
          <w:rtl/>
        </w:rPr>
        <w:t>الدين</w:t>
      </w:r>
      <w:r w:rsidRPr="00591A13">
        <w:rPr>
          <w:rtl/>
        </w:rPr>
        <w:t xml:space="preserve"> </w:t>
      </w:r>
      <w:r w:rsidRPr="00591A13">
        <w:rPr>
          <w:rFonts w:hint="eastAsia"/>
          <w:rtl/>
        </w:rPr>
        <w:t>ابن</w:t>
      </w:r>
      <w:r w:rsidRPr="00591A13">
        <w:rPr>
          <w:rtl/>
        </w:rPr>
        <w:t xml:space="preserve"> </w:t>
      </w:r>
      <w:r w:rsidRPr="00591A13">
        <w:rPr>
          <w:rFonts w:hint="eastAsia"/>
          <w:rtl/>
        </w:rPr>
        <w:t>حسن</w:t>
      </w:r>
      <w:r w:rsidRPr="00591A13">
        <w:rPr>
          <w:rtl/>
        </w:rPr>
        <w:t xml:space="preserve"> </w:t>
      </w:r>
      <w:r w:rsidRPr="00591A13">
        <w:rPr>
          <w:rFonts w:hint="eastAsia"/>
          <w:rtl/>
        </w:rPr>
        <w:t>بن</w:t>
      </w:r>
      <w:r w:rsidRPr="00591A13">
        <w:rPr>
          <w:rtl/>
        </w:rPr>
        <w:t xml:space="preserve"> </w:t>
      </w:r>
      <w:r w:rsidRPr="00591A13">
        <w:rPr>
          <w:rFonts w:hint="eastAsia"/>
          <w:rtl/>
        </w:rPr>
        <w:t>إدريس</w:t>
      </w:r>
      <w:r w:rsidRPr="00591A13">
        <w:rPr>
          <w:rtl/>
        </w:rPr>
        <w:t xml:space="preserve"> </w:t>
      </w:r>
      <w:r w:rsidRPr="00591A13">
        <w:rPr>
          <w:rFonts w:hint="eastAsia"/>
          <w:rtl/>
        </w:rPr>
        <w:t>البهوتى</w:t>
      </w:r>
      <w:r w:rsidRPr="00591A13">
        <w:rPr>
          <w:rtl/>
        </w:rPr>
        <w:t xml:space="preserve"> </w:t>
      </w:r>
      <w:r w:rsidRPr="00591A13">
        <w:rPr>
          <w:rFonts w:hint="eastAsia"/>
          <w:rtl/>
        </w:rPr>
        <w:t>الحنبلى</w:t>
      </w:r>
      <w:r w:rsidRPr="00591A13">
        <w:rPr>
          <w:rtl/>
        </w:rPr>
        <w:t xml:space="preserve"> (</w:t>
      </w:r>
      <w:r w:rsidRPr="00591A13">
        <w:rPr>
          <w:rFonts w:hint="eastAsia"/>
          <w:rtl/>
        </w:rPr>
        <w:t>ت</w:t>
      </w:r>
      <w:r w:rsidRPr="00591A13">
        <w:rPr>
          <w:rtl/>
        </w:rPr>
        <w:t xml:space="preserve"> 1051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كشاف</w:t>
      </w:r>
      <w:r w:rsidRPr="00591A13">
        <w:rPr>
          <w:b/>
          <w:bCs/>
          <w:rtl/>
        </w:rPr>
        <w:t xml:space="preserve"> </w:t>
      </w:r>
      <w:r w:rsidRPr="00591A13">
        <w:rPr>
          <w:rFonts w:hint="eastAsia"/>
          <w:b/>
          <w:bCs/>
          <w:rtl/>
        </w:rPr>
        <w:t>القناع</w:t>
      </w:r>
      <w:r w:rsidRPr="00591A13">
        <w:rPr>
          <w:b/>
          <w:bCs/>
          <w:rtl/>
        </w:rPr>
        <w:t xml:space="preserve"> </w:t>
      </w:r>
      <w:r w:rsidRPr="00591A13">
        <w:rPr>
          <w:rFonts w:hint="eastAsia"/>
          <w:b/>
          <w:bCs/>
          <w:rtl/>
        </w:rPr>
        <w:t>عن</w:t>
      </w:r>
      <w:r w:rsidRPr="00591A13">
        <w:rPr>
          <w:b/>
          <w:bCs/>
          <w:rtl/>
        </w:rPr>
        <w:t xml:space="preserve"> </w:t>
      </w:r>
      <w:r w:rsidRPr="00591A13">
        <w:rPr>
          <w:rFonts w:hint="eastAsia"/>
          <w:b/>
          <w:bCs/>
          <w:rtl/>
        </w:rPr>
        <w:t>متن</w:t>
      </w:r>
      <w:r w:rsidRPr="00591A13">
        <w:rPr>
          <w:b/>
          <w:bCs/>
          <w:rtl/>
        </w:rPr>
        <w:t xml:space="preserve"> </w:t>
      </w:r>
      <w:r w:rsidRPr="00591A13">
        <w:rPr>
          <w:rFonts w:hint="eastAsia"/>
          <w:b/>
          <w:bCs/>
          <w:rtl/>
        </w:rPr>
        <w:t>الإقناع</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w:t>
      </w:r>
    </w:p>
    <w:p w:rsidR="005F44B2" w:rsidRDefault="005F44B2" w:rsidP="001124F9">
      <w:pPr>
        <w:pStyle w:val="Subtitle"/>
        <w:numPr>
          <w:ilvl w:val="0"/>
          <w:numId w:val="46"/>
        </w:numPr>
        <w:spacing w:line="259" w:lineRule="auto"/>
        <w:jc w:val="both"/>
      </w:pPr>
      <w:r w:rsidRPr="001F7B54">
        <w:rPr>
          <w:rFonts w:hint="eastAsia"/>
          <w:rtl/>
        </w:rPr>
        <w:t>البيهقي،</w:t>
      </w:r>
      <w:r w:rsidRPr="001F7B54">
        <w:rPr>
          <w:rtl/>
        </w:rPr>
        <w:t xml:space="preserve"> </w:t>
      </w:r>
      <w:r w:rsidRPr="001F7B54">
        <w:rPr>
          <w:rFonts w:hint="eastAsia"/>
          <w:rtl/>
        </w:rPr>
        <w:t>أحمد</w:t>
      </w:r>
      <w:r w:rsidRPr="001F7B54">
        <w:rPr>
          <w:rtl/>
        </w:rPr>
        <w:t xml:space="preserve"> </w:t>
      </w:r>
      <w:r w:rsidRPr="001F7B54">
        <w:rPr>
          <w:rFonts w:hint="eastAsia"/>
          <w:rtl/>
        </w:rPr>
        <w:t>بن</w:t>
      </w:r>
      <w:r w:rsidRPr="001F7B54">
        <w:rPr>
          <w:rtl/>
        </w:rPr>
        <w:t xml:space="preserve"> </w:t>
      </w:r>
      <w:r w:rsidRPr="001F7B54">
        <w:rPr>
          <w:rFonts w:hint="eastAsia"/>
          <w:rtl/>
        </w:rPr>
        <w:t>الحسين</w:t>
      </w:r>
      <w:r w:rsidRPr="001F7B54">
        <w:rPr>
          <w:rtl/>
        </w:rPr>
        <w:t xml:space="preserve"> </w:t>
      </w:r>
      <w:r w:rsidRPr="001F7B54">
        <w:rPr>
          <w:rFonts w:hint="eastAsia"/>
          <w:rtl/>
        </w:rPr>
        <w:t>بن</w:t>
      </w:r>
      <w:r w:rsidRPr="001F7B54">
        <w:rPr>
          <w:rtl/>
        </w:rPr>
        <w:t xml:space="preserve"> </w:t>
      </w:r>
      <w:r w:rsidRPr="001F7B54">
        <w:rPr>
          <w:rFonts w:hint="eastAsia"/>
          <w:rtl/>
        </w:rPr>
        <w:t>علي</w:t>
      </w:r>
      <w:r w:rsidRPr="001F7B54">
        <w:rPr>
          <w:rtl/>
        </w:rPr>
        <w:t xml:space="preserve"> </w:t>
      </w:r>
      <w:r w:rsidRPr="001F7B54">
        <w:rPr>
          <w:rFonts w:hint="eastAsia"/>
          <w:rtl/>
        </w:rPr>
        <w:t>بن</w:t>
      </w:r>
      <w:r w:rsidRPr="001F7B54">
        <w:rPr>
          <w:rtl/>
        </w:rPr>
        <w:t xml:space="preserve"> </w:t>
      </w:r>
      <w:r w:rsidRPr="001F7B54">
        <w:rPr>
          <w:rFonts w:hint="eastAsia"/>
          <w:rtl/>
        </w:rPr>
        <w:t>موسى</w:t>
      </w:r>
      <w:r w:rsidRPr="001F7B54">
        <w:rPr>
          <w:rtl/>
        </w:rPr>
        <w:t xml:space="preserve"> </w:t>
      </w:r>
      <w:r w:rsidRPr="001F7B54">
        <w:rPr>
          <w:rFonts w:hint="eastAsia"/>
          <w:rtl/>
        </w:rPr>
        <w:t>الخُسْرَوْجِرد</w:t>
      </w:r>
      <w:r>
        <w:rPr>
          <w:rFonts w:hint="eastAsia"/>
          <w:rtl/>
        </w:rPr>
        <w:t>ي</w:t>
      </w:r>
      <w:r>
        <w:rPr>
          <w:rtl/>
        </w:rPr>
        <w:t xml:space="preserve"> </w:t>
      </w:r>
      <w:r>
        <w:rPr>
          <w:rFonts w:hint="eastAsia"/>
          <w:rtl/>
        </w:rPr>
        <w:t>الخراساني،</w:t>
      </w:r>
      <w:r>
        <w:rPr>
          <w:rtl/>
        </w:rPr>
        <w:t xml:space="preserve"> </w:t>
      </w:r>
      <w:r>
        <w:rPr>
          <w:rFonts w:hint="eastAsia"/>
          <w:rtl/>
        </w:rPr>
        <w:t>أبو</w:t>
      </w:r>
      <w:r>
        <w:rPr>
          <w:rtl/>
        </w:rPr>
        <w:t xml:space="preserve"> </w:t>
      </w:r>
      <w:r>
        <w:rPr>
          <w:rFonts w:hint="eastAsia"/>
          <w:rtl/>
        </w:rPr>
        <w:t>بكر</w:t>
      </w:r>
      <w:r>
        <w:rPr>
          <w:rtl/>
        </w:rPr>
        <w:t xml:space="preserve"> </w:t>
      </w:r>
      <w:r>
        <w:rPr>
          <w:rFonts w:hint="eastAsia"/>
          <w:rtl/>
        </w:rPr>
        <w:t>البيهقي</w:t>
      </w:r>
      <w:r>
        <w:rPr>
          <w:rtl/>
        </w:rPr>
        <w:t xml:space="preserve"> (</w:t>
      </w:r>
      <w:r>
        <w:rPr>
          <w:rFonts w:hint="eastAsia"/>
          <w:rtl/>
        </w:rPr>
        <w:t>ت</w:t>
      </w:r>
      <w:r w:rsidRPr="001F7B54">
        <w:rPr>
          <w:rtl/>
        </w:rPr>
        <w:t xml:space="preserve"> 458</w:t>
      </w:r>
      <w:r w:rsidRPr="001F7B54">
        <w:rPr>
          <w:rFonts w:hint="eastAsia"/>
          <w:rtl/>
        </w:rPr>
        <w:t>هـ</w:t>
      </w:r>
      <w:r w:rsidRPr="001F7B54">
        <w:rPr>
          <w:rtl/>
        </w:rPr>
        <w:t>)</w:t>
      </w:r>
      <w:r w:rsidRPr="001F7B54">
        <w:rPr>
          <w:rFonts w:hint="eastAsia"/>
          <w:rtl/>
        </w:rPr>
        <w:t>،</w:t>
      </w:r>
      <w:r w:rsidRPr="001F7B54">
        <w:rPr>
          <w:rtl/>
        </w:rPr>
        <w:t xml:space="preserve"> </w:t>
      </w:r>
      <w:r w:rsidRPr="001F7B54">
        <w:rPr>
          <w:rFonts w:hint="eastAsia"/>
          <w:b/>
          <w:bCs/>
          <w:rtl/>
        </w:rPr>
        <w:t>السنن</w:t>
      </w:r>
      <w:r w:rsidRPr="001F7B54">
        <w:rPr>
          <w:b/>
          <w:bCs/>
          <w:rtl/>
        </w:rPr>
        <w:t xml:space="preserve"> </w:t>
      </w:r>
      <w:r w:rsidRPr="001F7B54">
        <w:rPr>
          <w:rFonts w:hint="eastAsia"/>
          <w:b/>
          <w:bCs/>
          <w:rtl/>
        </w:rPr>
        <w:t>الكبرى</w:t>
      </w:r>
      <w:r w:rsidRPr="001F7B54">
        <w:rPr>
          <w:rFonts w:hint="eastAsia"/>
          <w:rtl/>
        </w:rPr>
        <w:t>،</w:t>
      </w:r>
      <w:r w:rsidRPr="001F7B54">
        <w:rPr>
          <w:rtl/>
        </w:rPr>
        <w:t xml:space="preserve"> </w:t>
      </w:r>
      <w:r w:rsidRPr="001F7B54">
        <w:rPr>
          <w:rFonts w:hint="eastAsia"/>
          <w:rtl/>
        </w:rPr>
        <w:t>ط</w:t>
      </w:r>
      <w:r w:rsidRPr="001F7B54">
        <w:rPr>
          <w:rtl/>
        </w:rPr>
        <w:t>3</w:t>
      </w:r>
      <w:r w:rsidRPr="001F7B54">
        <w:rPr>
          <w:rFonts w:hint="eastAsia"/>
          <w:rtl/>
        </w:rPr>
        <w:t>،</w:t>
      </w:r>
      <w:r>
        <w:rPr>
          <w:rtl/>
        </w:rPr>
        <w:t>(</w:t>
      </w:r>
      <w:r w:rsidRPr="001F7B54">
        <w:rPr>
          <w:rFonts w:hint="eastAsia"/>
          <w:rtl/>
        </w:rPr>
        <w:t>المحقق</w:t>
      </w:r>
      <w:r w:rsidRPr="001F7B54">
        <w:rPr>
          <w:rtl/>
        </w:rPr>
        <w:t xml:space="preserve">: </w:t>
      </w:r>
      <w:r w:rsidRPr="001F7B54">
        <w:rPr>
          <w:rFonts w:hint="eastAsia"/>
          <w:rtl/>
        </w:rPr>
        <w:t>محمد</w:t>
      </w:r>
      <w:r w:rsidRPr="001F7B54">
        <w:rPr>
          <w:rtl/>
        </w:rPr>
        <w:t xml:space="preserve"> </w:t>
      </w:r>
      <w:r w:rsidRPr="001F7B54">
        <w:rPr>
          <w:rFonts w:hint="eastAsia"/>
          <w:rtl/>
        </w:rPr>
        <w:t>عبد</w:t>
      </w:r>
      <w:r w:rsidRPr="001F7B54">
        <w:rPr>
          <w:rtl/>
        </w:rPr>
        <w:t xml:space="preserve"> </w:t>
      </w:r>
      <w:r w:rsidRPr="001F7B54">
        <w:rPr>
          <w:rFonts w:hint="eastAsia"/>
          <w:rtl/>
        </w:rPr>
        <w:t>القادر</w:t>
      </w:r>
      <w:r w:rsidRPr="001F7B54">
        <w:rPr>
          <w:rtl/>
        </w:rPr>
        <w:t xml:space="preserve"> </w:t>
      </w:r>
      <w:r w:rsidRPr="001F7B54">
        <w:rPr>
          <w:rFonts w:hint="eastAsia"/>
          <w:rtl/>
        </w:rPr>
        <w:t>عطا</w:t>
      </w:r>
      <w:r>
        <w:rPr>
          <w:rtl/>
        </w:rPr>
        <w:t>)</w:t>
      </w:r>
      <w:r w:rsidRPr="001F7B54">
        <w:rPr>
          <w:rFonts w:hint="eastAsia"/>
          <w:rtl/>
        </w:rPr>
        <w:t>،</w:t>
      </w:r>
      <w:r w:rsidRPr="001F7B54">
        <w:rPr>
          <w:rtl/>
        </w:rPr>
        <w:t xml:space="preserve"> </w:t>
      </w:r>
      <w:r w:rsidRPr="001F7B54">
        <w:rPr>
          <w:rFonts w:hint="eastAsia"/>
          <w:rtl/>
        </w:rPr>
        <w:t>دار</w:t>
      </w:r>
      <w:r w:rsidRPr="001F7B54">
        <w:rPr>
          <w:rtl/>
        </w:rPr>
        <w:t xml:space="preserve"> </w:t>
      </w:r>
      <w:r w:rsidRPr="001F7B54">
        <w:rPr>
          <w:rFonts w:hint="eastAsia"/>
          <w:rtl/>
        </w:rPr>
        <w:t>الكتب</w:t>
      </w:r>
      <w:r w:rsidRPr="001F7B54">
        <w:rPr>
          <w:rtl/>
        </w:rPr>
        <w:t xml:space="preserve"> </w:t>
      </w:r>
      <w:r w:rsidRPr="001F7B54">
        <w:rPr>
          <w:rFonts w:hint="eastAsia"/>
          <w:rtl/>
        </w:rPr>
        <w:t>العلمية،</w:t>
      </w:r>
      <w:r w:rsidRPr="001F7B54">
        <w:rPr>
          <w:rtl/>
        </w:rPr>
        <w:t xml:space="preserve"> </w:t>
      </w:r>
      <w:r w:rsidRPr="001F7B54">
        <w:rPr>
          <w:rFonts w:hint="eastAsia"/>
          <w:rtl/>
        </w:rPr>
        <w:t>بيروت،</w:t>
      </w:r>
      <w:r w:rsidRPr="001F7B54">
        <w:rPr>
          <w:rtl/>
        </w:rPr>
        <w:t xml:space="preserve"> 1424 </w:t>
      </w:r>
      <w:r w:rsidRPr="001F7B54">
        <w:rPr>
          <w:rFonts w:hint="eastAsia"/>
          <w:rtl/>
        </w:rPr>
        <w:t>هـ</w:t>
      </w:r>
      <w:r w:rsidRPr="001F7B54">
        <w:rPr>
          <w:rtl/>
        </w:rPr>
        <w:t xml:space="preserve"> / 2003 </w:t>
      </w:r>
      <w:r w:rsidRPr="001F7B54">
        <w:rPr>
          <w:rFonts w:hint="eastAsia"/>
          <w:rtl/>
        </w:rPr>
        <w:t>م</w:t>
      </w:r>
      <w:r>
        <w:rPr>
          <w:rtl/>
        </w:rPr>
        <w:t>.</w:t>
      </w:r>
    </w:p>
    <w:p w:rsidR="005F44B2" w:rsidRPr="00591A13" w:rsidRDefault="005F44B2" w:rsidP="00781458">
      <w:pPr>
        <w:pStyle w:val="Subtitle"/>
        <w:numPr>
          <w:ilvl w:val="0"/>
          <w:numId w:val="46"/>
        </w:numPr>
        <w:spacing w:line="259" w:lineRule="auto"/>
        <w:jc w:val="both"/>
      </w:pPr>
      <w:r w:rsidRPr="00591A13">
        <w:rPr>
          <w:rFonts w:hint="eastAsia"/>
          <w:rtl/>
        </w:rPr>
        <w:t>تاج،</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Pr>
          <w:rtl/>
        </w:rPr>
        <w:t xml:space="preserve"> (</w:t>
      </w:r>
      <w:r w:rsidRPr="00591A13">
        <w:rPr>
          <w:rtl/>
        </w:rPr>
        <w:t>1415</w:t>
      </w:r>
      <w:r w:rsidRPr="00591A13">
        <w:rPr>
          <w:rFonts w:hint="eastAsia"/>
          <w:rtl/>
        </w:rPr>
        <w:t>هـ</w:t>
      </w:r>
      <w:r>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والفقه</w:t>
      </w:r>
      <w:r w:rsidRPr="00591A13">
        <w:rPr>
          <w:b/>
          <w:bCs/>
          <w:rtl/>
        </w:rPr>
        <w:t xml:space="preserve"> </w:t>
      </w:r>
      <w:r w:rsidRPr="00591A13">
        <w:rPr>
          <w:rFonts w:hint="eastAsia"/>
          <w:b/>
          <w:bCs/>
          <w:rtl/>
        </w:rPr>
        <w:t>الاسلامي</w:t>
      </w:r>
      <w:r w:rsidRPr="00591A13">
        <w:rPr>
          <w:rFonts w:hint="eastAsia"/>
          <w:rtl/>
        </w:rPr>
        <w:t>،</w:t>
      </w:r>
      <w:r w:rsidRPr="00591A13">
        <w:rPr>
          <w:rtl/>
        </w:rPr>
        <w:t xml:space="preserve"> (</w:t>
      </w:r>
      <w:r w:rsidRPr="00591A13">
        <w:rPr>
          <w:rFonts w:hint="eastAsia"/>
          <w:rtl/>
        </w:rPr>
        <w:t>تحر</w:t>
      </w:r>
      <w:r>
        <w:rPr>
          <w:rFonts w:hint="eastAsia"/>
          <w:rtl/>
        </w:rPr>
        <w:t>ير</w:t>
      </w:r>
      <w:r>
        <w:rPr>
          <w:rtl/>
        </w:rPr>
        <w:t xml:space="preserve"> </w:t>
      </w:r>
      <w:r>
        <w:rPr>
          <w:rFonts w:hint="eastAsia"/>
          <w:rtl/>
        </w:rPr>
        <w:t>علي</w:t>
      </w:r>
      <w:r>
        <w:rPr>
          <w:rtl/>
        </w:rPr>
        <w:t xml:space="preserve"> </w:t>
      </w:r>
      <w:r>
        <w:rPr>
          <w:rFonts w:hint="eastAsia"/>
          <w:rtl/>
        </w:rPr>
        <w:t>احمد</w:t>
      </w:r>
      <w:r>
        <w:rPr>
          <w:rtl/>
        </w:rPr>
        <w:t xml:space="preserve"> </w:t>
      </w:r>
      <w:r>
        <w:rPr>
          <w:rFonts w:hint="eastAsia"/>
          <w:rtl/>
        </w:rPr>
        <w:t>خطيب</w:t>
      </w:r>
      <w:r>
        <w:rPr>
          <w:rtl/>
        </w:rPr>
        <w:t>)</w:t>
      </w:r>
      <w:r w:rsidRPr="00591A13">
        <w:rPr>
          <w:rtl/>
        </w:rPr>
        <w:t>.</w:t>
      </w:r>
    </w:p>
    <w:p w:rsidR="005F44B2" w:rsidRDefault="005F44B2" w:rsidP="000543DE">
      <w:pPr>
        <w:pStyle w:val="Subtitle"/>
        <w:numPr>
          <w:ilvl w:val="0"/>
          <w:numId w:val="46"/>
        </w:numPr>
        <w:spacing w:line="259" w:lineRule="auto"/>
        <w:jc w:val="both"/>
      </w:pPr>
      <w:r>
        <w:rPr>
          <w:rFonts w:hint="eastAsia"/>
          <w:rtl/>
        </w:rPr>
        <w:t>الترمذي،</w:t>
      </w:r>
      <w:r>
        <w:rPr>
          <w:rtl/>
        </w:rPr>
        <w:t xml:space="preserve"> </w:t>
      </w:r>
      <w:r w:rsidRPr="0025268C">
        <w:rPr>
          <w:rFonts w:hint="eastAsia"/>
          <w:rtl/>
        </w:rPr>
        <w:t>محمد</w:t>
      </w:r>
      <w:r w:rsidRPr="0025268C">
        <w:rPr>
          <w:rtl/>
        </w:rPr>
        <w:t xml:space="preserve"> </w:t>
      </w:r>
      <w:r w:rsidRPr="0025268C">
        <w:rPr>
          <w:rFonts w:hint="eastAsia"/>
          <w:rtl/>
        </w:rPr>
        <w:t>بن</w:t>
      </w:r>
      <w:r w:rsidRPr="0025268C">
        <w:rPr>
          <w:rtl/>
        </w:rPr>
        <w:t xml:space="preserve"> </w:t>
      </w:r>
      <w:r w:rsidRPr="0025268C">
        <w:rPr>
          <w:rFonts w:hint="eastAsia"/>
          <w:rtl/>
        </w:rPr>
        <w:t>عيسى</w:t>
      </w:r>
      <w:r w:rsidRPr="0025268C">
        <w:rPr>
          <w:rtl/>
        </w:rPr>
        <w:t xml:space="preserve"> </w:t>
      </w:r>
      <w:r w:rsidRPr="0025268C">
        <w:rPr>
          <w:rFonts w:hint="eastAsia"/>
          <w:rtl/>
        </w:rPr>
        <w:t>بن</w:t>
      </w:r>
      <w:r w:rsidRPr="0025268C">
        <w:rPr>
          <w:rtl/>
        </w:rPr>
        <w:t xml:space="preserve"> </w:t>
      </w:r>
      <w:r w:rsidRPr="0025268C">
        <w:rPr>
          <w:rFonts w:hint="eastAsia"/>
          <w:rtl/>
        </w:rPr>
        <w:t>سَوْرة</w:t>
      </w:r>
      <w:r w:rsidRPr="0025268C">
        <w:rPr>
          <w:rtl/>
        </w:rPr>
        <w:t xml:space="preserve"> </w:t>
      </w:r>
      <w:r w:rsidRPr="0025268C">
        <w:rPr>
          <w:rFonts w:hint="eastAsia"/>
          <w:rtl/>
        </w:rPr>
        <w:t>بن</w:t>
      </w:r>
      <w:r w:rsidRPr="0025268C">
        <w:rPr>
          <w:rtl/>
        </w:rPr>
        <w:t xml:space="preserve"> </w:t>
      </w:r>
      <w:r w:rsidRPr="0025268C">
        <w:rPr>
          <w:rFonts w:hint="eastAsia"/>
          <w:rtl/>
        </w:rPr>
        <w:t>موسى</w:t>
      </w:r>
      <w:r w:rsidRPr="0025268C">
        <w:rPr>
          <w:rtl/>
        </w:rPr>
        <w:t xml:space="preserve"> </w:t>
      </w:r>
      <w:r w:rsidRPr="0025268C">
        <w:rPr>
          <w:rFonts w:hint="eastAsia"/>
          <w:rtl/>
        </w:rPr>
        <w:t>بن</w:t>
      </w:r>
      <w:r w:rsidRPr="0025268C">
        <w:rPr>
          <w:rtl/>
        </w:rPr>
        <w:t xml:space="preserve"> </w:t>
      </w:r>
      <w:r w:rsidRPr="0025268C">
        <w:rPr>
          <w:rFonts w:hint="eastAsia"/>
          <w:rtl/>
        </w:rPr>
        <w:t>الضحاك،</w:t>
      </w:r>
      <w:r w:rsidRPr="0025268C">
        <w:rPr>
          <w:rtl/>
        </w:rPr>
        <w:t xml:space="preserve"> </w:t>
      </w:r>
      <w:r w:rsidRPr="0025268C">
        <w:rPr>
          <w:rFonts w:hint="eastAsia"/>
          <w:rtl/>
        </w:rPr>
        <w:t>الترمذي،</w:t>
      </w:r>
      <w:r w:rsidRPr="0025268C">
        <w:rPr>
          <w:rtl/>
        </w:rPr>
        <w:t xml:space="preserve"> </w:t>
      </w:r>
      <w:r w:rsidRPr="0025268C">
        <w:rPr>
          <w:rFonts w:hint="eastAsia"/>
          <w:rtl/>
        </w:rPr>
        <w:t>أبو</w:t>
      </w:r>
      <w:r w:rsidRPr="0025268C">
        <w:rPr>
          <w:rtl/>
        </w:rPr>
        <w:t xml:space="preserve"> </w:t>
      </w:r>
      <w:r w:rsidRPr="0025268C">
        <w:rPr>
          <w:rFonts w:hint="eastAsia"/>
          <w:rtl/>
        </w:rPr>
        <w:t>عيسى</w:t>
      </w:r>
      <w:r w:rsidRPr="0025268C">
        <w:rPr>
          <w:rtl/>
        </w:rPr>
        <w:t xml:space="preserve"> (</w:t>
      </w:r>
      <w:r>
        <w:rPr>
          <w:rFonts w:hint="eastAsia"/>
          <w:rtl/>
        </w:rPr>
        <w:t>ت</w:t>
      </w:r>
      <w:r w:rsidRPr="0025268C">
        <w:rPr>
          <w:rtl/>
        </w:rPr>
        <w:t xml:space="preserve"> 279</w:t>
      </w:r>
      <w:r w:rsidRPr="0025268C">
        <w:rPr>
          <w:rFonts w:hint="eastAsia"/>
          <w:rtl/>
        </w:rPr>
        <w:t>هـ</w:t>
      </w:r>
      <w:r w:rsidRPr="0025268C">
        <w:rPr>
          <w:rtl/>
        </w:rPr>
        <w:t>)</w:t>
      </w:r>
      <w:r>
        <w:rPr>
          <w:rFonts w:hint="eastAsia"/>
          <w:rtl/>
        </w:rPr>
        <w:t>،</w:t>
      </w:r>
      <w:r>
        <w:rPr>
          <w:rtl/>
        </w:rPr>
        <w:t xml:space="preserve"> </w:t>
      </w:r>
      <w:r w:rsidRPr="0025268C">
        <w:rPr>
          <w:rFonts w:hint="eastAsia"/>
          <w:b/>
          <w:bCs/>
          <w:rtl/>
        </w:rPr>
        <w:t>سنن</w:t>
      </w:r>
      <w:r w:rsidRPr="0025268C">
        <w:rPr>
          <w:b/>
          <w:bCs/>
          <w:rtl/>
        </w:rPr>
        <w:t xml:space="preserve"> </w:t>
      </w:r>
      <w:r w:rsidRPr="0025268C">
        <w:rPr>
          <w:rFonts w:hint="eastAsia"/>
          <w:b/>
          <w:bCs/>
          <w:rtl/>
        </w:rPr>
        <w:t>الترمذي</w:t>
      </w:r>
      <w:r>
        <w:rPr>
          <w:rFonts w:hint="eastAsia"/>
          <w:rtl/>
        </w:rPr>
        <w:t>،</w:t>
      </w:r>
      <w:r>
        <w:rPr>
          <w:rtl/>
        </w:rPr>
        <w:t xml:space="preserve"> (</w:t>
      </w:r>
      <w:r w:rsidRPr="0025268C">
        <w:rPr>
          <w:rFonts w:hint="eastAsia"/>
          <w:rtl/>
        </w:rPr>
        <w:t>المحقق</w:t>
      </w:r>
      <w:r w:rsidRPr="0025268C">
        <w:rPr>
          <w:rtl/>
        </w:rPr>
        <w:t xml:space="preserve">: </w:t>
      </w:r>
      <w:r w:rsidRPr="0025268C">
        <w:rPr>
          <w:rFonts w:hint="eastAsia"/>
          <w:rtl/>
        </w:rPr>
        <w:t>بشار</w:t>
      </w:r>
      <w:r w:rsidRPr="0025268C">
        <w:rPr>
          <w:rtl/>
        </w:rPr>
        <w:t xml:space="preserve"> </w:t>
      </w:r>
      <w:r w:rsidRPr="0025268C">
        <w:rPr>
          <w:rFonts w:hint="eastAsia"/>
          <w:rtl/>
        </w:rPr>
        <w:t>عواد</w:t>
      </w:r>
      <w:r w:rsidRPr="0025268C">
        <w:rPr>
          <w:rtl/>
        </w:rPr>
        <w:t xml:space="preserve"> </w:t>
      </w:r>
      <w:r w:rsidRPr="0025268C">
        <w:rPr>
          <w:rFonts w:hint="eastAsia"/>
          <w:rtl/>
        </w:rPr>
        <w:t>معروف</w:t>
      </w:r>
      <w:r>
        <w:rPr>
          <w:rtl/>
        </w:rPr>
        <w:t>)</w:t>
      </w:r>
      <w:r>
        <w:rPr>
          <w:rFonts w:hint="eastAsia"/>
          <w:rtl/>
        </w:rPr>
        <w:t>،</w:t>
      </w:r>
      <w:r>
        <w:rPr>
          <w:rtl/>
        </w:rPr>
        <w:t xml:space="preserve"> </w:t>
      </w:r>
      <w:r w:rsidRPr="0025268C">
        <w:rPr>
          <w:rFonts w:hint="eastAsia"/>
          <w:rtl/>
        </w:rPr>
        <w:t>دار</w:t>
      </w:r>
      <w:r w:rsidRPr="0025268C">
        <w:rPr>
          <w:rtl/>
        </w:rPr>
        <w:t xml:space="preserve"> </w:t>
      </w:r>
      <w:r w:rsidRPr="0025268C">
        <w:rPr>
          <w:rFonts w:hint="eastAsia"/>
          <w:rtl/>
        </w:rPr>
        <w:t>الغرب</w:t>
      </w:r>
      <w:r w:rsidRPr="0025268C">
        <w:rPr>
          <w:rtl/>
        </w:rPr>
        <w:t xml:space="preserve"> </w:t>
      </w:r>
      <w:r w:rsidRPr="0025268C">
        <w:rPr>
          <w:rFonts w:hint="eastAsia"/>
          <w:rtl/>
        </w:rPr>
        <w:t>الإسلامي</w:t>
      </w:r>
      <w:r>
        <w:rPr>
          <w:rFonts w:hint="eastAsia"/>
          <w:rtl/>
        </w:rPr>
        <w:t>،</w:t>
      </w:r>
      <w:r w:rsidRPr="0025268C">
        <w:rPr>
          <w:rtl/>
        </w:rPr>
        <w:t xml:space="preserve"> </w:t>
      </w:r>
      <w:r w:rsidRPr="0025268C">
        <w:rPr>
          <w:rFonts w:hint="eastAsia"/>
          <w:rtl/>
        </w:rPr>
        <w:t>بيروت</w:t>
      </w:r>
      <w:r>
        <w:rPr>
          <w:rFonts w:hint="eastAsia"/>
          <w:rtl/>
        </w:rPr>
        <w:t>،</w:t>
      </w:r>
      <w:r>
        <w:rPr>
          <w:rtl/>
        </w:rPr>
        <w:t xml:space="preserve"> 1998</w:t>
      </w:r>
      <w:r>
        <w:rPr>
          <w:rFonts w:hint="eastAsia"/>
          <w:rtl/>
        </w:rPr>
        <w:t>م،</w:t>
      </w:r>
      <w:r>
        <w:rPr>
          <w:rtl/>
        </w:rPr>
        <w:t>.</w:t>
      </w:r>
    </w:p>
    <w:p w:rsidR="005F44B2" w:rsidRPr="00591A13" w:rsidRDefault="005F44B2" w:rsidP="004A67A4">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تيمية،</w:t>
      </w:r>
      <w:r w:rsidRPr="00591A13">
        <w:rPr>
          <w:rtl/>
        </w:rPr>
        <w:t xml:space="preserve"> </w:t>
      </w:r>
      <w:r w:rsidRPr="00591A13">
        <w:rPr>
          <w:rFonts w:hint="eastAsia"/>
          <w:b/>
          <w:bCs/>
          <w:rtl/>
        </w:rPr>
        <w:t>الصارم</w:t>
      </w:r>
      <w:r w:rsidRPr="00591A13">
        <w:rPr>
          <w:b/>
          <w:bCs/>
          <w:rtl/>
        </w:rPr>
        <w:t xml:space="preserve"> </w:t>
      </w:r>
      <w:r w:rsidRPr="00591A13">
        <w:rPr>
          <w:rFonts w:hint="eastAsia"/>
          <w:b/>
          <w:bCs/>
          <w:rtl/>
        </w:rPr>
        <w:t>المسلول</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شاتم</w:t>
      </w:r>
      <w:r w:rsidRPr="00591A13">
        <w:rPr>
          <w:b/>
          <w:bCs/>
          <w:rtl/>
        </w:rPr>
        <w:t xml:space="preserve"> </w:t>
      </w:r>
      <w:r w:rsidRPr="00591A13">
        <w:rPr>
          <w:rFonts w:hint="eastAsia"/>
          <w:b/>
          <w:bCs/>
          <w:rtl/>
        </w:rPr>
        <w:t>الرسول</w:t>
      </w:r>
      <w:r w:rsidRPr="00591A13">
        <w:rPr>
          <w:rFonts w:hint="eastAsia"/>
          <w:rtl/>
        </w:rPr>
        <w:t>،</w:t>
      </w:r>
      <w:r>
        <w:rPr>
          <w:rtl/>
        </w:rPr>
        <w:t xml:space="preserve"> </w:t>
      </w:r>
      <w:r>
        <w:rPr>
          <w:rFonts w:hint="eastAsia"/>
          <w:rtl/>
        </w:rPr>
        <w:t>بدون</w:t>
      </w:r>
      <w:r>
        <w:rPr>
          <w:rtl/>
        </w:rPr>
        <w:t xml:space="preserve"> </w:t>
      </w:r>
      <w:r>
        <w:rPr>
          <w:rFonts w:hint="eastAsia"/>
          <w:rtl/>
        </w:rPr>
        <w:t>طبعة،</w:t>
      </w:r>
      <w:r>
        <w:rPr>
          <w:rtl/>
        </w:rPr>
        <w:t xml:space="preserve"> </w:t>
      </w:r>
      <w:r>
        <w:rPr>
          <w:rFonts w:hint="eastAsia"/>
          <w:rtl/>
        </w:rPr>
        <w:t>م</w:t>
      </w:r>
      <w:r>
        <w:rPr>
          <w:rtl/>
        </w:rPr>
        <w:t>6</w:t>
      </w:r>
      <w:r>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محمد</w:t>
      </w:r>
      <w:r w:rsidRPr="00591A13">
        <w:rPr>
          <w:rtl/>
        </w:rPr>
        <w:t xml:space="preserve"> </w:t>
      </w:r>
      <w:r w:rsidRPr="00591A13">
        <w:rPr>
          <w:rFonts w:hint="eastAsia"/>
          <w:rtl/>
        </w:rPr>
        <w:t>محي</w:t>
      </w:r>
      <w:r w:rsidRPr="00591A13">
        <w:rPr>
          <w:rtl/>
        </w:rPr>
        <w:t xml:space="preserve"> </w:t>
      </w:r>
      <w:r w:rsidRPr="00591A13">
        <w:rPr>
          <w:rFonts w:hint="eastAsia"/>
          <w:rtl/>
        </w:rPr>
        <w:t>الدين</w:t>
      </w:r>
      <w:r w:rsidRPr="00591A13">
        <w:rPr>
          <w:rtl/>
        </w:rPr>
        <w:t xml:space="preserve"> </w:t>
      </w:r>
      <w:r w:rsidRPr="00591A13">
        <w:rPr>
          <w:rFonts w:hint="eastAsia"/>
          <w:rtl/>
        </w:rPr>
        <w:t>عبد</w:t>
      </w:r>
      <w:r w:rsidRPr="00591A13">
        <w:rPr>
          <w:rtl/>
        </w:rPr>
        <w:t xml:space="preserve"> </w:t>
      </w:r>
      <w:r w:rsidRPr="00591A13">
        <w:rPr>
          <w:rFonts w:hint="eastAsia"/>
          <w:rtl/>
        </w:rPr>
        <w:t>الحميد</w:t>
      </w:r>
      <w:r w:rsidRPr="00591A13">
        <w:rPr>
          <w:rtl/>
        </w:rPr>
        <w:t>)</w:t>
      </w:r>
      <w:r w:rsidRPr="00591A13">
        <w:rPr>
          <w:rFonts w:hint="eastAsia"/>
          <w:rtl/>
        </w:rPr>
        <w:t>،ناشر</w:t>
      </w:r>
      <w:r w:rsidRPr="00591A13">
        <w:rPr>
          <w:rtl/>
        </w:rPr>
        <w:t xml:space="preserve"> </w:t>
      </w:r>
      <w:r w:rsidRPr="00591A13">
        <w:rPr>
          <w:rFonts w:hint="eastAsia"/>
          <w:rtl/>
        </w:rPr>
        <w:t>الحرس</w:t>
      </w:r>
      <w:r w:rsidRPr="00591A13">
        <w:rPr>
          <w:rtl/>
        </w:rPr>
        <w:t xml:space="preserve"> </w:t>
      </w:r>
      <w:r w:rsidRPr="00591A13">
        <w:rPr>
          <w:rFonts w:hint="eastAsia"/>
          <w:rtl/>
        </w:rPr>
        <w:t>الوطني</w:t>
      </w:r>
      <w:r w:rsidRPr="00591A13">
        <w:rPr>
          <w:rtl/>
        </w:rPr>
        <w:t xml:space="preserve"> </w:t>
      </w:r>
      <w:r w:rsidRPr="00591A13">
        <w:rPr>
          <w:rFonts w:hint="eastAsia"/>
          <w:rtl/>
        </w:rPr>
        <w:t>السعودي،</w:t>
      </w:r>
      <w:r w:rsidRPr="00591A13">
        <w:rPr>
          <w:rtl/>
        </w:rPr>
        <w:t xml:space="preserve"> </w:t>
      </w:r>
      <w:r w:rsidRPr="00591A13">
        <w:rPr>
          <w:rFonts w:hint="eastAsia"/>
          <w:rtl/>
        </w:rPr>
        <w:t>المملكة</w:t>
      </w:r>
      <w:r w:rsidRPr="00591A13">
        <w:rPr>
          <w:rtl/>
        </w:rPr>
        <w:t xml:space="preserve"> </w:t>
      </w:r>
      <w:r w:rsidRPr="00591A13">
        <w:rPr>
          <w:rFonts w:hint="eastAsia"/>
          <w:rtl/>
        </w:rPr>
        <w:t>العربية</w:t>
      </w:r>
      <w:r w:rsidRPr="00591A13">
        <w:rPr>
          <w:rtl/>
        </w:rPr>
        <w:t xml:space="preserve"> </w:t>
      </w:r>
      <w:r w:rsidRPr="00591A13">
        <w:rPr>
          <w:rFonts w:hint="eastAsia"/>
          <w:rtl/>
        </w:rPr>
        <w:t>السعودية</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تيمية،</w:t>
      </w:r>
      <w:r w:rsidRPr="00591A13">
        <w:rPr>
          <w:rtl/>
        </w:rPr>
        <w:t xml:space="preserve"> </w:t>
      </w:r>
      <w:r w:rsidRPr="00591A13">
        <w:rPr>
          <w:rFonts w:hint="eastAsia"/>
          <w:rtl/>
        </w:rPr>
        <w:t>تقي</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العباس</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الحليم</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السلام</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القاسم</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ابن</w:t>
      </w:r>
      <w:r w:rsidRPr="00591A13">
        <w:rPr>
          <w:rtl/>
        </w:rPr>
        <w:t xml:space="preserve"> </w:t>
      </w:r>
      <w:r w:rsidRPr="00591A13">
        <w:rPr>
          <w:rFonts w:hint="eastAsia"/>
          <w:rtl/>
        </w:rPr>
        <w:t>تيمية</w:t>
      </w:r>
      <w:r w:rsidRPr="00591A13">
        <w:rPr>
          <w:rtl/>
        </w:rPr>
        <w:t xml:space="preserve"> </w:t>
      </w:r>
      <w:r w:rsidRPr="00591A13">
        <w:rPr>
          <w:rFonts w:hint="eastAsia"/>
          <w:rtl/>
        </w:rPr>
        <w:t>الحراني</w:t>
      </w:r>
      <w:r w:rsidRPr="00591A13">
        <w:rPr>
          <w:rtl/>
        </w:rPr>
        <w:t xml:space="preserve"> </w:t>
      </w:r>
      <w:r w:rsidRPr="00591A13">
        <w:rPr>
          <w:rFonts w:hint="eastAsia"/>
          <w:rtl/>
        </w:rPr>
        <w:t>الحنبلي</w:t>
      </w:r>
      <w:r w:rsidRPr="00591A13">
        <w:rPr>
          <w:rtl/>
        </w:rPr>
        <w:t xml:space="preserve"> </w:t>
      </w:r>
      <w:r w:rsidRPr="00591A13">
        <w:rPr>
          <w:rFonts w:hint="eastAsia"/>
          <w:rtl/>
        </w:rPr>
        <w:t>الدمشقي</w:t>
      </w:r>
      <w:r w:rsidRPr="00591A13">
        <w:rPr>
          <w:rtl/>
        </w:rPr>
        <w:t xml:space="preserve"> (</w:t>
      </w:r>
      <w:r w:rsidRPr="00591A13">
        <w:rPr>
          <w:rFonts w:hint="eastAsia"/>
          <w:rtl/>
        </w:rPr>
        <w:t>ت</w:t>
      </w:r>
      <w:r w:rsidRPr="00591A13">
        <w:rPr>
          <w:rtl/>
        </w:rPr>
        <w:t xml:space="preserve"> 728</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اصلاح</w:t>
      </w:r>
      <w:r w:rsidRPr="00591A13">
        <w:rPr>
          <w:b/>
          <w:bCs/>
          <w:rtl/>
        </w:rPr>
        <w:t xml:space="preserve"> </w:t>
      </w:r>
      <w:r w:rsidRPr="00591A13">
        <w:rPr>
          <w:rFonts w:hint="eastAsia"/>
          <w:b/>
          <w:bCs/>
          <w:rtl/>
        </w:rPr>
        <w:t>الراعي</w:t>
      </w:r>
      <w:r w:rsidRPr="00591A13">
        <w:rPr>
          <w:b/>
          <w:bCs/>
          <w:rtl/>
        </w:rPr>
        <w:t xml:space="preserve"> </w:t>
      </w:r>
      <w:r w:rsidRPr="00591A13">
        <w:rPr>
          <w:rFonts w:hint="eastAsia"/>
          <w:b/>
          <w:bCs/>
          <w:rtl/>
        </w:rPr>
        <w:t>والرعية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وزارة</w:t>
      </w:r>
      <w:r w:rsidRPr="00591A13">
        <w:rPr>
          <w:rtl/>
        </w:rPr>
        <w:t xml:space="preserve"> </w:t>
      </w:r>
      <w:r w:rsidRPr="00591A13">
        <w:rPr>
          <w:rFonts w:hint="eastAsia"/>
          <w:rtl/>
        </w:rPr>
        <w:t>الشئون</w:t>
      </w:r>
      <w:r w:rsidRPr="00591A13">
        <w:rPr>
          <w:rtl/>
        </w:rPr>
        <w:t xml:space="preserve"> </w:t>
      </w:r>
      <w:r w:rsidRPr="00591A13">
        <w:rPr>
          <w:rFonts w:hint="eastAsia"/>
          <w:rtl/>
        </w:rPr>
        <w:t>الإسلامية</w:t>
      </w:r>
      <w:r w:rsidRPr="00591A13">
        <w:rPr>
          <w:rtl/>
        </w:rPr>
        <w:t xml:space="preserve"> </w:t>
      </w:r>
      <w:r w:rsidRPr="00591A13">
        <w:rPr>
          <w:rFonts w:hint="eastAsia"/>
          <w:rtl/>
        </w:rPr>
        <w:t>والأوقاف</w:t>
      </w:r>
      <w:r w:rsidRPr="00591A13">
        <w:rPr>
          <w:rtl/>
        </w:rPr>
        <w:t xml:space="preserve"> </w:t>
      </w:r>
      <w:r w:rsidRPr="00591A13">
        <w:rPr>
          <w:rFonts w:hint="eastAsia"/>
          <w:rtl/>
        </w:rPr>
        <w:t>والدعوة</w:t>
      </w:r>
      <w:r w:rsidRPr="00591A13">
        <w:rPr>
          <w:rtl/>
        </w:rPr>
        <w:t xml:space="preserve"> </w:t>
      </w:r>
      <w:r w:rsidRPr="00591A13">
        <w:rPr>
          <w:rFonts w:hint="eastAsia"/>
          <w:rtl/>
        </w:rPr>
        <w:t>والإرشاد،</w:t>
      </w:r>
      <w:r w:rsidRPr="00591A13">
        <w:rPr>
          <w:rtl/>
        </w:rPr>
        <w:t xml:space="preserve"> </w:t>
      </w:r>
      <w:r w:rsidRPr="00591A13">
        <w:rPr>
          <w:rFonts w:ascii="Traditional Arabic" w:hAnsi="Traditional Arabic" w:hint="eastAsia"/>
          <w:rtl/>
        </w:rPr>
        <w:t>المملكة</w:t>
      </w:r>
      <w:r w:rsidRPr="00591A13">
        <w:rPr>
          <w:rFonts w:ascii="Traditional Arabic" w:hAnsi="Traditional Arabic"/>
          <w:rtl/>
        </w:rPr>
        <w:t xml:space="preserve"> </w:t>
      </w:r>
      <w:r w:rsidRPr="00591A13">
        <w:rPr>
          <w:rFonts w:ascii="Traditional Arabic" w:hAnsi="Traditional Arabic" w:hint="eastAsia"/>
          <w:rtl/>
        </w:rPr>
        <w:t>العربية</w:t>
      </w:r>
      <w:r w:rsidRPr="00591A13">
        <w:rPr>
          <w:rFonts w:ascii="Traditional Arabic" w:hAnsi="Traditional Arabic"/>
          <w:rtl/>
        </w:rPr>
        <w:t xml:space="preserve"> </w:t>
      </w:r>
      <w:r w:rsidRPr="00591A13">
        <w:rPr>
          <w:rFonts w:ascii="Traditional Arabic" w:hAnsi="Traditional Arabic" w:hint="eastAsia"/>
          <w:rtl/>
        </w:rPr>
        <w:t>السعودية،</w:t>
      </w:r>
      <w:r w:rsidRPr="00591A13">
        <w:rPr>
          <w:rtl/>
        </w:rPr>
        <w:t xml:space="preserve"> 1418</w:t>
      </w:r>
      <w:r w:rsidRPr="00591A13">
        <w:rPr>
          <w:rFonts w:hint="eastAsia"/>
          <w:rtl/>
        </w:rPr>
        <w:t>هـ</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تيمية،</w:t>
      </w:r>
      <w:r w:rsidRPr="00591A13">
        <w:rPr>
          <w:rFonts w:hint="eastAsia"/>
          <w:b/>
          <w:bCs/>
          <w:rtl/>
        </w:rPr>
        <w:t>الفتاوى</w:t>
      </w:r>
      <w:r w:rsidRPr="00591A13">
        <w:rPr>
          <w:b/>
          <w:bCs/>
          <w:rtl/>
        </w:rPr>
        <w:t xml:space="preserve"> </w:t>
      </w:r>
      <w:r w:rsidRPr="00591A13">
        <w:rPr>
          <w:rFonts w:hint="eastAsia"/>
          <w:b/>
          <w:bCs/>
          <w:rtl/>
        </w:rPr>
        <w:t>الكبرى</w:t>
      </w:r>
      <w:r w:rsidRPr="00591A13">
        <w:rPr>
          <w:b/>
          <w:bCs/>
          <w:rtl/>
        </w:rPr>
        <w:t xml:space="preserve"> </w:t>
      </w:r>
      <w:r w:rsidRPr="00591A13">
        <w:rPr>
          <w:rFonts w:hint="eastAsia"/>
          <w:b/>
          <w:bCs/>
          <w:rtl/>
        </w:rPr>
        <w:t>لابن</w:t>
      </w:r>
      <w:r w:rsidRPr="00591A13">
        <w:rPr>
          <w:b/>
          <w:bCs/>
          <w:rtl/>
        </w:rPr>
        <w:t xml:space="preserve"> </w:t>
      </w:r>
      <w:r w:rsidRPr="00591A13">
        <w:rPr>
          <w:rFonts w:hint="eastAsia"/>
          <w:b/>
          <w:bCs/>
          <w:rtl/>
        </w:rPr>
        <w:t>تيمية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1408</w:t>
      </w:r>
      <w:r w:rsidRPr="00591A13">
        <w:rPr>
          <w:rFonts w:hint="eastAsia"/>
          <w:rtl/>
        </w:rPr>
        <w:t>هـ</w:t>
      </w:r>
      <w:r w:rsidRPr="00591A13">
        <w:rPr>
          <w:rtl/>
        </w:rPr>
        <w:t xml:space="preserve"> - 1987</w:t>
      </w:r>
      <w:r w:rsidRPr="00591A13">
        <w:rPr>
          <w:rFonts w:hint="eastAsia"/>
          <w:rtl/>
        </w:rPr>
        <w:t>م</w:t>
      </w:r>
    </w:p>
    <w:p w:rsidR="005F44B2" w:rsidRPr="00591A13" w:rsidRDefault="005F44B2" w:rsidP="00D54DFD">
      <w:pPr>
        <w:pStyle w:val="Subtitle"/>
        <w:numPr>
          <w:ilvl w:val="0"/>
          <w:numId w:val="46"/>
        </w:numPr>
        <w:spacing w:line="259" w:lineRule="auto"/>
        <w:jc w:val="both"/>
      </w:pPr>
      <w:r>
        <w:rPr>
          <w:rtl/>
        </w:rPr>
        <w:br w:type="page"/>
      </w:r>
      <w:r w:rsidRPr="00591A13">
        <w:rPr>
          <w:rFonts w:hint="eastAsia"/>
          <w:rtl/>
        </w:rPr>
        <w:t>ابن</w:t>
      </w:r>
      <w:r w:rsidRPr="00591A13">
        <w:rPr>
          <w:rtl/>
        </w:rPr>
        <w:t xml:space="preserve"> </w:t>
      </w:r>
      <w:r w:rsidRPr="00591A13">
        <w:rPr>
          <w:rFonts w:hint="eastAsia"/>
          <w:rtl/>
        </w:rPr>
        <w:t>تيمية،</w:t>
      </w:r>
      <w:r w:rsidRPr="00591A13">
        <w:rPr>
          <w:rtl/>
        </w:rPr>
        <w:t xml:space="preserve"> </w:t>
      </w:r>
      <w:r w:rsidRPr="00591A13">
        <w:rPr>
          <w:rFonts w:hint="eastAsia"/>
          <w:b/>
          <w:bCs/>
          <w:rtl/>
        </w:rPr>
        <w:t>مجموع</w:t>
      </w:r>
      <w:r w:rsidRPr="00591A13">
        <w:rPr>
          <w:b/>
          <w:bCs/>
          <w:rtl/>
        </w:rPr>
        <w:t xml:space="preserve"> </w:t>
      </w:r>
      <w:r w:rsidRPr="00591A13">
        <w:rPr>
          <w:rFonts w:hint="eastAsia"/>
          <w:b/>
          <w:bCs/>
          <w:rtl/>
        </w:rPr>
        <w:t>الفتاوى</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قاسم</w:t>
      </w:r>
      <w:r w:rsidRPr="00591A13">
        <w:rPr>
          <w:rtl/>
        </w:rPr>
        <w:t>)</w:t>
      </w:r>
      <w:r w:rsidRPr="00591A13">
        <w:rPr>
          <w:rFonts w:hint="eastAsia"/>
          <w:rtl/>
        </w:rPr>
        <w:t>،</w:t>
      </w:r>
      <w:r w:rsidRPr="00591A13">
        <w:rPr>
          <w:rtl/>
        </w:rPr>
        <w:t xml:space="preserve"> </w:t>
      </w:r>
      <w:r w:rsidRPr="00591A13">
        <w:rPr>
          <w:rFonts w:hint="eastAsia"/>
          <w:rtl/>
        </w:rPr>
        <w:t>مجمع</w:t>
      </w:r>
      <w:r w:rsidRPr="00591A13">
        <w:rPr>
          <w:rtl/>
        </w:rPr>
        <w:t xml:space="preserve"> </w:t>
      </w:r>
      <w:r w:rsidRPr="00591A13">
        <w:rPr>
          <w:rFonts w:hint="eastAsia"/>
          <w:rtl/>
        </w:rPr>
        <w:t>الملك</w:t>
      </w:r>
      <w:r w:rsidRPr="00591A13">
        <w:rPr>
          <w:rtl/>
        </w:rPr>
        <w:t xml:space="preserve"> </w:t>
      </w:r>
      <w:r w:rsidRPr="00591A13">
        <w:rPr>
          <w:rFonts w:hint="eastAsia"/>
          <w:rtl/>
        </w:rPr>
        <w:t>فهد</w:t>
      </w:r>
      <w:r w:rsidRPr="00591A13">
        <w:rPr>
          <w:rtl/>
        </w:rPr>
        <w:t xml:space="preserve"> </w:t>
      </w:r>
      <w:r w:rsidRPr="00591A13">
        <w:rPr>
          <w:rFonts w:hint="eastAsia"/>
          <w:rtl/>
        </w:rPr>
        <w:t>لطباعة</w:t>
      </w:r>
      <w:r w:rsidRPr="00591A13">
        <w:rPr>
          <w:rtl/>
        </w:rPr>
        <w:t xml:space="preserve"> </w:t>
      </w:r>
      <w:r w:rsidRPr="00591A13">
        <w:rPr>
          <w:rFonts w:hint="eastAsia"/>
          <w:rtl/>
        </w:rPr>
        <w:t>المصحف</w:t>
      </w:r>
      <w:r w:rsidRPr="00591A13">
        <w:rPr>
          <w:rtl/>
        </w:rPr>
        <w:t xml:space="preserve"> </w:t>
      </w:r>
      <w:r w:rsidRPr="00591A13">
        <w:rPr>
          <w:rFonts w:hint="eastAsia"/>
          <w:rtl/>
        </w:rPr>
        <w:t>الشريف،</w:t>
      </w:r>
      <w:r w:rsidRPr="00591A13">
        <w:rPr>
          <w:rtl/>
        </w:rPr>
        <w:t xml:space="preserve"> </w:t>
      </w:r>
      <w:r w:rsidRPr="00591A13">
        <w:rPr>
          <w:rFonts w:hint="eastAsia"/>
          <w:rtl/>
        </w:rPr>
        <w:t>المدينة،</w:t>
      </w:r>
      <w:r w:rsidRPr="00591A13">
        <w:rPr>
          <w:rtl/>
        </w:rPr>
        <w:t xml:space="preserve"> 1995</w:t>
      </w:r>
      <w:r w:rsidRPr="00591A13">
        <w:rPr>
          <w:rFonts w:hint="eastAsia"/>
          <w:rtl/>
        </w:rPr>
        <w:t>م</w:t>
      </w:r>
      <w:r w:rsidRPr="00591A13">
        <w:rPr>
          <w:rtl/>
        </w:rPr>
        <w:t>.</w:t>
      </w:r>
    </w:p>
    <w:p w:rsidR="005F44B2" w:rsidRPr="00591A13" w:rsidRDefault="005F44B2" w:rsidP="00781458">
      <w:pPr>
        <w:pStyle w:val="Subtitle"/>
        <w:numPr>
          <w:ilvl w:val="0"/>
          <w:numId w:val="46"/>
        </w:numPr>
        <w:spacing w:line="259" w:lineRule="auto"/>
        <w:jc w:val="both"/>
      </w:pPr>
      <w:r w:rsidRPr="00591A13">
        <w:rPr>
          <w:rFonts w:hint="eastAsia"/>
          <w:rtl/>
        </w:rPr>
        <w:t>الجمل،</w:t>
      </w:r>
      <w:r w:rsidRPr="00591A13">
        <w:rPr>
          <w:rtl/>
        </w:rPr>
        <w:t xml:space="preserve"> </w:t>
      </w:r>
      <w:r w:rsidRPr="00591A13">
        <w:rPr>
          <w:rFonts w:hint="eastAsia"/>
          <w:rtl/>
        </w:rPr>
        <w:t>سليمان</w:t>
      </w:r>
      <w:r w:rsidRPr="00591A13">
        <w:rPr>
          <w:rtl/>
        </w:rPr>
        <w:t xml:space="preserve"> </w:t>
      </w:r>
      <w:r w:rsidRPr="00591A13">
        <w:rPr>
          <w:rFonts w:hint="eastAsia"/>
          <w:rtl/>
        </w:rPr>
        <w:t>بن</w:t>
      </w:r>
      <w:r w:rsidRPr="00591A13">
        <w:rPr>
          <w:rtl/>
        </w:rPr>
        <w:t xml:space="preserve"> </w:t>
      </w:r>
      <w:r w:rsidRPr="00591A13">
        <w:rPr>
          <w:rFonts w:hint="eastAsia"/>
          <w:rtl/>
        </w:rPr>
        <w:t>عمر</w:t>
      </w:r>
      <w:r w:rsidRPr="00591A13">
        <w:rPr>
          <w:rtl/>
        </w:rPr>
        <w:t xml:space="preserve"> </w:t>
      </w:r>
      <w:r w:rsidRPr="00591A13">
        <w:rPr>
          <w:rFonts w:hint="eastAsia"/>
          <w:rtl/>
        </w:rPr>
        <w:t>بن</w:t>
      </w:r>
      <w:r w:rsidRPr="00591A13">
        <w:rPr>
          <w:rtl/>
        </w:rPr>
        <w:t xml:space="preserve"> </w:t>
      </w:r>
      <w:r w:rsidRPr="00591A13">
        <w:rPr>
          <w:rFonts w:hint="eastAsia"/>
          <w:rtl/>
        </w:rPr>
        <w:t>منصور</w:t>
      </w:r>
      <w:r w:rsidRPr="00591A13">
        <w:rPr>
          <w:rtl/>
        </w:rPr>
        <w:t xml:space="preserve"> </w:t>
      </w:r>
      <w:r w:rsidRPr="00591A13">
        <w:rPr>
          <w:rFonts w:hint="eastAsia"/>
          <w:rtl/>
        </w:rPr>
        <w:t>العجيلي</w:t>
      </w:r>
      <w:r w:rsidRPr="00591A13">
        <w:rPr>
          <w:rtl/>
        </w:rPr>
        <w:t xml:space="preserve"> </w:t>
      </w:r>
      <w:r w:rsidRPr="00591A13">
        <w:rPr>
          <w:rFonts w:hint="eastAsia"/>
          <w:rtl/>
        </w:rPr>
        <w:t>الأزهري،</w:t>
      </w:r>
      <w:r w:rsidRPr="00591A13">
        <w:rPr>
          <w:rtl/>
        </w:rPr>
        <w:t xml:space="preserve"> </w:t>
      </w:r>
      <w:r w:rsidRPr="00591A13">
        <w:rPr>
          <w:rFonts w:hint="eastAsia"/>
          <w:rtl/>
        </w:rPr>
        <w:t>المعروف</w:t>
      </w:r>
      <w:r w:rsidRPr="00591A13">
        <w:rPr>
          <w:rtl/>
        </w:rPr>
        <w:t xml:space="preserve"> </w:t>
      </w:r>
      <w:r w:rsidRPr="00591A13">
        <w:rPr>
          <w:rFonts w:hint="eastAsia"/>
          <w:rtl/>
        </w:rPr>
        <w:t>بالجمل</w:t>
      </w:r>
      <w:r w:rsidRPr="00591A13">
        <w:rPr>
          <w:rtl/>
        </w:rPr>
        <w:t xml:space="preserve"> (</w:t>
      </w:r>
      <w:r w:rsidRPr="00591A13">
        <w:rPr>
          <w:rFonts w:hint="eastAsia"/>
          <w:rtl/>
        </w:rPr>
        <w:t>ت</w:t>
      </w:r>
      <w:r w:rsidRPr="00591A13">
        <w:rPr>
          <w:rtl/>
        </w:rPr>
        <w:t xml:space="preserve"> 1204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فتوحات</w:t>
      </w:r>
      <w:r w:rsidRPr="00591A13">
        <w:rPr>
          <w:b/>
          <w:bCs/>
          <w:rtl/>
        </w:rPr>
        <w:t xml:space="preserve"> </w:t>
      </w:r>
      <w:r w:rsidRPr="00591A13">
        <w:rPr>
          <w:rFonts w:hint="eastAsia"/>
          <w:b/>
          <w:bCs/>
          <w:rtl/>
        </w:rPr>
        <w:t>الوهاب</w:t>
      </w:r>
      <w:r w:rsidRPr="00591A13">
        <w:rPr>
          <w:b/>
          <w:bCs/>
          <w:rtl/>
        </w:rPr>
        <w:t xml:space="preserve"> </w:t>
      </w:r>
      <w:r w:rsidRPr="00591A13">
        <w:rPr>
          <w:rFonts w:hint="eastAsia"/>
          <w:b/>
          <w:bCs/>
          <w:rtl/>
        </w:rPr>
        <w:t>بتوضيح</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منهج</w:t>
      </w:r>
      <w:r w:rsidRPr="00591A13">
        <w:rPr>
          <w:b/>
          <w:bCs/>
          <w:rtl/>
        </w:rPr>
        <w:t xml:space="preserve"> </w:t>
      </w:r>
      <w:r w:rsidRPr="00591A13">
        <w:rPr>
          <w:rFonts w:hint="eastAsia"/>
          <w:b/>
          <w:bCs/>
          <w:rtl/>
        </w:rPr>
        <w:t>الطلاب</w:t>
      </w:r>
      <w:r w:rsidRPr="00591A13">
        <w:rPr>
          <w:b/>
          <w:bCs/>
          <w:rtl/>
        </w:rPr>
        <w:t xml:space="preserve"> </w:t>
      </w:r>
      <w:r w:rsidRPr="00591A13">
        <w:rPr>
          <w:rFonts w:hint="eastAsia"/>
          <w:b/>
          <w:bCs/>
          <w:rtl/>
        </w:rPr>
        <w:t>المعروف</w:t>
      </w:r>
      <w:r w:rsidRPr="00591A13">
        <w:rPr>
          <w:b/>
          <w:bCs/>
          <w:rtl/>
        </w:rPr>
        <w:t xml:space="preserve"> </w:t>
      </w:r>
      <w:r w:rsidRPr="00591A13">
        <w:rPr>
          <w:rFonts w:hint="eastAsia"/>
          <w:b/>
          <w:bCs/>
          <w:rtl/>
        </w:rPr>
        <w:t>بحاشية</w:t>
      </w:r>
      <w:r w:rsidRPr="00591A13">
        <w:rPr>
          <w:b/>
          <w:bCs/>
          <w:rtl/>
        </w:rPr>
        <w:t xml:space="preserve"> </w:t>
      </w:r>
      <w:r w:rsidRPr="00591A13">
        <w:rPr>
          <w:rFonts w:hint="eastAsia"/>
          <w:b/>
          <w:bCs/>
          <w:rtl/>
        </w:rPr>
        <w:t>الجمل</w:t>
      </w:r>
      <w:r w:rsidRPr="00591A13">
        <w:rPr>
          <w:rFonts w:hint="eastAsia"/>
          <w:rtl/>
        </w:rPr>
        <w:t>،</w:t>
      </w:r>
      <w:r>
        <w:rPr>
          <w:rtl/>
        </w:rPr>
        <w:t>5</w:t>
      </w:r>
      <w:r>
        <w:rPr>
          <w:rFonts w:hint="eastAsia"/>
          <w:rtl/>
        </w:rPr>
        <w:t>م،</w:t>
      </w:r>
      <w:r>
        <w:rPr>
          <w:rtl/>
        </w:rPr>
        <w:t xml:space="preserve"> </w:t>
      </w:r>
      <w:r>
        <w:rPr>
          <w:rFonts w:hint="eastAsia"/>
          <w:rtl/>
        </w:rPr>
        <w:t>دار</w:t>
      </w:r>
      <w:r>
        <w:rPr>
          <w:rtl/>
        </w:rPr>
        <w:t xml:space="preserve"> </w:t>
      </w:r>
      <w:r>
        <w:rPr>
          <w:rFonts w:hint="eastAsia"/>
          <w:rtl/>
        </w:rPr>
        <w:t>الفكر</w:t>
      </w:r>
      <w:r w:rsidRPr="00591A13">
        <w:rPr>
          <w:rtl/>
        </w:rPr>
        <w:t>.</w:t>
      </w:r>
    </w:p>
    <w:p w:rsidR="005F44B2" w:rsidRPr="00591A13" w:rsidRDefault="005F44B2" w:rsidP="00D54DFD">
      <w:pPr>
        <w:pStyle w:val="Subtitle"/>
        <w:numPr>
          <w:ilvl w:val="0"/>
          <w:numId w:val="46"/>
        </w:numPr>
        <w:spacing w:line="259" w:lineRule="auto"/>
        <w:jc w:val="both"/>
      </w:pPr>
      <w:r w:rsidRPr="00591A13">
        <w:rPr>
          <w:rFonts w:hint="eastAsia"/>
          <w:rtl/>
        </w:rPr>
        <w:t>الجوزي،</w:t>
      </w:r>
      <w:r w:rsidRPr="00591A13">
        <w:rPr>
          <w:rtl/>
        </w:rPr>
        <w:t xml:space="preserve"> </w:t>
      </w:r>
      <w:r w:rsidRPr="00591A13">
        <w:rPr>
          <w:rFonts w:hint="eastAsia"/>
          <w:rtl/>
        </w:rPr>
        <w:t>جمال</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الفرج</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الجوزي</w:t>
      </w:r>
      <w:r w:rsidRPr="00591A13">
        <w:rPr>
          <w:rtl/>
        </w:rPr>
        <w:t xml:space="preserve"> (</w:t>
      </w:r>
      <w:r w:rsidRPr="00591A13">
        <w:rPr>
          <w:rFonts w:hint="eastAsia"/>
          <w:rtl/>
        </w:rPr>
        <w:t>ت</w:t>
      </w:r>
      <w:r w:rsidRPr="00591A13">
        <w:rPr>
          <w:rtl/>
        </w:rPr>
        <w:t xml:space="preserve"> 597</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ذم</w:t>
      </w:r>
      <w:r w:rsidRPr="00591A13">
        <w:rPr>
          <w:b/>
          <w:bCs/>
          <w:rtl/>
        </w:rPr>
        <w:t xml:space="preserve"> </w:t>
      </w:r>
      <w:r w:rsidRPr="00591A13">
        <w:rPr>
          <w:rFonts w:hint="eastAsia"/>
          <w:b/>
          <w:bCs/>
          <w:rtl/>
        </w:rPr>
        <w:t>الهوى</w:t>
      </w:r>
      <w:r w:rsidRPr="00591A13">
        <w:rPr>
          <w:rFonts w:hint="eastAsia"/>
          <w:rtl/>
        </w:rPr>
        <w:t>،</w:t>
      </w:r>
      <w:r w:rsidRPr="00591A13">
        <w:rPr>
          <w:rtl/>
        </w:rPr>
        <w:t xml:space="preserve"> (</w:t>
      </w:r>
      <w:r w:rsidRPr="00591A13">
        <w:rPr>
          <w:rFonts w:hint="eastAsia"/>
          <w:rtl/>
        </w:rPr>
        <w:t>المحقق</w:t>
      </w:r>
      <w:r w:rsidRPr="00591A13">
        <w:rPr>
          <w:rtl/>
        </w:rPr>
        <w:t xml:space="preserve">: </w:t>
      </w:r>
      <w:r w:rsidRPr="00591A13">
        <w:rPr>
          <w:rFonts w:hint="eastAsia"/>
          <w:rtl/>
        </w:rPr>
        <w:t>مصطفى</w:t>
      </w:r>
      <w:r w:rsidRPr="00591A13">
        <w:rPr>
          <w:rtl/>
        </w:rPr>
        <w:t xml:space="preserve"> </w:t>
      </w:r>
      <w:r w:rsidRPr="00591A13">
        <w:rPr>
          <w:rFonts w:hint="eastAsia"/>
          <w:rtl/>
        </w:rPr>
        <w:t>عبد</w:t>
      </w:r>
      <w:r w:rsidRPr="00591A13">
        <w:rPr>
          <w:rtl/>
        </w:rPr>
        <w:t xml:space="preserve"> </w:t>
      </w:r>
      <w:r w:rsidRPr="00591A13">
        <w:rPr>
          <w:rFonts w:hint="eastAsia"/>
          <w:rtl/>
        </w:rPr>
        <w:t>الواحد،</w:t>
      </w:r>
      <w:r w:rsidRPr="00591A13">
        <w:rPr>
          <w:rtl/>
        </w:rPr>
        <w:t xml:space="preserve"> </w:t>
      </w:r>
      <w:r w:rsidRPr="00591A13">
        <w:rPr>
          <w:rFonts w:hint="eastAsia"/>
          <w:rtl/>
        </w:rPr>
        <w:t>مراجعة</w:t>
      </w:r>
      <w:r w:rsidRPr="00591A13">
        <w:rPr>
          <w:rtl/>
        </w:rPr>
        <w:t xml:space="preserve">: </w:t>
      </w:r>
      <w:r w:rsidRPr="00591A13">
        <w:rPr>
          <w:rFonts w:hint="eastAsia"/>
          <w:rtl/>
        </w:rPr>
        <w:t>محمد</w:t>
      </w:r>
      <w:r w:rsidRPr="00591A13">
        <w:rPr>
          <w:rtl/>
        </w:rPr>
        <w:t xml:space="preserve"> </w:t>
      </w:r>
      <w:r w:rsidRPr="00591A13">
        <w:rPr>
          <w:rFonts w:hint="eastAsia"/>
          <w:rtl/>
        </w:rPr>
        <w:t>الغزالي</w:t>
      </w:r>
      <w:r>
        <w:rPr>
          <w:rtl/>
        </w:rPr>
        <w:t>)</w:t>
      </w:r>
      <w:r w:rsidRPr="00591A13">
        <w:rPr>
          <w:rtl/>
        </w:rPr>
        <w:t>.</w:t>
      </w:r>
    </w:p>
    <w:p w:rsidR="005F44B2" w:rsidRPr="00591A13" w:rsidRDefault="005F44B2" w:rsidP="0050106F">
      <w:pPr>
        <w:pStyle w:val="Subtitle"/>
        <w:numPr>
          <w:ilvl w:val="0"/>
          <w:numId w:val="46"/>
        </w:numPr>
        <w:spacing w:line="259" w:lineRule="auto"/>
        <w:jc w:val="both"/>
      </w:pPr>
      <w:r w:rsidRPr="00591A13">
        <w:rPr>
          <w:rFonts w:hint="eastAsia"/>
          <w:rtl/>
        </w:rPr>
        <w:t>الجوهري،</w:t>
      </w:r>
      <w:r w:rsidRPr="00591A13">
        <w:rPr>
          <w:rtl/>
        </w:rPr>
        <w:t xml:space="preserve"> </w:t>
      </w:r>
      <w:r w:rsidRPr="00591A13">
        <w:rPr>
          <w:rFonts w:hint="eastAsia"/>
          <w:rtl/>
        </w:rPr>
        <w:t>أبو</w:t>
      </w:r>
      <w:r w:rsidRPr="00591A13">
        <w:rPr>
          <w:rtl/>
        </w:rPr>
        <w:t xml:space="preserve"> </w:t>
      </w:r>
      <w:r w:rsidRPr="00591A13">
        <w:rPr>
          <w:rFonts w:hint="eastAsia"/>
          <w:rtl/>
        </w:rPr>
        <w:t>نصر</w:t>
      </w:r>
      <w:r w:rsidRPr="00591A13">
        <w:rPr>
          <w:rtl/>
        </w:rPr>
        <w:t xml:space="preserve"> </w:t>
      </w:r>
      <w:r w:rsidRPr="00591A13">
        <w:rPr>
          <w:rFonts w:hint="eastAsia"/>
          <w:rtl/>
        </w:rPr>
        <w:t>إسماعيل</w:t>
      </w:r>
      <w:r w:rsidRPr="00591A13">
        <w:rPr>
          <w:rtl/>
        </w:rPr>
        <w:t xml:space="preserve"> </w:t>
      </w:r>
      <w:r w:rsidRPr="00591A13">
        <w:rPr>
          <w:rFonts w:hint="eastAsia"/>
          <w:rtl/>
        </w:rPr>
        <w:t>بن</w:t>
      </w:r>
      <w:r w:rsidRPr="00591A13">
        <w:rPr>
          <w:rtl/>
        </w:rPr>
        <w:t xml:space="preserve"> </w:t>
      </w:r>
      <w:r w:rsidRPr="00591A13">
        <w:rPr>
          <w:rFonts w:hint="eastAsia"/>
          <w:rtl/>
        </w:rPr>
        <w:t>حماد</w:t>
      </w:r>
      <w:r w:rsidRPr="00591A13">
        <w:rPr>
          <w:rtl/>
        </w:rPr>
        <w:t xml:space="preserve"> </w:t>
      </w:r>
      <w:r w:rsidRPr="00591A13">
        <w:rPr>
          <w:rFonts w:hint="eastAsia"/>
          <w:rtl/>
        </w:rPr>
        <w:t>الجوهري</w:t>
      </w:r>
      <w:r w:rsidRPr="00591A13">
        <w:rPr>
          <w:rtl/>
        </w:rPr>
        <w:t xml:space="preserve"> </w:t>
      </w:r>
      <w:r w:rsidRPr="00591A13">
        <w:rPr>
          <w:rFonts w:hint="eastAsia"/>
          <w:rtl/>
        </w:rPr>
        <w:t>الفارابي</w:t>
      </w:r>
      <w:r w:rsidRPr="00591A13">
        <w:rPr>
          <w:rtl/>
        </w:rPr>
        <w:t xml:space="preserve"> (393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Cs/>
          <w:rtl/>
        </w:rPr>
        <w:t>الصحاح</w:t>
      </w:r>
      <w:r w:rsidRPr="00591A13">
        <w:rPr>
          <w:bCs/>
          <w:rtl/>
        </w:rPr>
        <w:t xml:space="preserve"> </w:t>
      </w:r>
      <w:r w:rsidRPr="00591A13">
        <w:rPr>
          <w:rFonts w:hint="eastAsia"/>
          <w:bCs/>
          <w:rtl/>
        </w:rPr>
        <w:t>تاج</w:t>
      </w:r>
      <w:r w:rsidRPr="00591A13">
        <w:rPr>
          <w:bCs/>
          <w:rtl/>
        </w:rPr>
        <w:t xml:space="preserve"> </w:t>
      </w:r>
      <w:r w:rsidRPr="00591A13">
        <w:rPr>
          <w:rFonts w:hint="eastAsia"/>
          <w:bCs/>
          <w:rtl/>
        </w:rPr>
        <w:t>اللغة</w:t>
      </w:r>
      <w:r w:rsidRPr="00591A13">
        <w:rPr>
          <w:bCs/>
          <w:rtl/>
        </w:rPr>
        <w:t xml:space="preserve"> </w:t>
      </w:r>
      <w:r w:rsidRPr="00591A13">
        <w:rPr>
          <w:rFonts w:hint="eastAsia"/>
          <w:bCs/>
          <w:rtl/>
        </w:rPr>
        <w:t>وصحاح</w:t>
      </w:r>
      <w:r w:rsidRPr="00591A13">
        <w:rPr>
          <w:bCs/>
          <w:rtl/>
        </w:rPr>
        <w:t xml:space="preserve"> </w:t>
      </w:r>
      <w:r w:rsidRPr="00591A13">
        <w:rPr>
          <w:rFonts w:hint="eastAsia"/>
          <w:bCs/>
          <w:rtl/>
        </w:rPr>
        <w:t>العربية</w:t>
      </w:r>
      <w:r w:rsidRPr="00591A13">
        <w:rPr>
          <w:rFonts w:hint="eastAsia"/>
          <w:rtl/>
        </w:rPr>
        <w:t>،</w:t>
      </w:r>
      <w:r w:rsidRPr="00591A13">
        <w:rPr>
          <w:rtl/>
        </w:rPr>
        <w:t xml:space="preserve"> </w:t>
      </w:r>
      <w:r w:rsidRPr="00591A13">
        <w:rPr>
          <w:rFonts w:hint="eastAsia"/>
          <w:rtl/>
        </w:rPr>
        <w:t>ط</w:t>
      </w:r>
      <w:r w:rsidRPr="00591A13">
        <w:rPr>
          <w:rtl/>
        </w:rPr>
        <w:t>4</w:t>
      </w:r>
      <w:r w:rsidRPr="00591A13">
        <w:rPr>
          <w:rFonts w:hint="eastAsia"/>
          <w:rtl/>
        </w:rPr>
        <w:t>،</w:t>
      </w:r>
      <w:r>
        <w:rPr>
          <w:rtl/>
        </w:rPr>
        <w:t>(</w:t>
      </w:r>
      <w:r w:rsidRPr="00591A13">
        <w:rPr>
          <w:rFonts w:hint="eastAsia"/>
          <w:rtl/>
        </w:rPr>
        <w:t>تحقيق</w:t>
      </w:r>
      <w:r w:rsidRPr="00591A13">
        <w:rPr>
          <w:rtl/>
        </w:rPr>
        <w:t xml:space="preserve">: </w:t>
      </w:r>
      <w:r w:rsidRPr="00591A13">
        <w:rPr>
          <w:rFonts w:hint="eastAsia"/>
          <w:rtl/>
        </w:rPr>
        <w:t>أحمد</w:t>
      </w:r>
      <w:r w:rsidRPr="00591A13">
        <w:rPr>
          <w:rtl/>
        </w:rPr>
        <w:t xml:space="preserve"> </w:t>
      </w:r>
      <w:r w:rsidRPr="00591A13">
        <w:rPr>
          <w:rFonts w:hint="eastAsia"/>
          <w:rtl/>
        </w:rPr>
        <w:t>عبد</w:t>
      </w:r>
      <w:r w:rsidRPr="00591A13">
        <w:rPr>
          <w:rtl/>
        </w:rPr>
        <w:t xml:space="preserve"> </w:t>
      </w:r>
      <w:r w:rsidRPr="00591A13">
        <w:rPr>
          <w:rFonts w:hint="eastAsia"/>
          <w:rtl/>
        </w:rPr>
        <w:t>الغفور</w:t>
      </w:r>
      <w:r w:rsidRPr="00591A13">
        <w:rPr>
          <w:rtl/>
        </w:rPr>
        <w:t xml:space="preserve"> </w:t>
      </w:r>
      <w:r w:rsidRPr="00591A13">
        <w:rPr>
          <w:rFonts w:hint="eastAsia"/>
          <w:rtl/>
        </w:rPr>
        <w:t>عطار</w:t>
      </w:r>
      <w:r>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العلم</w:t>
      </w:r>
      <w:r w:rsidRPr="00591A13">
        <w:rPr>
          <w:rtl/>
        </w:rPr>
        <w:t xml:space="preserve"> </w:t>
      </w:r>
      <w:r w:rsidRPr="00591A13">
        <w:rPr>
          <w:rFonts w:hint="eastAsia"/>
          <w:rtl/>
        </w:rPr>
        <w:t>للملايين</w:t>
      </w:r>
      <w:r>
        <w:rPr>
          <w:rFonts w:hint="eastAsia"/>
          <w:rtl/>
        </w:rPr>
        <w:t>،بيروت</w:t>
      </w:r>
      <w:r w:rsidRPr="00591A13">
        <w:rPr>
          <w:rFonts w:hint="eastAsia"/>
          <w:rtl/>
        </w:rPr>
        <w:t>،</w:t>
      </w:r>
      <w:r w:rsidRPr="00591A13">
        <w:rPr>
          <w:rtl/>
        </w:rPr>
        <w:t xml:space="preserve"> 1987</w:t>
      </w:r>
      <w:r w:rsidRPr="00591A13">
        <w:rPr>
          <w:rFonts w:hint="eastAsia"/>
          <w:rtl/>
        </w:rPr>
        <w:t>م</w:t>
      </w:r>
      <w:r w:rsidRPr="00591A13">
        <w:rPr>
          <w:rtl/>
        </w:rPr>
        <w:t>.</w:t>
      </w:r>
    </w:p>
    <w:p w:rsidR="005F44B2" w:rsidRPr="00591A13" w:rsidRDefault="005F44B2" w:rsidP="00377787">
      <w:pPr>
        <w:pStyle w:val="Subtitle"/>
        <w:numPr>
          <w:ilvl w:val="0"/>
          <w:numId w:val="46"/>
        </w:numPr>
        <w:spacing w:line="259" w:lineRule="auto"/>
        <w:jc w:val="both"/>
      </w:pPr>
      <w:r w:rsidRPr="00591A13">
        <w:rPr>
          <w:rFonts w:hint="eastAsia"/>
          <w:rtl/>
        </w:rPr>
        <w:t>الجويني،</w:t>
      </w:r>
      <w:r w:rsidRPr="00591A13">
        <w:rPr>
          <w:rtl/>
        </w:rPr>
        <w:t xml:space="preserve"> </w:t>
      </w:r>
      <w:r w:rsidRPr="00591A13">
        <w:rPr>
          <w:rFonts w:hint="eastAsia"/>
          <w:rtl/>
        </w:rPr>
        <w:t>عبد</w:t>
      </w:r>
      <w:r w:rsidRPr="00591A13">
        <w:rPr>
          <w:rtl/>
        </w:rPr>
        <w:t xml:space="preserve"> </w:t>
      </w:r>
      <w:r w:rsidRPr="00591A13">
        <w:rPr>
          <w:rFonts w:hint="eastAsia"/>
          <w:rtl/>
        </w:rPr>
        <w:t>الملك</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يوسف</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الجويني،</w:t>
      </w:r>
      <w:r w:rsidRPr="00591A13">
        <w:rPr>
          <w:rtl/>
        </w:rPr>
        <w:t xml:space="preserve"> </w:t>
      </w:r>
      <w:r w:rsidRPr="00591A13">
        <w:rPr>
          <w:rFonts w:hint="eastAsia"/>
          <w:rtl/>
        </w:rPr>
        <w:t>أبو</w:t>
      </w:r>
      <w:r w:rsidRPr="00591A13">
        <w:rPr>
          <w:rtl/>
        </w:rPr>
        <w:t xml:space="preserve"> </w:t>
      </w:r>
      <w:r w:rsidRPr="00591A13">
        <w:rPr>
          <w:rFonts w:hint="eastAsia"/>
          <w:rtl/>
        </w:rPr>
        <w:t>المعالي،</w:t>
      </w:r>
      <w:r w:rsidRPr="00591A13">
        <w:rPr>
          <w:rtl/>
        </w:rPr>
        <w:t xml:space="preserve"> </w:t>
      </w:r>
      <w:r w:rsidRPr="00591A13">
        <w:rPr>
          <w:rFonts w:hint="eastAsia"/>
          <w:rtl/>
        </w:rPr>
        <w:t>ركن</w:t>
      </w:r>
      <w:r w:rsidRPr="00591A13">
        <w:rPr>
          <w:rtl/>
        </w:rPr>
        <w:t xml:space="preserve"> </w:t>
      </w:r>
      <w:r w:rsidRPr="00591A13">
        <w:rPr>
          <w:rFonts w:hint="eastAsia"/>
          <w:rtl/>
        </w:rPr>
        <w:t>الدين،</w:t>
      </w:r>
      <w:r w:rsidRPr="00591A13">
        <w:rPr>
          <w:rtl/>
        </w:rPr>
        <w:t xml:space="preserve"> </w:t>
      </w:r>
      <w:r w:rsidRPr="00591A13">
        <w:rPr>
          <w:rFonts w:hint="eastAsia"/>
          <w:rtl/>
        </w:rPr>
        <w:t>الملقب</w:t>
      </w:r>
      <w:r w:rsidRPr="00591A13">
        <w:rPr>
          <w:rtl/>
        </w:rPr>
        <w:t xml:space="preserve"> </w:t>
      </w:r>
      <w:r w:rsidRPr="00591A13">
        <w:rPr>
          <w:rFonts w:hint="eastAsia"/>
          <w:rtl/>
        </w:rPr>
        <w:t>بإمام</w:t>
      </w:r>
      <w:r w:rsidRPr="00591A13">
        <w:rPr>
          <w:rtl/>
        </w:rPr>
        <w:t xml:space="preserve"> </w:t>
      </w:r>
      <w:r w:rsidRPr="00591A13">
        <w:rPr>
          <w:rFonts w:hint="eastAsia"/>
          <w:rtl/>
        </w:rPr>
        <w:t>الحرمين</w:t>
      </w:r>
      <w:r w:rsidRPr="00591A13">
        <w:rPr>
          <w:rtl/>
        </w:rPr>
        <w:t xml:space="preserve"> (</w:t>
      </w:r>
      <w:r w:rsidRPr="00591A13">
        <w:rPr>
          <w:rFonts w:hint="eastAsia"/>
          <w:rtl/>
        </w:rPr>
        <w:t>ت</w:t>
      </w:r>
      <w:r w:rsidRPr="00591A13">
        <w:rPr>
          <w:rtl/>
        </w:rPr>
        <w:t xml:space="preserve"> 478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نهاية</w:t>
      </w:r>
      <w:r w:rsidRPr="00591A13">
        <w:rPr>
          <w:b/>
          <w:bCs/>
          <w:rtl/>
        </w:rPr>
        <w:t xml:space="preserve"> </w:t>
      </w:r>
      <w:r w:rsidRPr="00591A13">
        <w:rPr>
          <w:rFonts w:hint="eastAsia"/>
          <w:b/>
          <w:bCs/>
          <w:rtl/>
        </w:rPr>
        <w:t>المطلب</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دراية</w:t>
      </w:r>
      <w:r w:rsidRPr="00591A13">
        <w:rPr>
          <w:b/>
          <w:bCs/>
          <w:rtl/>
        </w:rPr>
        <w:t xml:space="preserve"> </w:t>
      </w:r>
      <w:r w:rsidRPr="00591A13">
        <w:rPr>
          <w:rFonts w:hint="eastAsia"/>
          <w:b/>
          <w:bCs/>
          <w:rtl/>
        </w:rPr>
        <w:t>المذهب</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عبد</w:t>
      </w:r>
      <w:r w:rsidRPr="00591A13">
        <w:rPr>
          <w:rtl/>
        </w:rPr>
        <w:t xml:space="preserve"> </w:t>
      </w:r>
      <w:r w:rsidRPr="00591A13">
        <w:rPr>
          <w:rFonts w:hint="eastAsia"/>
          <w:rtl/>
        </w:rPr>
        <w:t>العظيم</w:t>
      </w:r>
      <w:r w:rsidRPr="00591A13">
        <w:rPr>
          <w:rtl/>
        </w:rPr>
        <w:t xml:space="preserve"> </w:t>
      </w:r>
      <w:r w:rsidRPr="00591A13">
        <w:rPr>
          <w:rFonts w:hint="eastAsia"/>
          <w:rtl/>
        </w:rPr>
        <w:t>الديب</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المنهاج،</w:t>
      </w:r>
      <w:r w:rsidRPr="00591A13">
        <w:rPr>
          <w:rtl/>
        </w:rPr>
        <w:t xml:space="preserve"> </w:t>
      </w:r>
      <w:r w:rsidRPr="00591A13">
        <w:rPr>
          <w:rFonts w:hint="eastAsia"/>
          <w:rtl/>
        </w:rPr>
        <w:t>بيروت،</w:t>
      </w:r>
      <w:r w:rsidRPr="00591A13">
        <w:rPr>
          <w:rtl/>
        </w:rPr>
        <w:t xml:space="preserve"> 2007 </w:t>
      </w:r>
      <w:r w:rsidRPr="00591A13">
        <w:rPr>
          <w:rFonts w:hint="eastAsia"/>
          <w:rtl/>
        </w:rPr>
        <w:t>م</w:t>
      </w:r>
      <w:r w:rsidRPr="00591A13">
        <w:rPr>
          <w:rtl/>
        </w:rPr>
        <w:t>.</w:t>
      </w:r>
    </w:p>
    <w:p w:rsidR="005F44B2" w:rsidRPr="00591A13" w:rsidRDefault="005F44B2" w:rsidP="00377787">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حبان،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حبان</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حبان</w:t>
      </w:r>
      <w:r w:rsidRPr="00591A13">
        <w:rPr>
          <w:rtl/>
        </w:rPr>
        <w:t xml:space="preserve"> </w:t>
      </w:r>
      <w:r w:rsidRPr="00591A13">
        <w:rPr>
          <w:rFonts w:hint="eastAsia"/>
          <w:rtl/>
        </w:rPr>
        <w:t>بن</w:t>
      </w:r>
      <w:r w:rsidRPr="00591A13">
        <w:rPr>
          <w:rtl/>
        </w:rPr>
        <w:t xml:space="preserve"> </w:t>
      </w:r>
      <w:r w:rsidRPr="00591A13">
        <w:rPr>
          <w:rFonts w:hint="eastAsia"/>
          <w:rtl/>
        </w:rPr>
        <w:t>معاذ</w:t>
      </w:r>
      <w:r w:rsidRPr="00591A13">
        <w:rPr>
          <w:rtl/>
        </w:rPr>
        <w:t xml:space="preserve"> </w:t>
      </w:r>
      <w:r w:rsidRPr="00591A13">
        <w:rPr>
          <w:rFonts w:hint="eastAsia"/>
          <w:rtl/>
        </w:rPr>
        <w:t>بن</w:t>
      </w:r>
      <w:r w:rsidRPr="00591A13">
        <w:rPr>
          <w:rtl/>
        </w:rPr>
        <w:t xml:space="preserve"> </w:t>
      </w:r>
      <w:r w:rsidRPr="00591A13">
        <w:rPr>
          <w:rFonts w:hint="eastAsia"/>
          <w:rtl/>
        </w:rPr>
        <w:t>مَعْبدَ،</w:t>
      </w:r>
      <w:r w:rsidRPr="00591A13">
        <w:rPr>
          <w:rtl/>
        </w:rPr>
        <w:t xml:space="preserve"> </w:t>
      </w:r>
      <w:r w:rsidRPr="00591A13">
        <w:rPr>
          <w:rFonts w:hint="eastAsia"/>
          <w:rtl/>
        </w:rPr>
        <w:t>التميمي،</w:t>
      </w:r>
      <w:r w:rsidRPr="00591A13">
        <w:rPr>
          <w:rtl/>
        </w:rPr>
        <w:t xml:space="preserve"> </w:t>
      </w:r>
      <w:r w:rsidRPr="00591A13">
        <w:rPr>
          <w:rFonts w:hint="eastAsia"/>
          <w:rtl/>
        </w:rPr>
        <w:t>أبو</w:t>
      </w:r>
      <w:r w:rsidRPr="00591A13">
        <w:rPr>
          <w:rtl/>
        </w:rPr>
        <w:t xml:space="preserve"> </w:t>
      </w:r>
      <w:r w:rsidRPr="00591A13">
        <w:rPr>
          <w:rFonts w:hint="eastAsia"/>
          <w:rtl/>
        </w:rPr>
        <w:t>حاتم،</w:t>
      </w:r>
      <w:r w:rsidRPr="00591A13">
        <w:rPr>
          <w:rtl/>
        </w:rPr>
        <w:t xml:space="preserve"> </w:t>
      </w:r>
      <w:r w:rsidRPr="00591A13">
        <w:rPr>
          <w:rFonts w:hint="eastAsia"/>
          <w:rtl/>
        </w:rPr>
        <w:t>الدارمي،</w:t>
      </w:r>
      <w:r w:rsidRPr="00591A13">
        <w:rPr>
          <w:rtl/>
        </w:rPr>
        <w:t xml:space="preserve"> </w:t>
      </w:r>
      <w:r w:rsidRPr="00591A13">
        <w:rPr>
          <w:rFonts w:hint="eastAsia"/>
          <w:rtl/>
        </w:rPr>
        <w:t>البُستي</w:t>
      </w:r>
      <w:r w:rsidRPr="00591A13">
        <w:rPr>
          <w:rtl/>
        </w:rPr>
        <w:t xml:space="preserve"> (</w:t>
      </w:r>
      <w:r w:rsidRPr="00591A13">
        <w:rPr>
          <w:rFonts w:hint="eastAsia"/>
          <w:rtl/>
        </w:rPr>
        <w:t>ت</w:t>
      </w:r>
      <w:r w:rsidRPr="00591A13">
        <w:rPr>
          <w:rtl/>
        </w:rPr>
        <w:t xml:space="preserve"> 354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صحيح</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حبان</w:t>
      </w:r>
      <w:r w:rsidRPr="00591A13">
        <w:rPr>
          <w:b/>
          <w:bCs/>
          <w:rtl/>
        </w:rPr>
        <w:t xml:space="preserve"> </w:t>
      </w:r>
      <w:r w:rsidRPr="00591A13">
        <w:rPr>
          <w:rFonts w:hint="eastAsia"/>
          <w:b/>
          <w:bCs/>
          <w:rtl/>
        </w:rPr>
        <w:t>بترتيب</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بلبان</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18</w:t>
      </w:r>
      <w:r w:rsidRPr="00591A13">
        <w:rPr>
          <w:rFonts w:hint="eastAsia"/>
          <w:rtl/>
        </w:rPr>
        <w:t>م،</w:t>
      </w:r>
      <w:r w:rsidRPr="00591A13">
        <w:rPr>
          <w:rtl/>
        </w:rPr>
        <w:t xml:space="preserve"> (</w:t>
      </w:r>
      <w:r w:rsidRPr="00591A13">
        <w:rPr>
          <w:rFonts w:hint="eastAsia"/>
          <w:rtl/>
        </w:rPr>
        <w:t>المحقق</w:t>
      </w:r>
      <w:r w:rsidRPr="00591A13">
        <w:rPr>
          <w:rtl/>
        </w:rPr>
        <w:t xml:space="preserve">: </w:t>
      </w:r>
      <w:r w:rsidRPr="00591A13">
        <w:rPr>
          <w:rFonts w:hint="eastAsia"/>
          <w:rtl/>
        </w:rPr>
        <w:t>شعيب</w:t>
      </w:r>
      <w:r w:rsidRPr="00591A13">
        <w:rPr>
          <w:rtl/>
        </w:rPr>
        <w:t xml:space="preserve"> </w:t>
      </w:r>
      <w:r w:rsidRPr="00591A13">
        <w:rPr>
          <w:rFonts w:hint="eastAsia"/>
          <w:rtl/>
        </w:rPr>
        <w:t>الأرنؤوط</w:t>
      </w:r>
      <w:r>
        <w:rPr>
          <w:rtl/>
        </w:rPr>
        <w:t>)</w:t>
      </w:r>
      <w:r w:rsidRPr="00591A13">
        <w:rPr>
          <w:rFonts w:hint="eastAsia"/>
          <w:rtl/>
        </w:rPr>
        <w:t>،</w:t>
      </w:r>
      <w:r w:rsidRPr="00591A13">
        <w:rPr>
          <w:rtl/>
        </w:rPr>
        <w:t xml:space="preserve"> </w:t>
      </w:r>
      <w:r w:rsidRPr="00591A13">
        <w:rPr>
          <w:rFonts w:hint="eastAsia"/>
          <w:rtl/>
        </w:rPr>
        <w:t>مؤسسة</w:t>
      </w:r>
      <w:r w:rsidRPr="00591A13">
        <w:rPr>
          <w:rtl/>
        </w:rPr>
        <w:t xml:space="preserve"> </w:t>
      </w:r>
      <w:r w:rsidRPr="00591A13">
        <w:rPr>
          <w:rFonts w:hint="eastAsia"/>
          <w:rtl/>
        </w:rPr>
        <w:t>الرسالة،</w:t>
      </w:r>
      <w:r w:rsidRPr="00591A13">
        <w:rPr>
          <w:rtl/>
        </w:rPr>
        <w:t xml:space="preserve"> </w:t>
      </w:r>
      <w:r w:rsidRPr="00591A13">
        <w:rPr>
          <w:rFonts w:hint="eastAsia"/>
          <w:rtl/>
        </w:rPr>
        <w:t>بيروت،</w:t>
      </w:r>
      <w:r w:rsidRPr="00591A13">
        <w:rPr>
          <w:rtl/>
        </w:rPr>
        <w:t xml:space="preserve"> 1414 </w:t>
      </w:r>
      <w:r w:rsidRPr="00591A13">
        <w:rPr>
          <w:rFonts w:hint="eastAsia"/>
          <w:rtl/>
        </w:rPr>
        <w:t>هـ</w:t>
      </w:r>
      <w:r w:rsidRPr="00591A13">
        <w:rPr>
          <w:rtl/>
        </w:rPr>
        <w:t xml:space="preserve"> /1993 </w:t>
      </w:r>
      <w:r w:rsidRPr="00591A13">
        <w:rPr>
          <w:rFonts w:hint="eastAsia"/>
          <w:rtl/>
        </w:rPr>
        <w:t>م</w:t>
      </w:r>
      <w:r w:rsidRPr="00591A13">
        <w:rPr>
          <w:rtl/>
        </w:rPr>
        <w:t>.</w:t>
      </w:r>
    </w:p>
    <w:p w:rsidR="005F44B2" w:rsidRDefault="005F44B2" w:rsidP="000B00E3">
      <w:pPr>
        <w:pStyle w:val="Subtitle"/>
        <w:numPr>
          <w:ilvl w:val="0"/>
          <w:numId w:val="46"/>
        </w:numPr>
        <w:spacing w:line="259" w:lineRule="auto"/>
        <w:jc w:val="both"/>
      </w:pPr>
      <w:r w:rsidRPr="00591A13">
        <w:rPr>
          <w:rFonts w:hint="eastAsia"/>
          <w:rtl/>
        </w:rPr>
        <w:t>الجويني،</w:t>
      </w:r>
      <w:r w:rsidRPr="00591A13">
        <w:rPr>
          <w:rtl/>
        </w:rPr>
        <w:t xml:space="preserve"> </w:t>
      </w:r>
      <w:r w:rsidRPr="00591A13">
        <w:rPr>
          <w:rFonts w:hint="eastAsia"/>
          <w:rtl/>
        </w:rPr>
        <w:t>عبد</w:t>
      </w:r>
      <w:r w:rsidRPr="00591A13">
        <w:rPr>
          <w:rtl/>
        </w:rPr>
        <w:t xml:space="preserve"> </w:t>
      </w:r>
      <w:r w:rsidRPr="00591A13">
        <w:rPr>
          <w:rFonts w:hint="eastAsia"/>
          <w:rtl/>
        </w:rPr>
        <w:t>الملك</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يوسف</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الجويني،</w:t>
      </w:r>
      <w:r w:rsidRPr="00591A13">
        <w:rPr>
          <w:rtl/>
        </w:rPr>
        <w:t xml:space="preserve"> </w:t>
      </w:r>
      <w:r w:rsidRPr="00591A13">
        <w:rPr>
          <w:rFonts w:hint="eastAsia"/>
          <w:rtl/>
        </w:rPr>
        <w:t>أبو</w:t>
      </w:r>
      <w:r w:rsidRPr="00591A13">
        <w:rPr>
          <w:rtl/>
        </w:rPr>
        <w:t xml:space="preserve"> </w:t>
      </w:r>
      <w:r w:rsidRPr="00591A13">
        <w:rPr>
          <w:rFonts w:hint="eastAsia"/>
          <w:rtl/>
        </w:rPr>
        <w:t>المعالي،</w:t>
      </w:r>
      <w:r w:rsidRPr="00591A13">
        <w:rPr>
          <w:rtl/>
        </w:rPr>
        <w:t xml:space="preserve"> </w:t>
      </w:r>
      <w:r w:rsidRPr="00591A13">
        <w:rPr>
          <w:rFonts w:hint="eastAsia"/>
          <w:rtl/>
        </w:rPr>
        <w:t>ركن</w:t>
      </w:r>
      <w:r w:rsidRPr="00591A13">
        <w:rPr>
          <w:rtl/>
        </w:rPr>
        <w:t xml:space="preserve"> </w:t>
      </w:r>
      <w:r w:rsidRPr="00591A13">
        <w:rPr>
          <w:rFonts w:hint="eastAsia"/>
          <w:rtl/>
        </w:rPr>
        <w:t>الدين،</w:t>
      </w:r>
      <w:r w:rsidRPr="00591A13">
        <w:rPr>
          <w:rtl/>
        </w:rPr>
        <w:t xml:space="preserve"> </w:t>
      </w:r>
      <w:r w:rsidRPr="00591A13">
        <w:rPr>
          <w:rFonts w:hint="eastAsia"/>
          <w:rtl/>
        </w:rPr>
        <w:t>الملقب</w:t>
      </w:r>
      <w:r w:rsidRPr="00591A13">
        <w:rPr>
          <w:rtl/>
        </w:rPr>
        <w:t xml:space="preserve"> </w:t>
      </w:r>
      <w:r w:rsidRPr="00591A13">
        <w:rPr>
          <w:rFonts w:hint="eastAsia"/>
          <w:rtl/>
        </w:rPr>
        <w:t>بإمام</w:t>
      </w:r>
      <w:r w:rsidRPr="00591A13">
        <w:rPr>
          <w:rtl/>
        </w:rPr>
        <w:t xml:space="preserve"> </w:t>
      </w:r>
      <w:r w:rsidRPr="00591A13">
        <w:rPr>
          <w:rFonts w:hint="eastAsia"/>
          <w:rtl/>
        </w:rPr>
        <w:t>الحرمين</w:t>
      </w:r>
      <w:r w:rsidRPr="00591A13">
        <w:rPr>
          <w:rtl/>
        </w:rPr>
        <w:t xml:space="preserve"> (</w:t>
      </w:r>
      <w:r w:rsidRPr="00591A13">
        <w:rPr>
          <w:rFonts w:hint="eastAsia"/>
          <w:rtl/>
        </w:rPr>
        <w:t>ت</w:t>
      </w:r>
      <w:r w:rsidRPr="00591A13">
        <w:rPr>
          <w:rtl/>
        </w:rPr>
        <w:t xml:space="preserve"> 478 </w:t>
      </w:r>
      <w:r w:rsidRPr="00591A13">
        <w:rPr>
          <w:rFonts w:hint="eastAsia"/>
          <w:rtl/>
        </w:rPr>
        <w:t>هـ</w:t>
      </w:r>
      <w:r w:rsidRPr="00591A13">
        <w:rPr>
          <w:rtl/>
        </w:rPr>
        <w:t>)</w:t>
      </w:r>
      <w:r w:rsidRPr="00591A13">
        <w:rPr>
          <w:rFonts w:hint="eastAsia"/>
          <w:rtl/>
        </w:rPr>
        <w:t>،</w:t>
      </w:r>
      <w:r w:rsidRPr="005E3D00">
        <w:rPr>
          <w:rFonts w:hint="eastAsia"/>
          <w:b/>
          <w:bCs/>
          <w:rtl/>
        </w:rPr>
        <w:t>غياث</w:t>
      </w:r>
      <w:r w:rsidRPr="005E3D00">
        <w:rPr>
          <w:b/>
          <w:bCs/>
          <w:rtl/>
        </w:rPr>
        <w:t xml:space="preserve"> </w:t>
      </w:r>
      <w:r w:rsidRPr="005E3D00">
        <w:rPr>
          <w:rFonts w:hint="eastAsia"/>
          <w:b/>
          <w:bCs/>
          <w:rtl/>
        </w:rPr>
        <w:t>الأمم</w:t>
      </w:r>
      <w:r w:rsidRPr="005E3D00">
        <w:rPr>
          <w:b/>
          <w:bCs/>
          <w:rtl/>
        </w:rPr>
        <w:t xml:space="preserve"> </w:t>
      </w:r>
      <w:r w:rsidRPr="005E3D00">
        <w:rPr>
          <w:rFonts w:hint="eastAsia"/>
          <w:b/>
          <w:bCs/>
          <w:rtl/>
        </w:rPr>
        <w:t>في</w:t>
      </w:r>
      <w:r w:rsidRPr="005E3D00">
        <w:rPr>
          <w:b/>
          <w:bCs/>
          <w:rtl/>
        </w:rPr>
        <w:t xml:space="preserve"> </w:t>
      </w:r>
      <w:r w:rsidRPr="005E3D00">
        <w:rPr>
          <w:rFonts w:hint="eastAsia"/>
          <w:b/>
          <w:bCs/>
          <w:rtl/>
        </w:rPr>
        <w:t>التياث</w:t>
      </w:r>
      <w:r w:rsidRPr="005E3D00">
        <w:rPr>
          <w:b/>
          <w:bCs/>
          <w:rtl/>
        </w:rPr>
        <w:t xml:space="preserve"> </w:t>
      </w:r>
      <w:r w:rsidRPr="005E3D00">
        <w:rPr>
          <w:rFonts w:hint="eastAsia"/>
          <w:b/>
          <w:bCs/>
          <w:rtl/>
        </w:rPr>
        <w:t>الظلم</w:t>
      </w:r>
      <w:r>
        <w:rPr>
          <w:rFonts w:hint="eastAsia"/>
          <w:rtl/>
        </w:rPr>
        <w:t>،</w:t>
      </w:r>
      <w:r>
        <w:rPr>
          <w:rtl/>
        </w:rPr>
        <w:t xml:space="preserve"> </w:t>
      </w:r>
      <w:r>
        <w:rPr>
          <w:rFonts w:hint="eastAsia"/>
          <w:rtl/>
        </w:rPr>
        <w:t>ط</w:t>
      </w:r>
      <w:r>
        <w:rPr>
          <w:rtl/>
        </w:rPr>
        <w:t>2</w:t>
      </w:r>
      <w:r>
        <w:rPr>
          <w:rFonts w:hint="eastAsia"/>
          <w:rtl/>
        </w:rPr>
        <w:t>،</w:t>
      </w:r>
      <w:r>
        <w:rPr>
          <w:rtl/>
        </w:rPr>
        <w:t xml:space="preserve"> ( </w:t>
      </w:r>
      <w:r>
        <w:rPr>
          <w:rFonts w:hint="eastAsia"/>
          <w:rtl/>
        </w:rPr>
        <w:t>تحقيق</w:t>
      </w:r>
      <w:r>
        <w:rPr>
          <w:rtl/>
        </w:rPr>
        <w:t xml:space="preserve">: </w:t>
      </w:r>
      <w:r>
        <w:rPr>
          <w:rFonts w:hint="eastAsia"/>
          <w:rtl/>
        </w:rPr>
        <w:t>عبد</w:t>
      </w:r>
      <w:r>
        <w:rPr>
          <w:rtl/>
        </w:rPr>
        <w:t xml:space="preserve"> </w:t>
      </w:r>
      <w:r>
        <w:rPr>
          <w:rFonts w:hint="eastAsia"/>
          <w:rtl/>
        </w:rPr>
        <w:t>العظيم</w:t>
      </w:r>
      <w:r>
        <w:rPr>
          <w:rtl/>
        </w:rPr>
        <w:t xml:space="preserve"> </w:t>
      </w:r>
      <w:r>
        <w:rPr>
          <w:rFonts w:hint="eastAsia"/>
          <w:rtl/>
        </w:rPr>
        <w:t>الديب</w:t>
      </w:r>
      <w:r>
        <w:rPr>
          <w:rtl/>
        </w:rPr>
        <w:t>)</w:t>
      </w:r>
      <w:r>
        <w:rPr>
          <w:rFonts w:hint="eastAsia"/>
          <w:rtl/>
        </w:rPr>
        <w:t>،</w:t>
      </w:r>
      <w:r>
        <w:rPr>
          <w:rtl/>
        </w:rPr>
        <w:t xml:space="preserve"> </w:t>
      </w:r>
      <w:r>
        <w:rPr>
          <w:rFonts w:hint="eastAsia"/>
          <w:rtl/>
        </w:rPr>
        <w:t>مكتبة</w:t>
      </w:r>
      <w:r>
        <w:rPr>
          <w:rtl/>
        </w:rPr>
        <w:t xml:space="preserve"> </w:t>
      </w:r>
      <w:r>
        <w:rPr>
          <w:rFonts w:hint="eastAsia"/>
          <w:rtl/>
        </w:rPr>
        <w:t>إمام</w:t>
      </w:r>
      <w:r>
        <w:rPr>
          <w:rtl/>
        </w:rPr>
        <w:t xml:space="preserve"> </w:t>
      </w:r>
      <w:r>
        <w:rPr>
          <w:rFonts w:hint="eastAsia"/>
          <w:rtl/>
        </w:rPr>
        <w:t>الحرمين،</w:t>
      </w:r>
      <w:r>
        <w:rPr>
          <w:rtl/>
        </w:rPr>
        <w:t xml:space="preserve"> 1401</w:t>
      </w:r>
      <w:r>
        <w:rPr>
          <w:rFonts w:hint="eastAsia"/>
          <w:rtl/>
        </w:rPr>
        <w:t>هـ</w:t>
      </w:r>
      <w:r>
        <w:rPr>
          <w:rtl/>
        </w:rPr>
        <w:t>.</w:t>
      </w:r>
    </w:p>
    <w:p w:rsidR="005F44B2" w:rsidRPr="00591A13" w:rsidRDefault="005F44B2" w:rsidP="000B00E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حزم،</w:t>
      </w:r>
      <w:r w:rsidRPr="00591A13">
        <w:rPr>
          <w:rtl/>
        </w:rPr>
        <w:t xml:space="preserve"> </w:t>
      </w:r>
      <w:r w:rsidRPr="00591A13">
        <w:rPr>
          <w:rFonts w:hint="eastAsia"/>
          <w:rtl/>
        </w:rPr>
        <w:t>أبو</w:t>
      </w:r>
      <w:r w:rsidRPr="00591A13">
        <w:rPr>
          <w:rtl/>
        </w:rPr>
        <w:t xml:space="preserve"> </w:t>
      </w:r>
      <w:r w:rsidRPr="00591A13">
        <w:rPr>
          <w:rFonts w:hint="eastAsia"/>
          <w:rtl/>
        </w:rPr>
        <w:t>محمد</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سعيد</w:t>
      </w:r>
      <w:r w:rsidRPr="00591A13">
        <w:rPr>
          <w:rtl/>
        </w:rPr>
        <w:t xml:space="preserve"> </w:t>
      </w:r>
      <w:r w:rsidRPr="00591A13">
        <w:rPr>
          <w:rFonts w:hint="eastAsia"/>
          <w:rtl/>
        </w:rPr>
        <w:t>بن</w:t>
      </w:r>
      <w:r w:rsidRPr="00591A13">
        <w:rPr>
          <w:rtl/>
        </w:rPr>
        <w:t xml:space="preserve"> </w:t>
      </w:r>
      <w:r w:rsidRPr="00591A13">
        <w:rPr>
          <w:rFonts w:hint="eastAsia"/>
          <w:rtl/>
        </w:rPr>
        <w:t>حزم</w:t>
      </w:r>
      <w:r w:rsidRPr="00591A13">
        <w:rPr>
          <w:rtl/>
        </w:rPr>
        <w:t xml:space="preserve"> </w:t>
      </w:r>
      <w:r w:rsidRPr="00591A13">
        <w:rPr>
          <w:rFonts w:hint="eastAsia"/>
          <w:rtl/>
        </w:rPr>
        <w:t>الأندلسي</w:t>
      </w:r>
      <w:r w:rsidRPr="00591A13">
        <w:rPr>
          <w:rtl/>
        </w:rPr>
        <w:t xml:space="preserve"> </w:t>
      </w:r>
      <w:r w:rsidRPr="00591A13">
        <w:rPr>
          <w:rFonts w:hint="eastAsia"/>
          <w:rtl/>
        </w:rPr>
        <w:t>القرطبي</w:t>
      </w:r>
      <w:r w:rsidRPr="00591A13">
        <w:rPr>
          <w:rtl/>
        </w:rPr>
        <w:t xml:space="preserve"> </w:t>
      </w:r>
      <w:r w:rsidRPr="00591A13">
        <w:rPr>
          <w:rFonts w:hint="eastAsia"/>
          <w:rtl/>
        </w:rPr>
        <w:t>الظاهري</w:t>
      </w:r>
      <w:r w:rsidRPr="00591A13">
        <w:rPr>
          <w:rtl/>
        </w:rPr>
        <w:t xml:space="preserve"> (</w:t>
      </w:r>
      <w:r w:rsidRPr="00591A13">
        <w:rPr>
          <w:rFonts w:hint="eastAsia"/>
          <w:rtl/>
        </w:rPr>
        <w:t>ت</w:t>
      </w:r>
      <w:r w:rsidRPr="00591A13">
        <w:rPr>
          <w:rtl/>
        </w:rPr>
        <w:t xml:space="preserve"> 456</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مراتب</w:t>
      </w:r>
      <w:r w:rsidRPr="00591A13">
        <w:rPr>
          <w:b/>
          <w:bCs/>
          <w:rtl/>
        </w:rPr>
        <w:t xml:space="preserve"> </w:t>
      </w:r>
      <w:r w:rsidRPr="00591A13">
        <w:rPr>
          <w:rFonts w:hint="eastAsia"/>
          <w:b/>
          <w:bCs/>
          <w:rtl/>
        </w:rPr>
        <w:t>الإجماع</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العبادات</w:t>
      </w:r>
      <w:r w:rsidRPr="00591A13">
        <w:rPr>
          <w:b/>
          <w:bCs/>
          <w:rtl/>
        </w:rPr>
        <w:t xml:space="preserve"> </w:t>
      </w:r>
      <w:r w:rsidRPr="00591A13">
        <w:rPr>
          <w:rFonts w:hint="eastAsia"/>
          <w:b/>
          <w:bCs/>
          <w:rtl/>
        </w:rPr>
        <w:t>والمعاملات</w:t>
      </w:r>
      <w:r w:rsidRPr="00591A13">
        <w:rPr>
          <w:b/>
          <w:bCs/>
          <w:rtl/>
        </w:rPr>
        <w:t xml:space="preserve"> </w:t>
      </w:r>
      <w:r w:rsidRPr="00591A13">
        <w:rPr>
          <w:rFonts w:hint="eastAsia"/>
          <w:b/>
          <w:bCs/>
          <w:rtl/>
        </w:rPr>
        <w:t>والاعتقادات</w:t>
      </w:r>
      <w:r>
        <w:rPr>
          <w:rFonts w:hint="eastAsia"/>
          <w:b/>
          <w:rtl/>
        </w:rPr>
        <w:t>،</w:t>
      </w:r>
      <w:r>
        <w:rPr>
          <w:b/>
          <w:rtl/>
        </w:rPr>
        <w:t xml:space="preserve"> </w:t>
      </w:r>
      <w:r>
        <w:rPr>
          <w:rFonts w:hint="eastAsia"/>
          <w:b/>
          <w:rtl/>
        </w:rPr>
        <w:t>دار</w:t>
      </w:r>
      <w:r>
        <w:rPr>
          <w:b/>
          <w:rtl/>
        </w:rPr>
        <w:t xml:space="preserve"> </w:t>
      </w:r>
      <w:r>
        <w:rPr>
          <w:rFonts w:hint="eastAsia"/>
          <w:b/>
          <w:rtl/>
        </w:rPr>
        <w:t>الكتب</w:t>
      </w:r>
      <w:r>
        <w:rPr>
          <w:b/>
          <w:rtl/>
        </w:rPr>
        <w:t xml:space="preserve"> </w:t>
      </w:r>
      <w:r>
        <w:rPr>
          <w:rFonts w:hint="eastAsia"/>
          <w:b/>
          <w:rtl/>
        </w:rPr>
        <w:t>العلمية،</w:t>
      </w:r>
      <w:r>
        <w:rPr>
          <w:b/>
          <w:rtl/>
        </w:rPr>
        <w:t xml:space="preserve"> </w:t>
      </w:r>
      <w:r>
        <w:rPr>
          <w:rFonts w:hint="eastAsia"/>
          <w:b/>
          <w:rtl/>
        </w:rPr>
        <w:t>بيروت</w:t>
      </w:r>
      <w:r w:rsidRPr="00591A13">
        <w:rPr>
          <w:b/>
          <w:rtl/>
        </w:rPr>
        <w:t>.</w:t>
      </w:r>
    </w:p>
    <w:p w:rsidR="005F44B2" w:rsidRPr="00591A13" w:rsidRDefault="005F44B2" w:rsidP="0050106F">
      <w:pPr>
        <w:pStyle w:val="Subtitle"/>
        <w:numPr>
          <w:ilvl w:val="0"/>
          <w:numId w:val="46"/>
        </w:numPr>
        <w:spacing w:line="259" w:lineRule="auto"/>
        <w:jc w:val="both"/>
      </w:pPr>
      <w:r w:rsidRPr="00591A13">
        <w:rPr>
          <w:rFonts w:hint="eastAsia"/>
          <w:rtl/>
        </w:rPr>
        <w:t>الحطاب</w:t>
      </w:r>
      <w:r w:rsidRPr="00591A13">
        <w:rPr>
          <w:rtl/>
        </w:rPr>
        <w:t xml:space="preserve"> </w:t>
      </w:r>
      <w:r w:rsidRPr="00591A13">
        <w:rPr>
          <w:rFonts w:hint="eastAsia"/>
          <w:rtl/>
        </w:rPr>
        <w:t>الرُّعيني</w:t>
      </w:r>
      <w:r w:rsidRPr="00591A13">
        <w:rPr>
          <w:rtl/>
        </w:rPr>
        <w:t xml:space="preserve"> </w:t>
      </w:r>
      <w:r w:rsidRPr="00591A13">
        <w:rPr>
          <w:rFonts w:hint="eastAsia"/>
          <w:rtl/>
        </w:rPr>
        <w:t>المالكي،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الطرابلسي</w:t>
      </w:r>
      <w:r w:rsidRPr="00591A13">
        <w:rPr>
          <w:rtl/>
        </w:rPr>
        <w:t xml:space="preserve"> </w:t>
      </w:r>
      <w:r w:rsidRPr="00591A13">
        <w:rPr>
          <w:rFonts w:hint="eastAsia"/>
          <w:rtl/>
        </w:rPr>
        <w:t>المغربي،</w:t>
      </w:r>
      <w:r w:rsidRPr="00591A13">
        <w:rPr>
          <w:rtl/>
        </w:rPr>
        <w:t xml:space="preserve"> </w:t>
      </w:r>
      <w:r w:rsidRPr="00591A13">
        <w:rPr>
          <w:rFonts w:hint="eastAsia"/>
          <w:rtl/>
        </w:rPr>
        <w:t>المعروف</w:t>
      </w:r>
      <w:r w:rsidRPr="00591A13">
        <w:rPr>
          <w:rtl/>
        </w:rPr>
        <w:t xml:space="preserve"> </w:t>
      </w:r>
      <w:r w:rsidRPr="00591A13">
        <w:rPr>
          <w:rFonts w:hint="eastAsia"/>
          <w:rtl/>
        </w:rPr>
        <w:t>بالحطاب</w:t>
      </w:r>
      <w:r w:rsidRPr="00591A13">
        <w:rPr>
          <w:rtl/>
        </w:rPr>
        <w:t xml:space="preserve"> </w:t>
      </w:r>
      <w:r w:rsidRPr="00591A13">
        <w:rPr>
          <w:rFonts w:hint="eastAsia"/>
          <w:rtl/>
        </w:rPr>
        <w:t>الرُّعيني</w:t>
      </w:r>
      <w:r w:rsidRPr="00591A13">
        <w:rPr>
          <w:rtl/>
        </w:rPr>
        <w:t xml:space="preserve"> </w:t>
      </w:r>
      <w:r w:rsidRPr="00591A13">
        <w:rPr>
          <w:rFonts w:hint="eastAsia"/>
          <w:rtl/>
        </w:rPr>
        <w:t>المالكي</w:t>
      </w:r>
      <w:r w:rsidRPr="00591A13">
        <w:rPr>
          <w:rtl/>
        </w:rPr>
        <w:t xml:space="preserve"> (</w:t>
      </w:r>
      <w:r w:rsidRPr="00591A13">
        <w:rPr>
          <w:rFonts w:hint="eastAsia"/>
          <w:rtl/>
        </w:rPr>
        <w:t>ت</w:t>
      </w:r>
      <w:r w:rsidRPr="00591A13">
        <w:rPr>
          <w:rtl/>
        </w:rPr>
        <w:t>954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مواهب</w:t>
      </w:r>
      <w:r w:rsidRPr="00591A13">
        <w:rPr>
          <w:b/>
          <w:bCs/>
          <w:rtl/>
        </w:rPr>
        <w:t xml:space="preserve"> </w:t>
      </w:r>
      <w:r w:rsidRPr="00591A13">
        <w:rPr>
          <w:rFonts w:hint="eastAsia"/>
          <w:b/>
          <w:bCs/>
          <w:rtl/>
        </w:rPr>
        <w:t>الجليل</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مختصر</w:t>
      </w:r>
      <w:r w:rsidRPr="00591A13">
        <w:rPr>
          <w:b/>
          <w:bCs/>
          <w:rtl/>
        </w:rPr>
        <w:t xml:space="preserve"> </w:t>
      </w:r>
      <w:r w:rsidRPr="00591A13">
        <w:rPr>
          <w:rFonts w:hint="eastAsia"/>
          <w:b/>
          <w:bCs/>
          <w:rtl/>
        </w:rPr>
        <w:t>خليل</w:t>
      </w:r>
      <w:r w:rsidRPr="00591A13">
        <w:rPr>
          <w:rFonts w:hint="eastAsia"/>
          <w:rtl/>
        </w:rPr>
        <w:t>،</w:t>
      </w:r>
      <w:r w:rsidRPr="00591A13">
        <w:rPr>
          <w:rtl/>
        </w:rPr>
        <w:t xml:space="preserve"> </w:t>
      </w:r>
      <w:r w:rsidRPr="00591A13">
        <w:rPr>
          <w:rFonts w:hint="eastAsia"/>
          <w:rtl/>
        </w:rPr>
        <w:t>ط</w:t>
      </w:r>
      <w:r w:rsidRPr="00591A13">
        <w:rPr>
          <w:rtl/>
        </w:rPr>
        <w:t>3</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1412</w:t>
      </w:r>
      <w:r w:rsidRPr="00591A13">
        <w:rPr>
          <w:rFonts w:hint="eastAsia"/>
          <w:rtl/>
        </w:rPr>
        <w:t>هـ</w:t>
      </w:r>
      <w:r w:rsidRPr="00591A13">
        <w:rPr>
          <w:rtl/>
        </w:rPr>
        <w:t xml:space="preserve"> / 1992</w:t>
      </w:r>
      <w:r w:rsidRPr="00591A13">
        <w:rPr>
          <w:rFonts w:hint="eastAsia"/>
          <w:rtl/>
        </w:rPr>
        <w:t>م</w:t>
      </w:r>
      <w:r w:rsidRPr="00591A13">
        <w:rPr>
          <w:rtl/>
        </w:rPr>
        <w:t>.</w:t>
      </w:r>
    </w:p>
    <w:p w:rsidR="005F44B2" w:rsidRPr="00591A13" w:rsidRDefault="005F44B2" w:rsidP="0050106F">
      <w:pPr>
        <w:pStyle w:val="Subtitle"/>
        <w:numPr>
          <w:ilvl w:val="0"/>
          <w:numId w:val="46"/>
        </w:numPr>
        <w:spacing w:line="259" w:lineRule="auto"/>
        <w:jc w:val="both"/>
      </w:pPr>
      <w:r w:rsidRPr="00591A13">
        <w:rPr>
          <w:rFonts w:hint="eastAsia"/>
          <w:rtl/>
        </w:rPr>
        <w:t>قناني</w:t>
      </w:r>
      <w:r>
        <w:rPr>
          <w:rFonts w:hint="eastAsia"/>
          <w:rtl/>
        </w:rPr>
        <w:t>،الخامسة</w:t>
      </w:r>
      <w:r>
        <w:rPr>
          <w:rtl/>
        </w:rPr>
        <w:t>(</w:t>
      </w:r>
      <w:r w:rsidRPr="00591A13">
        <w:rPr>
          <w:rtl/>
        </w:rPr>
        <w:t>2010</w:t>
      </w:r>
      <w:r w:rsidRPr="00591A13">
        <w:rPr>
          <w:rFonts w:hint="eastAsia"/>
          <w:rtl/>
        </w:rPr>
        <w:t>م</w:t>
      </w:r>
      <w:r>
        <w:rPr>
          <w:rtl/>
        </w:rPr>
        <w:t>)</w:t>
      </w:r>
      <w:r>
        <w:rPr>
          <w:rFonts w:hint="eastAsia"/>
          <w:rtl/>
        </w:rPr>
        <w:t>،</w:t>
      </w:r>
      <w:r w:rsidRPr="00591A13">
        <w:rPr>
          <w:rFonts w:hint="eastAsia"/>
          <w:b/>
          <w:bCs/>
          <w:rtl/>
        </w:rPr>
        <w:t>الإمام</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فرحون</w:t>
      </w:r>
      <w:r w:rsidRPr="00591A13">
        <w:rPr>
          <w:b/>
          <w:bCs/>
          <w:rtl/>
        </w:rPr>
        <w:t xml:space="preserve"> </w:t>
      </w:r>
      <w:r w:rsidRPr="00591A13">
        <w:rPr>
          <w:rFonts w:hint="eastAsia"/>
          <w:b/>
          <w:bCs/>
          <w:rtl/>
        </w:rPr>
        <w:t>ورؤيته</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القضاء</w:t>
      </w:r>
      <w:r w:rsidRPr="00591A13">
        <w:rPr>
          <w:b/>
          <w:bCs/>
          <w:rtl/>
        </w:rPr>
        <w:t xml:space="preserve"> </w:t>
      </w:r>
      <w:r w:rsidRPr="00591A13">
        <w:rPr>
          <w:rFonts w:hint="eastAsia"/>
          <w:b/>
          <w:bCs/>
          <w:rtl/>
        </w:rPr>
        <w:t>بالسياسة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خلال</w:t>
      </w:r>
      <w:r w:rsidRPr="00591A13">
        <w:rPr>
          <w:b/>
          <w:bCs/>
          <w:rtl/>
        </w:rPr>
        <w:t xml:space="preserve"> </w:t>
      </w:r>
      <w:r w:rsidRPr="00591A13">
        <w:rPr>
          <w:rFonts w:hint="eastAsia"/>
          <w:b/>
          <w:bCs/>
          <w:rtl/>
        </w:rPr>
        <w:t>كتابه</w:t>
      </w:r>
      <w:r w:rsidRPr="00591A13">
        <w:rPr>
          <w:b/>
          <w:bCs/>
          <w:rtl/>
        </w:rPr>
        <w:t xml:space="preserve"> </w:t>
      </w:r>
      <w:r w:rsidRPr="00591A13">
        <w:rPr>
          <w:rFonts w:hint="eastAsia"/>
          <w:b/>
          <w:bCs/>
          <w:rtl/>
        </w:rPr>
        <w:t>تبصرة</w:t>
      </w:r>
      <w:r w:rsidRPr="00591A13">
        <w:rPr>
          <w:b/>
          <w:bCs/>
          <w:rtl/>
        </w:rPr>
        <w:t xml:space="preserve"> </w:t>
      </w:r>
      <w:r w:rsidRPr="00591A13">
        <w:rPr>
          <w:rFonts w:hint="eastAsia"/>
          <w:b/>
          <w:bCs/>
          <w:rtl/>
        </w:rPr>
        <w:t>الحكام</w:t>
      </w:r>
      <w:r>
        <w:rPr>
          <w:rFonts w:hint="eastAsia"/>
          <w:rtl/>
        </w:rPr>
        <w:t>،</w:t>
      </w:r>
      <w:r>
        <w:rPr>
          <w:rtl/>
        </w:rPr>
        <w:t xml:space="preserve"> </w:t>
      </w:r>
      <w:r>
        <w:rPr>
          <w:rFonts w:hint="eastAsia"/>
          <w:rtl/>
        </w:rPr>
        <w:t>رسالة</w:t>
      </w:r>
      <w:r w:rsidRPr="00591A13">
        <w:rPr>
          <w:rtl/>
        </w:rPr>
        <w:t xml:space="preserve"> </w:t>
      </w:r>
      <w:r w:rsidRPr="00591A13">
        <w:rPr>
          <w:rFonts w:hint="eastAsia"/>
          <w:rtl/>
        </w:rPr>
        <w:t>الماجستير</w:t>
      </w:r>
      <w:r>
        <w:rPr>
          <w:rtl/>
        </w:rPr>
        <w:t xml:space="preserve"> غير منشورة</w:t>
      </w:r>
      <w:r>
        <w:rPr>
          <w:rFonts w:hint="eastAsia"/>
          <w:rtl/>
        </w:rPr>
        <w:t>،</w:t>
      </w:r>
      <w:r>
        <w:rPr>
          <w:rtl/>
        </w:rPr>
        <w:t xml:space="preserve"> </w:t>
      </w:r>
      <w:r>
        <w:rPr>
          <w:rFonts w:hint="eastAsia"/>
          <w:rtl/>
        </w:rPr>
        <w:t>جامعة</w:t>
      </w:r>
      <w:r>
        <w:rPr>
          <w:rtl/>
        </w:rPr>
        <w:t xml:space="preserve"> </w:t>
      </w:r>
      <w:r>
        <w:rPr>
          <w:rFonts w:hint="eastAsia"/>
          <w:rtl/>
        </w:rPr>
        <w:t>الحاج</w:t>
      </w:r>
      <w:r>
        <w:rPr>
          <w:rtl/>
        </w:rPr>
        <w:t xml:space="preserve"> </w:t>
      </w:r>
      <w:r>
        <w:rPr>
          <w:rFonts w:hint="eastAsia"/>
          <w:rtl/>
        </w:rPr>
        <w:t>لخضر</w:t>
      </w:r>
      <w:r>
        <w:rPr>
          <w:rtl/>
        </w:rPr>
        <w:t xml:space="preserve"> </w:t>
      </w:r>
      <w:r>
        <w:rPr>
          <w:rFonts w:hint="eastAsia"/>
          <w:rtl/>
        </w:rPr>
        <w:t>باتنة،</w:t>
      </w:r>
      <w:r>
        <w:rPr>
          <w:rtl/>
        </w:rPr>
        <w:t xml:space="preserve"> </w:t>
      </w:r>
      <w:r>
        <w:rPr>
          <w:rFonts w:hint="eastAsia"/>
          <w:rtl/>
        </w:rPr>
        <w:t>الجزائر</w:t>
      </w:r>
      <w:r>
        <w:rPr>
          <w:rtl/>
        </w:rPr>
        <w:t>.</w:t>
      </w:r>
    </w:p>
    <w:p w:rsidR="005F44B2" w:rsidRPr="00591A13" w:rsidRDefault="005F44B2" w:rsidP="006D5C7D">
      <w:pPr>
        <w:pStyle w:val="Subtitle"/>
        <w:numPr>
          <w:ilvl w:val="0"/>
          <w:numId w:val="46"/>
        </w:numPr>
        <w:spacing w:line="259" w:lineRule="auto"/>
        <w:jc w:val="both"/>
      </w:pPr>
      <w:r w:rsidRPr="00591A13">
        <w:rPr>
          <w:rFonts w:hint="eastAsia"/>
          <w:rtl/>
        </w:rPr>
        <w:t>الخرشي،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الخرشي</w:t>
      </w:r>
      <w:r w:rsidRPr="00591A13">
        <w:rPr>
          <w:rtl/>
        </w:rPr>
        <w:t xml:space="preserve"> </w:t>
      </w:r>
      <w:r w:rsidRPr="00591A13">
        <w:rPr>
          <w:rFonts w:hint="eastAsia"/>
          <w:rtl/>
        </w:rPr>
        <w:t>المالكي</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ت</w:t>
      </w:r>
      <w:r w:rsidRPr="00591A13">
        <w:rPr>
          <w:rtl/>
        </w:rPr>
        <w:t xml:space="preserve"> 1101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Cs/>
          <w:rtl/>
        </w:rPr>
        <w:t>شرح</w:t>
      </w:r>
      <w:r w:rsidRPr="00591A13">
        <w:rPr>
          <w:bCs/>
          <w:rtl/>
        </w:rPr>
        <w:t xml:space="preserve"> </w:t>
      </w:r>
      <w:r w:rsidRPr="00591A13">
        <w:rPr>
          <w:rFonts w:hint="eastAsia"/>
          <w:bCs/>
          <w:rtl/>
        </w:rPr>
        <w:t>مختصر</w:t>
      </w:r>
      <w:r w:rsidRPr="00591A13">
        <w:rPr>
          <w:bCs/>
          <w:rtl/>
        </w:rPr>
        <w:t xml:space="preserve"> </w:t>
      </w:r>
      <w:r w:rsidRPr="00591A13">
        <w:rPr>
          <w:rFonts w:hint="eastAsia"/>
          <w:bCs/>
          <w:rtl/>
        </w:rPr>
        <w:t>خليل</w:t>
      </w:r>
      <w:r w:rsidRPr="00591A13">
        <w:rPr>
          <w:bCs/>
          <w:rtl/>
        </w:rPr>
        <w:t xml:space="preserve"> </w:t>
      </w:r>
      <w:r w:rsidRPr="00591A13">
        <w:rPr>
          <w:rFonts w:hint="eastAsia"/>
          <w:bCs/>
          <w:rtl/>
        </w:rPr>
        <w:t>للخرشي</w:t>
      </w:r>
      <w:r w:rsidRPr="00591A13">
        <w:rPr>
          <w:rFonts w:hint="eastAsia"/>
          <w:rtl/>
        </w:rPr>
        <w:t>،</w:t>
      </w:r>
      <w:r w:rsidRPr="00591A13">
        <w:rPr>
          <w:rtl/>
        </w:rPr>
        <w:t xml:space="preserve"> 8</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w:t>
      </w:r>
      <w:r w:rsidRPr="00591A13">
        <w:rPr>
          <w:rFonts w:hint="eastAsia"/>
          <w:rtl/>
        </w:rPr>
        <w:t>بيروت</w:t>
      </w:r>
      <w:r w:rsidRPr="00591A13">
        <w:rPr>
          <w:rtl/>
        </w:rPr>
        <w:t>.</w:t>
      </w:r>
    </w:p>
    <w:p w:rsidR="005F44B2" w:rsidRPr="00591A13" w:rsidRDefault="005F44B2" w:rsidP="003346B0">
      <w:pPr>
        <w:pStyle w:val="Subtitle"/>
        <w:numPr>
          <w:ilvl w:val="0"/>
          <w:numId w:val="46"/>
        </w:numPr>
        <w:spacing w:line="259" w:lineRule="auto"/>
        <w:jc w:val="both"/>
      </w:pPr>
      <w:r w:rsidRPr="00591A13">
        <w:rPr>
          <w:rFonts w:hint="eastAsia"/>
          <w:rtl/>
        </w:rPr>
        <w:t>خلاف،</w:t>
      </w:r>
      <w:r w:rsidRPr="00591A13">
        <w:rPr>
          <w:rtl/>
        </w:rPr>
        <w:t xml:space="preserve"> </w:t>
      </w:r>
      <w:r w:rsidRPr="00591A13">
        <w:rPr>
          <w:rFonts w:hint="eastAsia"/>
          <w:rtl/>
        </w:rPr>
        <w:t>عبد</w:t>
      </w:r>
      <w:r w:rsidRPr="00591A13">
        <w:rPr>
          <w:rtl/>
        </w:rPr>
        <w:t xml:space="preserve"> </w:t>
      </w:r>
      <w:r w:rsidRPr="00591A13">
        <w:rPr>
          <w:rFonts w:hint="eastAsia"/>
          <w:rtl/>
        </w:rPr>
        <w:t>الوهاب</w:t>
      </w:r>
      <w:r>
        <w:rPr>
          <w:rtl/>
        </w:rPr>
        <w:t xml:space="preserve"> (</w:t>
      </w:r>
      <w:r w:rsidRPr="00591A13">
        <w:rPr>
          <w:rtl/>
        </w:rPr>
        <w:t>1988</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الشئون</w:t>
      </w:r>
      <w:r w:rsidRPr="00591A13">
        <w:rPr>
          <w:b/>
          <w:bCs/>
          <w:rtl/>
        </w:rPr>
        <w:t xml:space="preserve"> </w:t>
      </w:r>
      <w:r w:rsidRPr="00591A13">
        <w:rPr>
          <w:rFonts w:hint="eastAsia"/>
          <w:b/>
          <w:bCs/>
          <w:rtl/>
        </w:rPr>
        <w:t>الدستورية</w:t>
      </w:r>
      <w:r w:rsidRPr="00591A13">
        <w:rPr>
          <w:b/>
          <w:bCs/>
          <w:rtl/>
        </w:rPr>
        <w:t xml:space="preserve"> </w:t>
      </w:r>
      <w:r w:rsidRPr="00591A13">
        <w:rPr>
          <w:rFonts w:hint="eastAsia"/>
          <w:b/>
          <w:bCs/>
          <w:rtl/>
        </w:rPr>
        <w:t>والخارجية</w:t>
      </w:r>
      <w:r w:rsidRPr="00591A13">
        <w:rPr>
          <w:b/>
          <w:bCs/>
          <w:rtl/>
        </w:rPr>
        <w:t xml:space="preserve"> </w:t>
      </w:r>
      <w:r w:rsidRPr="00591A13">
        <w:rPr>
          <w:rFonts w:hint="eastAsia"/>
          <w:b/>
          <w:bCs/>
          <w:rtl/>
        </w:rPr>
        <w:t>والمالية</w:t>
      </w:r>
      <w:r>
        <w:rPr>
          <w:rFonts w:hint="eastAsia"/>
          <w:rtl/>
        </w:rPr>
        <w:t>،</w:t>
      </w:r>
      <w:r>
        <w:rPr>
          <w:rtl/>
        </w:rPr>
        <w:t xml:space="preserve"> </w:t>
      </w:r>
      <w:r>
        <w:rPr>
          <w:rFonts w:hint="eastAsia"/>
          <w:rtl/>
        </w:rPr>
        <w:t>دار</w:t>
      </w:r>
      <w:r>
        <w:rPr>
          <w:rtl/>
        </w:rPr>
        <w:t xml:space="preserve"> </w:t>
      </w:r>
      <w:r>
        <w:rPr>
          <w:rFonts w:hint="eastAsia"/>
          <w:rtl/>
        </w:rPr>
        <w:t>القلم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داماد</w:t>
      </w:r>
      <w:r w:rsidRPr="00591A13">
        <w:rPr>
          <w:rtl/>
        </w:rPr>
        <w:t xml:space="preserve"> </w:t>
      </w:r>
      <w:r w:rsidRPr="00591A13">
        <w:rPr>
          <w:rFonts w:hint="eastAsia"/>
          <w:rtl/>
        </w:rPr>
        <w:t>أفندي،</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سليمان</w:t>
      </w:r>
      <w:r w:rsidRPr="00591A13">
        <w:rPr>
          <w:rtl/>
        </w:rPr>
        <w:t xml:space="preserve"> </w:t>
      </w:r>
      <w:r w:rsidRPr="00591A13">
        <w:rPr>
          <w:rFonts w:hint="eastAsia"/>
          <w:rtl/>
        </w:rPr>
        <w:t>المدعو</w:t>
      </w:r>
      <w:r w:rsidRPr="00591A13">
        <w:rPr>
          <w:rtl/>
        </w:rPr>
        <w:t xml:space="preserve"> </w:t>
      </w:r>
      <w:r w:rsidRPr="00591A13">
        <w:rPr>
          <w:rFonts w:hint="eastAsia"/>
          <w:rtl/>
        </w:rPr>
        <w:t>بشيخي</w:t>
      </w:r>
      <w:r w:rsidRPr="00591A13">
        <w:rPr>
          <w:rtl/>
        </w:rPr>
        <w:t xml:space="preserve"> </w:t>
      </w:r>
      <w:r w:rsidRPr="00591A13">
        <w:rPr>
          <w:rFonts w:hint="eastAsia"/>
          <w:rtl/>
        </w:rPr>
        <w:t>زاده</w:t>
      </w:r>
      <w:r w:rsidRPr="00591A13">
        <w:rPr>
          <w:rtl/>
        </w:rPr>
        <w:t xml:space="preserve">, </w:t>
      </w:r>
      <w:r w:rsidRPr="00591A13">
        <w:rPr>
          <w:rFonts w:hint="eastAsia"/>
          <w:rtl/>
        </w:rPr>
        <w:t>يعرف</w:t>
      </w:r>
      <w:r w:rsidRPr="00591A13">
        <w:rPr>
          <w:rtl/>
        </w:rPr>
        <w:t xml:space="preserve"> </w:t>
      </w:r>
      <w:r w:rsidRPr="00591A13">
        <w:rPr>
          <w:rFonts w:hint="eastAsia"/>
          <w:rtl/>
        </w:rPr>
        <w:t>بداماد</w:t>
      </w:r>
      <w:r w:rsidRPr="00591A13">
        <w:rPr>
          <w:rtl/>
        </w:rPr>
        <w:t xml:space="preserve"> </w:t>
      </w:r>
      <w:r w:rsidRPr="00591A13">
        <w:rPr>
          <w:rFonts w:hint="eastAsia"/>
          <w:rtl/>
        </w:rPr>
        <w:t>أفندي</w:t>
      </w:r>
      <w:r w:rsidRPr="00591A13">
        <w:rPr>
          <w:rtl/>
        </w:rPr>
        <w:t xml:space="preserve"> (</w:t>
      </w:r>
      <w:r w:rsidRPr="00591A13">
        <w:rPr>
          <w:rFonts w:hint="eastAsia"/>
          <w:rtl/>
        </w:rPr>
        <w:t>ت</w:t>
      </w:r>
      <w:r w:rsidRPr="00591A13">
        <w:rPr>
          <w:rtl/>
        </w:rPr>
        <w:t xml:space="preserve"> 1078</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مجمع</w:t>
      </w:r>
      <w:r w:rsidRPr="00591A13">
        <w:rPr>
          <w:b/>
          <w:bCs/>
          <w:rtl/>
        </w:rPr>
        <w:t xml:space="preserve"> </w:t>
      </w:r>
      <w:r w:rsidRPr="00591A13">
        <w:rPr>
          <w:rFonts w:hint="eastAsia"/>
          <w:b/>
          <w:bCs/>
          <w:rtl/>
        </w:rPr>
        <w:t>الأنهر</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ملتقى</w:t>
      </w:r>
      <w:r w:rsidRPr="00591A13">
        <w:rPr>
          <w:b/>
          <w:bCs/>
          <w:rtl/>
        </w:rPr>
        <w:t xml:space="preserve"> </w:t>
      </w:r>
      <w:r w:rsidRPr="00591A13">
        <w:rPr>
          <w:rFonts w:hint="eastAsia"/>
          <w:b/>
          <w:bCs/>
          <w:rtl/>
        </w:rPr>
        <w:t>الأبحر</w:t>
      </w:r>
      <w:r>
        <w:rPr>
          <w:rFonts w:hint="eastAsia"/>
          <w:rtl/>
        </w:rPr>
        <w:t>،</w:t>
      </w:r>
      <w:r w:rsidRPr="00591A13">
        <w:rPr>
          <w:rFonts w:hint="eastAsia"/>
          <w:rtl/>
        </w:rPr>
        <w:t>دار</w:t>
      </w:r>
      <w:r w:rsidRPr="00591A13">
        <w:rPr>
          <w:rtl/>
        </w:rPr>
        <w:t xml:space="preserve"> </w:t>
      </w:r>
      <w:r w:rsidRPr="00591A13">
        <w:rPr>
          <w:rFonts w:hint="eastAsia"/>
          <w:rtl/>
        </w:rPr>
        <w:t>إحياء</w:t>
      </w:r>
      <w:r w:rsidRPr="00591A13">
        <w:rPr>
          <w:rtl/>
        </w:rPr>
        <w:t xml:space="preserve"> </w:t>
      </w:r>
      <w:r w:rsidRPr="00591A13">
        <w:rPr>
          <w:rFonts w:hint="eastAsia"/>
          <w:rtl/>
        </w:rPr>
        <w:t>التراث</w:t>
      </w:r>
      <w:r w:rsidRPr="00591A13">
        <w:rPr>
          <w:rtl/>
        </w:rPr>
        <w:t xml:space="preserve"> </w:t>
      </w:r>
      <w:r w:rsidRPr="00591A13">
        <w:rPr>
          <w:rFonts w:hint="eastAsia"/>
          <w:rtl/>
        </w:rPr>
        <w:t>العربي</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دده</w:t>
      </w:r>
      <w:r w:rsidRPr="00591A13">
        <w:rPr>
          <w:rtl/>
        </w:rPr>
        <w:t xml:space="preserve"> </w:t>
      </w:r>
      <w:r w:rsidRPr="00591A13">
        <w:rPr>
          <w:rFonts w:hint="eastAsia"/>
          <w:rtl/>
        </w:rPr>
        <w:t>أفندي،</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يحيى</w:t>
      </w:r>
      <w:r w:rsidRPr="00591A13">
        <w:rPr>
          <w:rtl/>
        </w:rPr>
        <w:t xml:space="preserve"> </w:t>
      </w:r>
      <w:r w:rsidRPr="00591A13">
        <w:rPr>
          <w:rFonts w:hint="eastAsia"/>
          <w:rtl/>
        </w:rPr>
        <w:t>خليفة</w:t>
      </w:r>
      <w:r w:rsidRPr="00591A13">
        <w:rPr>
          <w:rtl/>
        </w:rPr>
        <w:t xml:space="preserve"> (</w:t>
      </w:r>
      <w:r w:rsidRPr="00591A13">
        <w:rPr>
          <w:rFonts w:hint="eastAsia"/>
          <w:rtl/>
        </w:rPr>
        <w:t>ت</w:t>
      </w:r>
      <w:r w:rsidRPr="00591A13">
        <w:rPr>
          <w:rtl/>
        </w:rPr>
        <w:t xml:space="preserve"> 973 </w:t>
      </w:r>
      <w:r w:rsidRPr="00591A13">
        <w:rPr>
          <w:rFonts w:hint="eastAsia"/>
          <w:rtl/>
        </w:rPr>
        <w:t>هـ</w:t>
      </w:r>
      <w:r w:rsidRPr="00591A13">
        <w:rPr>
          <w:rtl/>
        </w:rPr>
        <w:t>)</w:t>
      </w:r>
      <w:r w:rsidRPr="00591A13">
        <w:rPr>
          <w:rFonts w:hint="eastAsia"/>
          <w:rtl/>
        </w:rPr>
        <w:t>،</w:t>
      </w:r>
      <w:r w:rsidRPr="00591A13">
        <w:rPr>
          <w:rtl/>
        </w:rPr>
        <w:t xml:space="preserve"> </w:t>
      </w:r>
      <w:r>
        <w:rPr>
          <w:rFonts w:hint="eastAsia"/>
          <w:b/>
          <w:bCs/>
          <w:rtl/>
        </w:rPr>
        <w:t>السياسة</w:t>
      </w:r>
      <w:r>
        <w:rPr>
          <w:b/>
          <w:bCs/>
          <w:rtl/>
        </w:rPr>
        <w:t xml:space="preserve"> </w:t>
      </w:r>
      <w:r>
        <w:rPr>
          <w:rFonts w:hint="eastAsia"/>
          <w:b/>
          <w:bCs/>
          <w:rtl/>
        </w:rPr>
        <w:t>الشرعية</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وتعليق</w:t>
      </w:r>
      <w:r w:rsidRPr="00591A13">
        <w:rPr>
          <w:rtl/>
        </w:rPr>
        <w:t xml:space="preserve"> </w:t>
      </w:r>
      <w:r w:rsidRPr="00591A13">
        <w:rPr>
          <w:rFonts w:hint="eastAsia"/>
          <w:rtl/>
        </w:rPr>
        <w:t>المستشار</w:t>
      </w:r>
      <w:r w:rsidRPr="00591A13">
        <w:rPr>
          <w:rtl/>
        </w:rPr>
        <w:t xml:space="preserve"> </w:t>
      </w:r>
      <w:r w:rsidRPr="00591A13">
        <w:rPr>
          <w:rFonts w:hint="eastAsia"/>
          <w:rtl/>
        </w:rPr>
        <w:t>الدكتور</w:t>
      </w:r>
      <w:r w:rsidRPr="00591A13">
        <w:rPr>
          <w:rtl/>
        </w:rPr>
        <w:t xml:space="preserve"> </w:t>
      </w:r>
      <w:r w:rsidRPr="00591A13">
        <w:rPr>
          <w:rFonts w:hint="eastAsia"/>
          <w:rtl/>
        </w:rPr>
        <w:t>فؤاد</w:t>
      </w:r>
      <w:r w:rsidRPr="00591A13">
        <w:rPr>
          <w:rtl/>
        </w:rPr>
        <w:t xml:space="preserve"> </w:t>
      </w:r>
      <w:r w:rsidRPr="00591A13">
        <w:rPr>
          <w:rFonts w:hint="eastAsia"/>
          <w:rtl/>
        </w:rPr>
        <w:t>عبد</w:t>
      </w:r>
      <w:r w:rsidRPr="00591A13">
        <w:rPr>
          <w:rtl/>
        </w:rPr>
        <w:t xml:space="preserve"> </w:t>
      </w:r>
      <w:r w:rsidRPr="00591A13">
        <w:rPr>
          <w:rFonts w:hint="eastAsia"/>
          <w:rtl/>
        </w:rPr>
        <w:t>المنعم</w:t>
      </w:r>
      <w:r w:rsidRPr="00591A13">
        <w:rPr>
          <w:rtl/>
        </w:rPr>
        <w:t>)</w:t>
      </w:r>
      <w:r w:rsidRPr="00591A13">
        <w:rPr>
          <w:rFonts w:hint="eastAsia"/>
          <w:rtl/>
        </w:rPr>
        <w:t>،</w:t>
      </w:r>
      <w:r w:rsidRPr="00591A13">
        <w:rPr>
          <w:rtl/>
        </w:rPr>
        <w:t xml:space="preserve"> </w:t>
      </w:r>
      <w:r w:rsidRPr="00591A13">
        <w:rPr>
          <w:rFonts w:hint="eastAsia"/>
          <w:rtl/>
        </w:rPr>
        <w:t>الناشر</w:t>
      </w:r>
      <w:r w:rsidRPr="00591A13">
        <w:rPr>
          <w:rtl/>
        </w:rPr>
        <w:t xml:space="preserve"> </w:t>
      </w:r>
      <w:r w:rsidRPr="00591A13">
        <w:rPr>
          <w:rFonts w:hint="eastAsia"/>
          <w:rtl/>
        </w:rPr>
        <w:t>مؤسسة</w:t>
      </w:r>
      <w:r w:rsidRPr="00591A13">
        <w:rPr>
          <w:rtl/>
        </w:rPr>
        <w:t xml:space="preserve"> </w:t>
      </w:r>
      <w:r w:rsidRPr="00591A13">
        <w:rPr>
          <w:rFonts w:hint="eastAsia"/>
          <w:rtl/>
        </w:rPr>
        <w:t>شباب</w:t>
      </w:r>
      <w:r w:rsidRPr="00591A13">
        <w:rPr>
          <w:rtl/>
        </w:rPr>
        <w:t xml:space="preserve"> </w:t>
      </w:r>
      <w:r w:rsidRPr="00591A13">
        <w:rPr>
          <w:rFonts w:hint="eastAsia"/>
          <w:rtl/>
        </w:rPr>
        <w:t>الجامعة،</w:t>
      </w:r>
      <w:r w:rsidRPr="00591A13">
        <w:rPr>
          <w:rtl/>
        </w:rPr>
        <w:t xml:space="preserve"> </w:t>
      </w:r>
      <w:r w:rsidRPr="00591A13">
        <w:rPr>
          <w:rFonts w:hint="eastAsia"/>
          <w:rtl/>
        </w:rPr>
        <w:t>الاسكندرية</w:t>
      </w:r>
      <w:r w:rsidRPr="00591A13">
        <w:rPr>
          <w:rtl/>
        </w:rPr>
        <w:t>.</w:t>
      </w:r>
    </w:p>
    <w:p w:rsidR="005F44B2" w:rsidRPr="00591A13" w:rsidRDefault="005F44B2" w:rsidP="00EB2858">
      <w:pPr>
        <w:pStyle w:val="Subtitle"/>
        <w:numPr>
          <w:ilvl w:val="0"/>
          <w:numId w:val="46"/>
        </w:numPr>
        <w:spacing w:line="259" w:lineRule="auto"/>
        <w:jc w:val="both"/>
      </w:pPr>
      <w:r w:rsidRPr="00591A13">
        <w:rPr>
          <w:rFonts w:hint="eastAsia"/>
          <w:rtl/>
        </w:rPr>
        <w:t>الدريني،</w:t>
      </w:r>
      <w:r w:rsidRPr="00591A13">
        <w:rPr>
          <w:rtl/>
        </w:rPr>
        <w:t xml:space="preserve"> </w:t>
      </w:r>
      <w:r w:rsidRPr="00591A13">
        <w:rPr>
          <w:rFonts w:hint="eastAsia"/>
          <w:rtl/>
        </w:rPr>
        <w:t>فتحي</w:t>
      </w:r>
      <w:r w:rsidRPr="00591A13">
        <w:rPr>
          <w:rtl/>
        </w:rPr>
        <w:t xml:space="preserve"> </w:t>
      </w:r>
      <w:r>
        <w:rPr>
          <w:rtl/>
        </w:rPr>
        <w:t>(</w:t>
      </w:r>
      <w:r w:rsidRPr="00591A13">
        <w:rPr>
          <w:rtl/>
        </w:rPr>
        <w:t>2013</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خصائص</w:t>
      </w:r>
      <w:r w:rsidRPr="00591A13">
        <w:rPr>
          <w:b/>
          <w:bCs/>
          <w:rtl/>
        </w:rPr>
        <w:t xml:space="preserve"> </w:t>
      </w:r>
      <w:r w:rsidRPr="00591A13">
        <w:rPr>
          <w:rFonts w:hint="eastAsia"/>
          <w:b/>
          <w:bCs/>
          <w:rtl/>
        </w:rPr>
        <w:t>التشريع</w:t>
      </w:r>
      <w:r w:rsidRPr="00591A13">
        <w:rPr>
          <w:b/>
          <w:bCs/>
          <w:rtl/>
        </w:rPr>
        <w:t xml:space="preserve"> </w:t>
      </w:r>
      <w:r w:rsidRPr="00591A13">
        <w:rPr>
          <w:rFonts w:hint="eastAsia"/>
          <w:b/>
          <w:bCs/>
          <w:rtl/>
        </w:rPr>
        <w:t>الإسلامي</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السسياسة</w:t>
      </w:r>
      <w:r w:rsidRPr="00591A13">
        <w:rPr>
          <w:b/>
          <w:bCs/>
          <w:rtl/>
        </w:rPr>
        <w:t xml:space="preserve"> </w:t>
      </w:r>
      <w:r w:rsidRPr="00591A13">
        <w:rPr>
          <w:rFonts w:hint="eastAsia"/>
          <w:b/>
          <w:bCs/>
          <w:rtl/>
        </w:rPr>
        <w:t>والحكم</w:t>
      </w:r>
      <w:r>
        <w:rPr>
          <w:rFonts w:hint="eastAsia"/>
          <w:rtl/>
        </w:rPr>
        <w:t>،</w:t>
      </w:r>
      <w:r>
        <w:rPr>
          <w:rtl/>
        </w:rPr>
        <w:t xml:space="preserve"> </w:t>
      </w:r>
      <w:r>
        <w:rPr>
          <w:rFonts w:hint="eastAsia"/>
          <w:rtl/>
        </w:rPr>
        <w:t>ط</w:t>
      </w:r>
      <w:r>
        <w:rPr>
          <w:rtl/>
        </w:rPr>
        <w:t>2</w:t>
      </w:r>
      <w:r>
        <w:rPr>
          <w:rFonts w:hint="eastAsia"/>
          <w:rtl/>
        </w:rPr>
        <w:t>،</w:t>
      </w:r>
      <w:r>
        <w:rPr>
          <w:rtl/>
        </w:rPr>
        <w:t xml:space="preserve"> </w:t>
      </w:r>
      <w:r>
        <w:rPr>
          <w:rFonts w:hint="eastAsia"/>
          <w:rtl/>
        </w:rPr>
        <w:t>بيروت،</w:t>
      </w:r>
      <w:r>
        <w:rPr>
          <w:rtl/>
        </w:rPr>
        <w:t xml:space="preserve"> </w:t>
      </w:r>
      <w:r>
        <w:rPr>
          <w:rFonts w:hint="eastAsia"/>
          <w:rtl/>
        </w:rPr>
        <w:t>مؤسسة</w:t>
      </w:r>
      <w:r>
        <w:rPr>
          <w:rtl/>
        </w:rPr>
        <w:t xml:space="preserve"> </w:t>
      </w:r>
      <w:r>
        <w:rPr>
          <w:rFonts w:hint="eastAsia"/>
          <w:rtl/>
        </w:rPr>
        <w:t>الرسالة</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الدسوقي،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عرفة</w:t>
      </w:r>
      <w:r w:rsidRPr="00591A13">
        <w:rPr>
          <w:rtl/>
        </w:rPr>
        <w:t xml:space="preserve"> </w:t>
      </w:r>
      <w:r w:rsidRPr="00591A13">
        <w:rPr>
          <w:rFonts w:hint="eastAsia"/>
          <w:rtl/>
        </w:rPr>
        <w:t>الدسوقي</w:t>
      </w:r>
      <w:r w:rsidRPr="00591A13">
        <w:rPr>
          <w:rtl/>
        </w:rPr>
        <w:t xml:space="preserve"> </w:t>
      </w:r>
      <w:r w:rsidRPr="00591A13">
        <w:rPr>
          <w:rFonts w:hint="eastAsia"/>
          <w:rtl/>
        </w:rPr>
        <w:t>المالكي</w:t>
      </w:r>
      <w:r w:rsidRPr="00591A13">
        <w:rPr>
          <w:rtl/>
        </w:rPr>
        <w:t xml:space="preserve"> (</w:t>
      </w:r>
      <w:r w:rsidRPr="00591A13">
        <w:rPr>
          <w:rFonts w:hint="eastAsia"/>
          <w:rtl/>
        </w:rPr>
        <w:t>ت</w:t>
      </w:r>
      <w:r w:rsidRPr="00591A13">
        <w:rPr>
          <w:rtl/>
        </w:rPr>
        <w:t xml:space="preserve"> 1230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حاشية</w:t>
      </w:r>
      <w:r w:rsidRPr="00591A13">
        <w:rPr>
          <w:b/>
          <w:bCs/>
          <w:rtl/>
        </w:rPr>
        <w:t xml:space="preserve"> </w:t>
      </w:r>
      <w:r w:rsidRPr="00591A13">
        <w:rPr>
          <w:rFonts w:hint="eastAsia"/>
          <w:b/>
          <w:bCs/>
          <w:rtl/>
        </w:rPr>
        <w:t>الدسوقي</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الشرح</w:t>
      </w:r>
      <w:r w:rsidRPr="00591A13">
        <w:rPr>
          <w:b/>
          <w:bCs/>
          <w:rtl/>
        </w:rPr>
        <w:t xml:space="preserve"> </w:t>
      </w:r>
      <w:r w:rsidRPr="00591A13">
        <w:rPr>
          <w:rFonts w:hint="eastAsia"/>
          <w:b/>
          <w:bCs/>
          <w:rtl/>
        </w:rPr>
        <w:t>الكبير</w:t>
      </w:r>
      <w:r>
        <w:rPr>
          <w:rFonts w:hint="eastAsia"/>
          <w:rtl/>
        </w:rPr>
        <w:t>،</w:t>
      </w:r>
      <w:r w:rsidRPr="00591A13">
        <w:rPr>
          <w:rtl/>
        </w:rPr>
        <w:t xml:space="preserve"> 4</w:t>
      </w:r>
      <w:r w:rsidRPr="00591A13">
        <w:rPr>
          <w:rFonts w:hint="eastAsia"/>
          <w:rtl/>
        </w:rPr>
        <w:t>م،دار</w:t>
      </w:r>
      <w:r w:rsidRPr="00591A13">
        <w:rPr>
          <w:rtl/>
        </w:rPr>
        <w:t xml:space="preserve"> </w:t>
      </w:r>
      <w:r w:rsidRPr="00591A13">
        <w:rPr>
          <w:rFonts w:hint="eastAsia"/>
          <w:rtl/>
        </w:rPr>
        <w:t>الفكر</w:t>
      </w:r>
      <w:r w:rsidRPr="00591A13">
        <w:rPr>
          <w:rtl/>
        </w:rPr>
        <w:t>.</w:t>
      </w:r>
    </w:p>
    <w:p w:rsidR="005F44B2" w:rsidRPr="00591A13" w:rsidRDefault="005F44B2" w:rsidP="00EB2858">
      <w:pPr>
        <w:pStyle w:val="Subtitle"/>
        <w:numPr>
          <w:ilvl w:val="0"/>
          <w:numId w:val="46"/>
        </w:numPr>
        <w:spacing w:line="259" w:lineRule="auto"/>
        <w:jc w:val="both"/>
      </w:pPr>
      <w:r w:rsidRPr="00591A13">
        <w:rPr>
          <w:rFonts w:hint="eastAsia"/>
          <w:rtl/>
        </w:rPr>
        <w:t>صالح</w:t>
      </w:r>
      <w:r w:rsidRPr="00591A13">
        <w:rPr>
          <w:rtl/>
        </w:rPr>
        <w:t xml:space="preserve"> </w:t>
      </w:r>
      <w:r w:rsidRPr="00591A13">
        <w:rPr>
          <w:rFonts w:hint="eastAsia"/>
          <w:rtl/>
        </w:rPr>
        <w:t>علي</w:t>
      </w:r>
      <w:r w:rsidRPr="00591A13">
        <w:rPr>
          <w:rtl/>
        </w:rPr>
        <w:t xml:space="preserve"> </w:t>
      </w:r>
      <w:r w:rsidRPr="00591A13">
        <w:rPr>
          <w:rFonts w:hint="eastAsia"/>
          <w:rtl/>
        </w:rPr>
        <w:t>الشورة</w:t>
      </w:r>
      <w:r>
        <w:rPr>
          <w:rtl/>
        </w:rPr>
        <w:t xml:space="preserve"> (</w:t>
      </w:r>
      <w:r w:rsidRPr="00591A13">
        <w:rPr>
          <w:rtl/>
        </w:rPr>
        <w:t>2014</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أحمد</w:t>
      </w:r>
      <w:r w:rsidRPr="00591A13">
        <w:rPr>
          <w:b/>
          <w:bCs/>
          <w:rtl/>
        </w:rPr>
        <w:t xml:space="preserve"> </w:t>
      </w:r>
      <w:r w:rsidRPr="00591A13">
        <w:rPr>
          <w:rFonts w:hint="eastAsia"/>
          <w:b/>
          <w:bCs/>
          <w:rtl/>
        </w:rPr>
        <w:t>باشا</w:t>
      </w:r>
      <w:r w:rsidRPr="00591A13">
        <w:rPr>
          <w:b/>
          <w:bCs/>
          <w:rtl/>
        </w:rPr>
        <w:t xml:space="preserve"> </w:t>
      </w:r>
      <w:r w:rsidRPr="00591A13">
        <w:rPr>
          <w:rFonts w:hint="eastAsia"/>
          <w:b/>
          <w:bCs/>
          <w:rtl/>
        </w:rPr>
        <w:t>الجزار</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الرق</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سدة</w:t>
      </w:r>
      <w:r w:rsidRPr="00591A13">
        <w:rPr>
          <w:b/>
          <w:bCs/>
          <w:rtl/>
        </w:rPr>
        <w:t xml:space="preserve"> </w:t>
      </w:r>
      <w:r w:rsidRPr="00591A13">
        <w:rPr>
          <w:rFonts w:hint="eastAsia"/>
          <w:b/>
          <w:bCs/>
          <w:rtl/>
        </w:rPr>
        <w:t>الحكم</w:t>
      </w:r>
      <w:r w:rsidRPr="00591A13">
        <w:rPr>
          <w:rFonts w:hint="eastAsia"/>
          <w:rtl/>
        </w:rPr>
        <w:t>،</w:t>
      </w:r>
      <w:r w:rsidRPr="00591A13">
        <w:rPr>
          <w:rtl/>
        </w:rPr>
        <w:t xml:space="preserve"> </w:t>
      </w:r>
      <w:r>
        <w:rPr>
          <w:rFonts w:hint="eastAsia"/>
          <w:rtl/>
        </w:rPr>
        <w:t>ط</w:t>
      </w:r>
      <w:r w:rsidRPr="00591A13">
        <w:rPr>
          <w:rtl/>
        </w:rPr>
        <w:t>1</w:t>
      </w:r>
      <w:r w:rsidRPr="00591A13">
        <w:rPr>
          <w:rFonts w:hint="eastAsia"/>
          <w:rtl/>
        </w:rPr>
        <w:t>،</w:t>
      </w:r>
      <w:r w:rsidRPr="00591A13">
        <w:rPr>
          <w:rtl/>
        </w:rPr>
        <w:t xml:space="preserve"> </w:t>
      </w:r>
      <w:r w:rsidRPr="00591A13">
        <w:rPr>
          <w:rFonts w:hint="eastAsia"/>
          <w:rtl/>
        </w:rPr>
        <w:t>عمان</w:t>
      </w:r>
      <w:r>
        <w:rPr>
          <w:rFonts w:hint="eastAsia"/>
          <w:rtl/>
        </w:rPr>
        <w:t>،</w:t>
      </w:r>
      <w:r w:rsidRPr="00591A13">
        <w:rPr>
          <w:rFonts w:hint="eastAsia"/>
          <w:rtl/>
        </w:rPr>
        <w:t>دار</w:t>
      </w:r>
      <w:r w:rsidRPr="00591A13">
        <w:rPr>
          <w:rtl/>
        </w:rPr>
        <w:t xml:space="preserve"> </w:t>
      </w:r>
      <w:r w:rsidRPr="00591A13">
        <w:rPr>
          <w:rFonts w:hint="eastAsia"/>
          <w:rtl/>
        </w:rPr>
        <w:t>كنوز</w:t>
      </w:r>
      <w:r w:rsidRPr="00591A13">
        <w:rPr>
          <w:rtl/>
        </w:rPr>
        <w:t xml:space="preserve"> </w:t>
      </w:r>
      <w:r w:rsidRPr="00591A13">
        <w:rPr>
          <w:rFonts w:hint="eastAsia"/>
          <w:rtl/>
        </w:rPr>
        <w:t>ال</w:t>
      </w:r>
      <w:r>
        <w:rPr>
          <w:rFonts w:hint="eastAsia"/>
          <w:rtl/>
        </w:rPr>
        <w:t>معرفة</w:t>
      </w:r>
      <w:r>
        <w:rPr>
          <w:rtl/>
        </w:rPr>
        <w:t xml:space="preserve"> </w:t>
      </w:r>
      <w:r>
        <w:rPr>
          <w:rFonts w:hint="eastAsia"/>
          <w:rtl/>
        </w:rPr>
        <w:t>العلمية</w:t>
      </w:r>
      <w:r w:rsidRPr="00591A13">
        <w:rPr>
          <w:rtl/>
        </w:rPr>
        <w:t>.</w:t>
      </w:r>
    </w:p>
    <w:p w:rsidR="005F44B2" w:rsidRPr="00591A13" w:rsidRDefault="005F44B2" w:rsidP="00EB5E88">
      <w:pPr>
        <w:pStyle w:val="Subtitle"/>
        <w:numPr>
          <w:ilvl w:val="0"/>
          <w:numId w:val="46"/>
        </w:numPr>
        <w:spacing w:line="259" w:lineRule="auto"/>
        <w:jc w:val="both"/>
      </w:pPr>
      <w:r w:rsidRPr="00591A13">
        <w:rPr>
          <w:rFonts w:hint="eastAsia"/>
          <w:rtl/>
        </w:rPr>
        <w:t>الرازي،</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عمر</w:t>
      </w:r>
      <w:r w:rsidRPr="00591A13">
        <w:rPr>
          <w:rtl/>
        </w:rPr>
        <w:t xml:space="preserve"> </w:t>
      </w:r>
      <w:r w:rsidRPr="00591A13">
        <w:rPr>
          <w:rFonts w:hint="eastAsia"/>
          <w:rtl/>
        </w:rPr>
        <w:t>بن</w:t>
      </w:r>
      <w:r w:rsidRPr="00591A13">
        <w:rPr>
          <w:rtl/>
        </w:rPr>
        <w:t xml:space="preserve"> </w:t>
      </w:r>
      <w:r w:rsidRPr="00591A13">
        <w:rPr>
          <w:rFonts w:hint="eastAsia"/>
          <w:rtl/>
        </w:rPr>
        <w:t>الحسن</w:t>
      </w:r>
      <w:r w:rsidRPr="00591A13">
        <w:rPr>
          <w:rtl/>
        </w:rPr>
        <w:t xml:space="preserve"> </w:t>
      </w:r>
      <w:r w:rsidRPr="00591A13">
        <w:rPr>
          <w:rFonts w:hint="eastAsia"/>
          <w:rtl/>
        </w:rPr>
        <w:t>بن</w:t>
      </w:r>
      <w:r w:rsidRPr="00591A13">
        <w:rPr>
          <w:rtl/>
        </w:rPr>
        <w:t xml:space="preserve"> </w:t>
      </w:r>
      <w:r w:rsidRPr="00591A13">
        <w:rPr>
          <w:rFonts w:hint="eastAsia"/>
          <w:rtl/>
        </w:rPr>
        <w:t>الحسين</w:t>
      </w:r>
      <w:r w:rsidRPr="00591A13">
        <w:rPr>
          <w:rtl/>
        </w:rPr>
        <w:t xml:space="preserve"> </w:t>
      </w:r>
      <w:r w:rsidRPr="00591A13">
        <w:rPr>
          <w:rFonts w:hint="eastAsia"/>
          <w:rtl/>
        </w:rPr>
        <w:t>التيمي</w:t>
      </w:r>
      <w:r w:rsidRPr="00591A13">
        <w:rPr>
          <w:rtl/>
        </w:rPr>
        <w:t xml:space="preserve"> </w:t>
      </w:r>
      <w:r w:rsidRPr="00591A13">
        <w:rPr>
          <w:rFonts w:hint="eastAsia"/>
          <w:rtl/>
        </w:rPr>
        <w:t>الرازي</w:t>
      </w:r>
      <w:r w:rsidRPr="00591A13">
        <w:rPr>
          <w:rtl/>
        </w:rPr>
        <w:t xml:space="preserve"> </w:t>
      </w:r>
      <w:r w:rsidRPr="00591A13">
        <w:rPr>
          <w:rFonts w:hint="eastAsia"/>
          <w:rtl/>
        </w:rPr>
        <w:t>الملقب</w:t>
      </w:r>
      <w:r w:rsidRPr="00591A13">
        <w:rPr>
          <w:rtl/>
        </w:rPr>
        <w:t xml:space="preserve"> </w:t>
      </w:r>
      <w:r w:rsidRPr="00591A13">
        <w:rPr>
          <w:rFonts w:hint="eastAsia"/>
          <w:rtl/>
        </w:rPr>
        <w:t>بفخر</w:t>
      </w:r>
      <w:r w:rsidRPr="00591A13">
        <w:rPr>
          <w:rtl/>
        </w:rPr>
        <w:t xml:space="preserve"> </w:t>
      </w:r>
      <w:r w:rsidRPr="00591A13">
        <w:rPr>
          <w:rFonts w:hint="eastAsia"/>
          <w:rtl/>
        </w:rPr>
        <w:t>الدين</w:t>
      </w:r>
      <w:r w:rsidRPr="00591A13">
        <w:rPr>
          <w:rtl/>
        </w:rPr>
        <w:t xml:space="preserve"> </w:t>
      </w:r>
      <w:r w:rsidRPr="00591A13">
        <w:rPr>
          <w:rFonts w:hint="eastAsia"/>
          <w:rtl/>
        </w:rPr>
        <w:t>الرازي</w:t>
      </w:r>
      <w:r w:rsidRPr="00591A13">
        <w:rPr>
          <w:rtl/>
        </w:rPr>
        <w:t xml:space="preserve"> </w:t>
      </w:r>
      <w:r w:rsidRPr="00591A13">
        <w:rPr>
          <w:rFonts w:hint="eastAsia"/>
          <w:rtl/>
        </w:rPr>
        <w:t>خطيب</w:t>
      </w:r>
      <w:r w:rsidRPr="00591A13">
        <w:rPr>
          <w:rtl/>
        </w:rPr>
        <w:t xml:space="preserve"> </w:t>
      </w:r>
      <w:r w:rsidRPr="00591A13">
        <w:rPr>
          <w:rFonts w:hint="eastAsia"/>
          <w:rtl/>
        </w:rPr>
        <w:t>الري</w:t>
      </w:r>
      <w:r w:rsidRPr="00591A13">
        <w:rPr>
          <w:rtl/>
        </w:rPr>
        <w:t xml:space="preserve"> (</w:t>
      </w:r>
      <w:r w:rsidRPr="00591A13">
        <w:rPr>
          <w:rFonts w:hint="eastAsia"/>
          <w:rtl/>
        </w:rPr>
        <w:t>ت</w:t>
      </w:r>
      <w:r w:rsidRPr="00591A13">
        <w:rPr>
          <w:rtl/>
        </w:rPr>
        <w:t xml:space="preserve"> 606</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المحصول</w:t>
      </w:r>
      <w:r w:rsidRPr="00591A13">
        <w:rPr>
          <w:rFonts w:hint="eastAsia"/>
          <w:rtl/>
        </w:rPr>
        <w:t>،</w:t>
      </w:r>
      <w:r w:rsidRPr="00591A13">
        <w:rPr>
          <w:rtl/>
        </w:rPr>
        <w:t xml:space="preserve"> </w:t>
      </w:r>
      <w:r w:rsidRPr="00591A13">
        <w:rPr>
          <w:rFonts w:hint="eastAsia"/>
          <w:rtl/>
        </w:rPr>
        <w:t>ط</w:t>
      </w:r>
      <w:r w:rsidRPr="00591A13">
        <w:rPr>
          <w:rtl/>
        </w:rPr>
        <w:t>3</w:t>
      </w:r>
      <w:r w:rsidRPr="00591A13">
        <w:rPr>
          <w:rFonts w:hint="eastAsia"/>
          <w:rtl/>
        </w:rPr>
        <w:t>،</w:t>
      </w:r>
      <w:r w:rsidRPr="00591A13">
        <w:rPr>
          <w:rtl/>
        </w:rPr>
        <w:t xml:space="preserve"> (</w:t>
      </w:r>
      <w:r w:rsidRPr="00591A13">
        <w:rPr>
          <w:rFonts w:hint="eastAsia"/>
          <w:rtl/>
        </w:rPr>
        <w:t>دراسة</w:t>
      </w:r>
      <w:r w:rsidRPr="00591A13">
        <w:rPr>
          <w:rtl/>
        </w:rPr>
        <w:t xml:space="preserve"> </w:t>
      </w:r>
      <w:r w:rsidRPr="00591A13">
        <w:rPr>
          <w:rFonts w:hint="eastAsia"/>
          <w:rtl/>
        </w:rPr>
        <w:t>وتحقيق</w:t>
      </w:r>
      <w:r w:rsidRPr="00591A13">
        <w:rPr>
          <w:rtl/>
        </w:rPr>
        <w:t xml:space="preserve">: </w:t>
      </w:r>
      <w:r w:rsidRPr="00591A13">
        <w:rPr>
          <w:rFonts w:hint="eastAsia"/>
          <w:rtl/>
        </w:rPr>
        <w:t>الدكتور</w:t>
      </w:r>
      <w:r w:rsidRPr="00591A13">
        <w:rPr>
          <w:rtl/>
        </w:rPr>
        <w:t xml:space="preserve"> </w:t>
      </w:r>
      <w:r w:rsidRPr="00591A13">
        <w:rPr>
          <w:rFonts w:hint="eastAsia"/>
          <w:rtl/>
        </w:rPr>
        <w:t>طه</w:t>
      </w:r>
      <w:r w:rsidRPr="00591A13">
        <w:rPr>
          <w:rtl/>
        </w:rPr>
        <w:t xml:space="preserve"> </w:t>
      </w:r>
      <w:r w:rsidRPr="00591A13">
        <w:rPr>
          <w:rFonts w:hint="eastAsia"/>
          <w:rtl/>
        </w:rPr>
        <w:t>جابر</w:t>
      </w:r>
      <w:r w:rsidRPr="00591A13">
        <w:rPr>
          <w:rtl/>
        </w:rPr>
        <w:t xml:space="preserve"> </w:t>
      </w:r>
      <w:r w:rsidRPr="00591A13">
        <w:rPr>
          <w:rFonts w:hint="eastAsia"/>
          <w:rtl/>
        </w:rPr>
        <w:t>فياض</w:t>
      </w:r>
      <w:r w:rsidRPr="00591A13">
        <w:rPr>
          <w:rtl/>
        </w:rPr>
        <w:t xml:space="preserve"> </w:t>
      </w:r>
      <w:r w:rsidRPr="00591A13">
        <w:rPr>
          <w:rFonts w:hint="eastAsia"/>
          <w:rtl/>
        </w:rPr>
        <w:t>العلواني</w:t>
      </w:r>
      <w:r w:rsidRPr="00591A13">
        <w:rPr>
          <w:rtl/>
        </w:rPr>
        <w:t>)</w:t>
      </w:r>
      <w:r w:rsidRPr="00591A13">
        <w:rPr>
          <w:rFonts w:hint="eastAsia"/>
          <w:rtl/>
        </w:rPr>
        <w:t>،</w:t>
      </w:r>
      <w:r w:rsidRPr="00591A13">
        <w:rPr>
          <w:rtl/>
        </w:rPr>
        <w:t xml:space="preserve"> </w:t>
      </w:r>
      <w:r w:rsidRPr="00591A13">
        <w:rPr>
          <w:rFonts w:hint="eastAsia"/>
          <w:rtl/>
        </w:rPr>
        <w:t>مؤسسة</w:t>
      </w:r>
      <w:r w:rsidRPr="00591A13">
        <w:rPr>
          <w:rtl/>
        </w:rPr>
        <w:t xml:space="preserve"> </w:t>
      </w:r>
      <w:r w:rsidRPr="00591A13">
        <w:rPr>
          <w:rFonts w:hint="eastAsia"/>
          <w:rtl/>
        </w:rPr>
        <w:t>الرسالة،</w:t>
      </w:r>
      <w:r w:rsidRPr="00591A13">
        <w:rPr>
          <w:rtl/>
        </w:rPr>
        <w:t xml:space="preserve"> 1997</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رشد،</w:t>
      </w:r>
      <w:r w:rsidRPr="00591A13">
        <w:rPr>
          <w:rtl/>
        </w:rPr>
        <w:t xml:space="preserve"> </w:t>
      </w:r>
      <w:r w:rsidRPr="00591A13">
        <w:rPr>
          <w:rFonts w:hint="eastAsia"/>
          <w:rtl/>
        </w:rPr>
        <w:t>أبو</w:t>
      </w:r>
      <w:r w:rsidRPr="00591A13">
        <w:rPr>
          <w:rtl/>
        </w:rPr>
        <w:t xml:space="preserve"> </w:t>
      </w:r>
      <w:r w:rsidRPr="00591A13">
        <w:rPr>
          <w:rFonts w:hint="eastAsia"/>
          <w:rtl/>
        </w:rPr>
        <w:t>الوليد</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رشد</w:t>
      </w:r>
      <w:r w:rsidRPr="00591A13">
        <w:rPr>
          <w:rtl/>
        </w:rPr>
        <w:t xml:space="preserve"> </w:t>
      </w:r>
      <w:r w:rsidRPr="00591A13">
        <w:rPr>
          <w:rFonts w:hint="eastAsia"/>
          <w:rtl/>
        </w:rPr>
        <w:t>القرطبي</w:t>
      </w:r>
      <w:r w:rsidRPr="00591A13">
        <w:rPr>
          <w:rtl/>
        </w:rPr>
        <w:t xml:space="preserve"> </w:t>
      </w:r>
      <w:r w:rsidRPr="00591A13">
        <w:rPr>
          <w:rFonts w:hint="eastAsia"/>
          <w:rtl/>
        </w:rPr>
        <w:t>الشهير</w:t>
      </w:r>
      <w:r w:rsidRPr="00591A13">
        <w:rPr>
          <w:rtl/>
        </w:rPr>
        <w:t xml:space="preserve"> </w:t>
      </w:r>
      <w:r w:rsidRPr="00591A13">
        <w:rPr>
          <w:rFonts w:hint="eastAsia"/>
          <w:rtl/>
        </w:rPr>
        <w:t>بابن</w:t>
      </w:r>
      <w:r w:rsidRPr="00591A13">
        <w:rPr>
          <w:rtl/>
        </w:rPr>
        <w:t xml:space="preserve"> </w:t>
      </w:r>
      <w:r w:rsidRPr="00591A13">
        <w:rPr>
          <w:rFonts w:hint="eastAsia"/>
          <w:rtl/>
        </w:rPr>
        <w:t>رشد</w:t>
      </w:r>
      <w:r w:rsidRPr="00591A13">
        <w:rPr>
          <w:rtl/>
        </w:rPr>
        <w:t xml:space="preserve"> </w:t>
      </w:r>
      <w:r w:rsidRPr="00591A13">
        <w:rPr>
          <w:rFonts w:hint="eastAsia"/>
          <w:rtl/>
        </w:rPr>
        <w:t>الحفيد</w:t>
      </w:r>
      <w:r w:rsidRPr="00591A13">
        <w:rPr>
          <w:rtl/>
        </w:rPr>
        <w:t xml:space="preserve"> (</w:t>
      </w:r>
      <w:r w:rsidRPr="00591A13">
        <w:rPr>
          <w:rFonts w:hint="eastAsia"/>
          <w:rtl/>
        </w:rPr>
        <w:t>ت</w:t>
      </w:r>
      <w:r w:rsidRPr="00591A13">
        <w:rPr>
          <w:rtl/>
        </w:rPr>
        <w:t xml:space="preserve"> 595</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بداية</w:t>
      </w:r>
      <w:r w:rsidRPr="00591A13">
        <w:rPr>
          <w:b/>
          <w:bCs/>
          <w:rtl/>
        </w:rPr>
        <w:t xml:space="preserve"> </w:t>
      </w:r>
      <w:r w:rsidRPr="00591A13">
        <w:rPr>
          <w:rFonts w:hint="eastAsia"/>
          <w:b/>
          <w:bCs/>
          <w:rtl/>
        </w:rPr>
        <w:t>المجتهد</w:t>
      </w:r>
      <w:r w:rsidRPr="00591A13">
        <w:rPr>
          <w:b/>
          <w:bCs/>
          <w:rtl/>
        </w:rPr>
        <w:t xml:space="preserve"> </w:t>
      </w:r>
      <w:r w:rsidRPr="00591A13">
        <w:rPr>
          <w:rFonts w:hint="eastAsia"/>
          <w:b/>
          <w:bCs/>
          <w:rtl/>
        </w:rPr>
        <w:t>ونهاية</w:t>
      </w:r>
      <w:r w:rsidRPr="00591A13">
        <w:rPr>
          <w:b/>
          <w:bCs/>
          <w:rtl/>
        </w:rPr>
        <w:t xml:space="preserve"> </w:t>
      </w:r>
      <w:r w:rsidRPr="00591A13">
        <w:rPr>
          <w:rFonts w:hint="eastAsia"/>
          <w:b/>
          <w:bCs/>
          <w:rtl/>
        </w:rPr>
        <w:t>المقتصد</w:t>
      </w:r>
      <w:r>
        <w:rPr>
          <w:rFonts w:hint="eastAsia"/>
          <w:rtl/>
        </w:rPr>
        <w:t>،</w:t>
      </w:r>
      <w:r w:rsidRPr="00591A13">
        <w:rPr>
          <w:rtl/>
        </w:rPr>
        <w:t>4</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الحديث،</w:t>
      </w:r>
      <w:r w:rsidRPr="00591A13">
        <w:rPr>
          <w:rtl/>
        </w:rPr>
        <w:t xml:space="preserve"> </w:t>
      </w:r>
      <w:r w:rsidRPr="00591A13">
        <w:rPr>
          <w:rFonts w:hint="eastAsia"/>
          <w:rtl/>
        </w:rPr>
        <w:t>القاهرة،</w:t>
      </w:r>
      <w:r w:rsidRPr="00591A13">
        <w:rPr>
          <w:rtl/>
        </w:rPr>
        <w:t xml:space="preserve"> 1425</w:t>
      </w:r>
      <w:r w:rsidRPr="00591A13">
        <w:rPr>
          <w:rFonts w:hint="eastAsia"/>
          <w:rtl/>
        </w:rPr>
        <w:t>هـ</w:t>
      </w:r>
      <w:r w:rsidRPr="00591A13">
        <w:rPr>
          <w:rtl/>
        </w:rPr>
        <w:t xml:space="preserve"> / 2004 </w:t>
      </w:r>
      <w:r w:rsidRPr="00591A13">
        <w:rPr>
          <w:rFonts w:hint="eastAsia"/>
          <w:rtl/>
        </w:rPr>
        <w:t>م</w:t>
      </w:r>
      <w:r w:rsidRPr="00591A13">
        <w:rPr>
          <w:rtl/>
        </w:rPr>
        <w:t>.</w:t>
      </w:r>
    </w:p>
    <w:p w:rsidR="005F44B2" w:rsidRPr="00591A13" w:rsidRDefault="005F44B2" w:rsidP="00F51C24">
      <w:pPr>
        <w:pStyle w:val="Subtitle"/>
        <w:numPr>
          <w:ilvl w:val="0"/>
          <w:numId w:val="46"/>
        </w:numPr>
        <w:spacing w:line="259" w:lineRule="auto"/>
        <w:jc w:val="both"/>
      </w:pPr>
      <w:r w:rsidRPr="00591A13">
        <w:rPr>
          <w:rFonts w:hint="eastAsia"/>
          <w:rtl/>
        </w:rPr>
        <w:t>الرفاعي،</w:t>
      </w:r>
      <w:r w:rsidRPr="00591A13">
        <w:rPr>
          <w:rtl/>
        </w:rPr>
        <w:t xml:space="preserve"> </w:t>
      </w:r>
      <w:r w:rsidRPr="00591A13">
        <w:rPr>
          <w:rFonts w:hint="eastAsia"/>
          <w:rtl/>
        </w:rPr>
        <w:t>جميلة</w:t>
      </w:r>
      <w:r w:rsidRPr="00591A13">
        <w:rPr>
          <w:rtl/>
        </w:rPr>
        <w:t xml:space="preserve"> </w:t>
      </w:r>
      <w:r w:rsidRPr="00591A13">
        <w:rPr>
          <w:rFonts w:hint="eastAsia"/>
          <w:rtl/>
        </w:rPr>
        <w:t>عبد</w:t>
      </w:r>
      <w:r w:rsidRPr="00591A13">
        <w:rPr>
          <w:rtl/>
        </w:rPr>
        <w:t xml:space="preserve"> </w:t>
      </w:r>
      <w:r w:rsidRPr="00591A13">
        <w:rPr>
          <w:rFonts w:hint="eastAsia"/>
          <w:rtl/>
        </w:rPr>
        <w:t>القادر</w:t>
      </w:r>
      <w:r w:rsidRPr="00591A13">
        <w:rPr>
          <w:rtl/>
        </w:rPr>
        <w:t xml:space="preserve"> </w:t>
      </w:r>
      <w:r w:rsidRPr="00591A13">
        <w:rPr>
          <w:rFonts w:hint="eastAsia"/>
          <w:rtl/>
        </w:rPr>
        <w:t>شعبان</w:t>
      </w:r>
      <w:r>
        <w:rPr>
          <w:rtl/>
        </w:rPr>
        <w:t xml:space="preserve"> (</w:t>
      </w:r>
      <w:r w:rsidRPr="00591A13">
        <w:rPr>
          <w:rtl/>
        </w:rPr>
        <w:t>2004</w:t>
      </w:r>
      <w:r w:rsidRPr="00591A13">
        <w:rPr>
          <w:rFonts w:hint="eastAsia"/>
          <w:rtl/>
        </w:rPr>
        <w:t>م</w:t>
      </w:r>
      <w:r>
        <w:rPr>
          <w:rtl/>
        </w:rPr>
        <w:t>)</w:t>
      </w:r>
      <w:r w:rsidRPr="00591A13">
        <w:rPr>
          <w:rFonts w:hint="eastAsia"/>
          <w:rtl/>
        </w:rPr>
        <w:t>،</w:t>
      </w:r>
      <w:r w:rsidRPr="00591A13">
        <w:rPr>
          <w:rtl/>
        </w:rPr>
        <w:t xml:space="preserve"> </w:t>
      </w:r>
      <w:r w:rsidRPr="00591A13">
        <w:rPr>
          <w:b/>
          <w:bCs/>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عند</w:t>
      </w:r>
      <w:r w:rsidRPr="00591A13">
        <w:rPr>
          <w:b/>
          <w:bCs/>
          <w:rtl/>
        </w:rPr>
        <w:t xml:space="preserve"> </w:t>
      </w:r>
      <w:r w:rsidRPr="00591A13">
        <w:rPr>
          <w:rFonts w:hint="eastAsia"/>
          <w:b/>
          <w:bCs/>
          <w:rtl/>
        </w:rPr>
        <w:t>الإمام</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قيّم</w:t>
      </w:r>
      <w:r w:rsidRPr="00591A13">
        <w:rPr>
          <w:b/>
          <w:bCs/>
          <w:rtl/>
        </w:rPr>
        <w:t xml:space="preserve"> </w:t>
      </w:r>
      <w:r w:rsidRPr="00591A13">
        <w:rPr>
          <w:rFonts w:hint="eastAsia"/>
          <w:b/>
          <w:bCs/>
          <w:rtl/>
        </w:rPr>
        <w:t>الجوزية</w:t>
      </w:r>
      <w:r>
        <w:rPr>
          <w:rFonts w:hint="eastAsia"/>
          <w:rtl/>
        </w:rPr>
        <w:t>،</w:t>
      </w:r>
      <w:r>
        <w:rPr>
          <w:rtl/>
        </w:rPr>
        <w:t xml:space="preserve"> </w:t>
      </w:r>
      <w:r>
        <w:rPr>
          <w:rFonts w:hint="eastAsia"/>
          <w:rtl/>
        </w:rPr>
        <w:t>ط</w:t>
      </w:r>
      <w:r>
        <w:rPr>
          <w:rtl/>
        </w:rPr>
        <w:t>1</w:t>
      </w:r>
      <w:r>
        <w:rPr>
          <w:rFonts w:hint="eastAsia"/>
          <w:rtl/>
        </w:rPr>
        <w:t>،</w:t>
      </w:r>
      <w:r>
        <w:rPr>
          <w:rtl/>
        </w:rPr>
        <w:t xml:space="preserve"> </w:t>
      </w:r>
      <w:r>
        <w:rPr>
          <w:rFonts w:hint="eastAsia"/>
          <w:rtl/>
        </w:rPr>
        <w:t>عمان،</w:t>
      </w:r>
      <w:r>
        <w:rPr>
          <w:rtl/>
        </w:rPr>
        <w:t xml:space="preserve"> </w:t>
      </w:r>
      <w:r>
        <w:rPr>
          <w:rFonts w:hint="eastAsia"/>
          <w:rtl/>
        </w:rPr>
        <w:t>دار</w:t>
      </w:r>
      <w:r>
        <w:rPr>
          <w:rtl/>
        </w:rPr>
        <w:t xml:space="preserve"> </w:t>
      </w:r>
      <w:r>
        <w:rPr>
          <w:rFonts w:hint="eastAsia"/>
          <w:rtl/>
        </w:rPr>
        <w:t>الفرقان</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الرملي،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العباس</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حمزة</w:t>
      </w:r>
      <w:r w:rsidRPr="00591A13">
        <w:rPr>
          <w:rtl/>
        </w:rPr>
        <w:t xml:space="preserve"> </w:t>
      </w:r>
      <w:r w:rsidRPr="00591A13">
        <w:rPr>
          <w:rFonts w:hint="eastAsia"/>
          <w:rtl/>
        </w:rPr>
        <w:t>شهاب</w:t>
      </w:r>
      <w:r w:rsidRPr="00591A13">
        <w:rPr>
          <w:rtl/>
        </w:rPr>
        <w:t xml:space="preserve"> </w:t>
      </w:r>
      <w:r w:rsidRPr="00591A13">
        <w:rPr>
          <w:rFonts w:hint="eastAsia"/>
          <w:rtl/>
        </w:rPr>
        <w:t>الدين</w:t>
      </w:r>
      <w:r w:rsidRPr="00591A13">
        <w:rPr>
          <w:rtl/>
        </w:rPr>
        <w:t xml:space="preserve"> </w:t>
      </w:r>
      <w:r w:rsidRPr="00591A13">
        <w:rPr>
          <w:rFonts w:hint="eastAsia"/>
          <w:rtl/>
        </w:rPr>
        <w:t>الرملي</w:t>
      </w:r>
      <w:r w:rsidRPr="00591A13">
        <w:rPr>
          <w:rtl/>
        </w:rPr>
        <w:t xml:space="preserve"> (</w:t>
      </w:r>
      <w:r w:rsidRPr="00591A13">
        <w:rPr>
          <w:rFonts w:hint="eastAsia"/>
          <w:rtl/>
        </w:rPr>
        <w:t>ت</w:t>
      </w:r>
      <w:r w:rsidRPr="00591A13">
        <w:rPr>
          <w:rtl/>
        </w:rPr>
        <w:t xml:space="preserve"> 1004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نهاية</w:t>
      </w:r>
      <w:r w:rsidRPr="00591A13">
        <w:rPr>
          <w:b/>
          <w:bCs/>
          <w:rtl/>
        </w:rPr>
        <w:t xml:space="preserve"> </w:t>
      </w:r>
      <w:r w:rsidRPr="00591A13">
        <w:rPr>
          <w:rFonts w:hint="eastAsia"/>
          <w:b/>
          <w:bCs/>
          <w:rtl/>
        </w:rPr>
        <w:t>المحتاج</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المنهاج</w:t>
      </w:r>
      <w:r w:rsidRPr="00591A13">
        <w:rPr>
          <w:rFonts w:hint="eastAsia"/>
          <w:rtl/>
        </w:rPr>
        <w:t>،</w:t>
      </w:r>
      <w:r w:rsidRPr="00591A13">
        <w:rPr>
          <w:rtl/>
        </w:rPr>
        <w:t xml:space="preserve"> </w:t>
      </w:r>
      <w:r w:rsidRPr="00591A13">
        <w:rPr>
          <w:rFonts w:hint="eastAsia"/>
          <w:rtl/>
        </w:rPr>
        <w:t>طبعة</w:t>
      </w:r>
      <w:r w:rsidRPr="00591A13">
        <w:rPr>
          <w:rtl/>
        </w:rPr>
        <w:t xml:space="preserve"> </w:t>
      </w:r>
      <w:r w:rsidRPr="00591A13">
        <w:rPr>
          <w:rFonts w:hint="eastAsia"/>
          <w:rtl/>
        </w:rPr>
        <w:t>أخيرة،</w:t>
      </w:r>
      <w:r w:rsidRPr="00591A13">
        <w:rPr>
          <w:rtl/>
        </w:rPr>
        <w:t xml:space="preserve"> 8</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w:t>
      </w:r>
      <w:r w:rsidRPr="00591A13">
        <w:rPr>
          <w:rFonts w:hint="eastAsia"/>
          <w:rtl/>
        </w:rPr>
        <w:t>بيروت،</w:t>
      </w:r>
      <w:r w:rsidRPr="00591A13">
        <w:rPr>
          <w:rtl/>
        </w:rPr>
        <w:t xml:space="preserve"> 1984</w:t>
      </w:r>
      <w:r w:rsidRPr="00591A13">
        <w:rPr>
          <w:rFonts w:hint="eastAsia"/>
          <w:rtl/>
        </w:rPr>
        <w:t>م</w:t>
      </w:r>
      <w:r w:rsidRPr="00591A13">
        <w:rPr>
          <w:rtl/>
        </w:rPr>
        <w:t>.</w:t>
      </w:r>
    </w:p>
    <w:p w:rsidR="005F44B2" w:rsidRDefault="005F44B2" w:rsidP="002D740D">
      <w:pPr>
        <w:pStyle w:val="Subtitle"/>
        <w:numPr>
          <w:ilvl w:val="0"/>
          <w:numId w:val="46"/>
        </w:numPr>
        <w:spacing w:line="259" w:lineRule="auto"/>
        <w:jc w:val="both"/>
      </w:pPr>
      <w:r>
        <w:rPr>
          <w:rFonts w:hint="eastAsia"/>
          <w:rtl/>
        </w:rPr>
        <w:t>الزبيدي،</w:t>
      </w:r>
      <w:r>
        <w:rPr>
          <w:rtl/>
        </w:rPr>
        <w:t xml:space="preserve"> </w:t>
      </w:r>
      <w:r w:rsidRPr="00C02C6D">
        <w:rPr>
          <w:rFonts w:hint="eastAsia"/>
          <w:rtl/>
        </w:rPr>
        <w:t>أبو</w:t>
      </w:r>
      <w:r w:rsidRPr="00C02C6D">
        <w:rPr>
          <w:rtl/>
        </w:rPr>
        <w:t xml:space="preserve"> </w:t>
      </w:r>
      <w:r w:rsidRPr="00C02C6D">
        <w:rPr>
          <w:rFonts w:hint="eastAsia"/>
          <w:rtl/>
        </w:rPr>
        <w:t>بكر</w:t>
      </w:r>
      <w:r w:rsidRPr="00C02C6D">
        <w:rPr>
          <w:rtl/>
        </w:rPr>
        <w:t xml:space="preserve"> </w:t>
      </w:r>
      <w:r w:rsidRPr="00C02C6D">
        <w:rPr>
          <w:rFonts w:hint="eastAsia"/>
          <w:rtl/>
        </w:rPr>
        <w:t>بن</w:t>
      </w:r>
      <w:r w:rsidRPr="00C02C6D">
        <w:rPr>
          <w:rtl/>
        </w:rPr>
        <w:t xml:space="preserve"> </w:t>
      </w:r>
      <w:r w:rsidRPr="00C02C6D">
        <w:rPr>
          <w:rFonts w:hint="eastAsia"/>
          <w:rtl/>
        </w:rPr>
        <w:t>علي</w:t>
      </w:r>
      <w:r w:rsidRPr="00C02C6D">
        <w:rPr>
          <w:rtl/>
        </w:rPr>
        <w:t xml:space="preserve"> </w:t>
      </w:r>
      <w:r w:rsidRPr="00C02C6D">
        <w:rPr>
          <w:rFonts w:hint="eastAsia"/>
          <w:rtl/>
        </w:rPr>
        <w:t>بن</w:t>
      </w:r>
      <w:r w:rsidRPr="00C02C6D">
        <w:rPr>
          <w:rtl/>
        </w:rPr>
        <w:t xml:space="preserve"> </w:t>
      </w:r>
      <w:r w:rsidRPr="00C02C6D">
        <w:rPr>
          <w:rFonts w:hint="eastAsia"/>
          <w:rtl/>
        </w:rPr>
        <w:t>محمد</w:t>
      </w:r>
      <w:r w:rsidRPr="00C02C6D">
        <w:rPr>
          <w:rtl/>
        </w:rPr>
        <w:t xml:space="preserve"> </w:t>
      </w:r>
      <w:r w:rsidRPr="00C02C6D">
        <w:rPr>
          <w:rFonts w:hint="eastAsia"/>
          <w:rtl/>
        </w:rPr>
        <w:t>الحدادي</w:t>
      </w:r>
      <w:r w:rsidRPr="00C02C6D">
        <w:rPr>
          <w:rtl/>
        </w:rPr>
        <w:t xml:space="preserve"> </w:t>
      </w:r>
      <w:r w:rsidRPr="00C02C6D">
        <w:rPr>
          <w:rFonts w:hint="eastAsia"/>
          <w:rtl/>
        </w:rPr>
        <w:t>العبادي</w:t>
      </w:r>
      <w:r w:rsidRPr="00C02C6D">
        <w:rPr>
          <w:rtl/>
        </w:rPr>
        <w:t xml:space="preserve"> </w:t>
      </w:r>
      <w:r w:rsidRPr="00C02C6D">
        <w:rPr>
          <w:rFonts w:hint="eastAsia"/>
          <w:rtl/>
        </w:rPr>
        <w:t>الزَّبِيدِيّ</w:t>
      </w:r>
      <w:r w:rsidRPr="00C02C6D">
        <w:rPr>
          <w:rtl/>
        </w:rPr>
        <w:t xml:space="preserve"> </w:t>
      </w:r>
      <w:r w:rsidRPr="00C02C6D">
        <w:rPr>
          <w:rFonts w:hint="eastAsia"/>
          <w:rtl/>
        </w:rPr>
        <w:t>اليمني</w:t>
      </w:r>
      <w:r w:rsidRPr="00C02C6D">
        <w:rPr>
          <w:rtl/>
        </w:rPr>
        <w:t xml:space="preserve"> </w:t>
      </w:r>
      <w:r w:rsidRPr="00C02C6D">
        <w:rPr>
          <w:rFonts w:hint="eastAsia"/>
          <w:rtl/>
        </w:rPr>
        <w:t>الحنفي</w:t>
      </w:r>
      <w:r w:rsidRPr="00C02C6D">
        <w:rPr>
          <w:rtl/>
        </w:rPr>
        <w:t xml:space="preserve"> (</w:t>
      </w:r>
      <w:r>
        <w:rPr>
          <w:rFonts w:hint="eastAsia"/>
          <w:rtl/>
        </w:rPr>
        <w:t>ت</w:t>
      </w:r>
      <w:r w:rsidRPr="00C02C6D">
        <w:rPr>
          <w:rtl/>
        </w:rPr>
        <w:t xml:space="preserve"> 800</w:t>
      </w:r>
      <w:r w:rsidRPr="00C02C6D">
        <w:rPr>
          <w:rFonts w:hint="eastAsia"/>
          <w:rtl/>
        </w:rPr>
        <w:t>هـ</w:t>
      </w:r>
      <w:r w:rsidRPr="00C02C6D">
        <w:rPr>
          <w:rtl/>
        </w:rPr>
        <w:t>)</w:t>
      </w:r>
      <w:r>
        <w:rPr>
          <w:rFonts w:hint="eastAsia"/>
          <w:rtl/>
        </w:rPr>
        <w:t>،</w:t>
      </w:r>
      <w:r>
        <w:rPr>
          <w:rtl/>
        </w:rPr>
        <w:t xml:space="preserve"> </w:t>
      </w:r>
      <w:r w:rsidRPr="00C02C6D">
        <w:rPr>
          <w:rFonts w:hint="eastAsia"/>
          <w:b/>
          <w:bCs/>
          <w:rtl/>
        </w:rPr>
        <w:t>الجوهرة</w:t>
      </w:r>
      <w:r w:rsidRPr="00C02C6D">
        <w:rPr>
          <w:b/>
          <w:bCs/>
          <w:rtl/>
        </w:rPr>
        <w:t xml:space="preserve"> </w:t>
      </w:r>
      <w:r w:rsidRPr="00C02C6D">
        <w:rPr>
          <w:rFonts w:hint="eastAsia"/>
          <w:b/>
          <w:bCs/>
          <w:rtl/>
        </w:rPr>
        <w:t>النيرة</w:t>
      </w:r>
      <w:r>
        <w:rPr>
          <w:b/>
          <w:bCs/>
          <w:rtl/>
        </w:rPr>
        <w:t xml:space="preserve"> (</w:t>
      </w:r>
      <w:r>
        <w:rPr>
          <w:rFonts w:hint="eastAsia"/>
          <w:b/>
          <w:bCs/>
          <w:rtl/>
        </w:rPr>
        <w:t>على</w:t>
      </w:r>
      <w:r>
        <w:rPr>
          <w:b/>
          <w:bCs/>
          <w:rtl/>
        </w:rPr>
        <w:t xml:space="preserve"> </w:t>
      </w:r>
      <w:r>
        <w:rPr>
          <w:rFonts w:hint="eastAsia"/>
          <w:b/>
          <w:bCs/>
          <w:rtl/>
        </w:rPr>
        <w:t>مختصر</w:t>
      </w:r>
      <w:r>
        <w:rPr>
          <w:b/>
          <w:bCs/>
          <w:rtl/>
        </w:rPr>
        <w:t xml:space="preserve"> </w:t>
      </w:r>
      <w:r>
        <w:rPr>
          <w:rFonts w:hint="eastAsia"/>
          <w:b/>
          <w:bCs/>
          <w:rtl/>
        </w:rPr>
        <w:t>القدوري</w:t>
      </w:r>
      <w:r>
        <w:rPr>
          <w:b/>
          <w:bCs/>
          <w:rtl/>
        </w:rPr>
        <w:t>)</w:t>
      </w:r>
      <w:r>
        <w:rPr>
          <w:rFonts w:hint="eastAsia"/>
          <w:rtl/>
        </w:rPr>
        <w:t>،</w:t>
      </w:r>
      <w:r>
        <w:rPr>
          <w:rtl/>
        </w:rPr>
        <w:t xml:space="preserve"> </w:t>
      </w:r>
      <w:r>
        <w:rPr>
          <w:rFonts w:hint="eastAsia"/>
          <w:rtl/>
        </w:rPr>
        <w:t>ط</w:t>
      </w:r>
      <w:r>
        <w:rPr>
          <w:rtl/>
        </w:rPr>
        <w:t>1</w:t>
      </w:r>
      <w:r>
        <w:rPr>
          <w:rFonts w:hint="eastAsia"/>
          <w:rtl/>
        </w:rPr>
        <w:t>،</w:t>
      </w:r>
      <w:r>
        <w:rPr>
          <w:rtl/>
        </w:rPr>
        <w:t xml:space="preserve"> 2</w:t>
      </w:r>
      <w:r>
        <w:rPr>
          <w:rFonts w:hint="eastAsia"/>
          <w:rtl/>
        </w:rPr>
        <w:t>م،</w:t>
      </w:r>
      <w:r>
        <w:rPr>
          <w:rtl/>
        </w:rPr>
        <w:t xml:space="preserve"> </w:t>
      </w:r>
      <w:r>
        <w:rPr>
          <w:rFonts w:hint="eastAsia"/>
          <w:rtl/>
        </w:rPr>
        <w:t>المطبعة</w:t>
      </w:r>
      <w:r>
        <w:rPr>
          <w:rtl/>
        </w:rPr>
        <w:t xml:space="preserve"> </w:t>
      </w:r>
      <w:r>
        <w:rPr>
          <w:rFonts w:hint="eastAsia"/>
          <w:rtl/>
        </w:rPr>
        <w:t>الخيرية،</w:t>
      </w:r>
      <w:r>
        <w:rPr>
          <w:rtl/>
        </w:rPr>
        <w:t xml:space="preserve"> 1322</w:t>
      </w:r>
      <w:r>
        <w:rPr>
          <w:rFonts w:hint="eastAsia"/>
          <w:rtl/>
        </w:rPr>
        <w:t>هـ</w:t>
      </w:r>
      <w:r>
        <w:rPr>
          <w:rtl/>
        </w:rPr>
        <w:t>.</w:t>
      </w:r>
    </w:p>
    <w:p w:rsidR="005F44B2" w:rsidRPr="00591A13" w:rsidRDefault="005F44B2" w:rsidP="00591A13">
      <w:pPr>
        <w:pStyle w:val="Subtitle"/>
        <w:numPr>
          <w:ilvl w:val="0"/>
          <w:numId w:val="46"/>
        </w:numPr>
        <w:spacing w:line="259" w:lineRule="auto"/>
        <w:jc w:val="both"/>
      </w:pPr>
      <w:r w:rsidRPr="00591A13">
        <w:rPr>
          <w:rFonts w:hint="eastAsia"/>
          <w:rtl/>
        </w:rPr>
        <w:t>الزبيدي،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الرزّاق</w:t>
      </w:r>
      <w:r w:rsidRPr="00591A13">
        <w:rPr>
          <w:rtl/>
        </w:rPr>
        <w:t xml:space="preserve"> </w:t>
      </w:r>
      <w:r w:rsidRPr="00591A13">
        <w:rPr>
          <w:rFonts w:hint="eastAsia"/>
          <w:rtl/>
        </w:rPr>
        <w:t>الحسيني</w:t>
      </w:r>
      <w:r w:rsidRPr="00591A13">
        <w:rPr>
          <w:rtl/>
        </w:rPr>
        <w:t xml:space="preserve"> </w:t>
      </w:r>
      <w:r w:rsidRPr="00591A13">
        <w:rPr>
          <w:rFonts w:hint="eastAsia"/>
          <w:rtl/>
        </w:rPr>
        <w:t>الملقب</w:t>
      </w:r>
      <w:r w:rsidRPr="00591A13">
        <w:rPr>
          <w:rtl/>
        </w:rPr>
        <w:t xml:space="preserve"> </w:t>
      </w:r>
      <w:r w:rsidRPr="00591A13">
        <w:rPr>
          <w:rFonts w:hint="eastAsia"/>
          <w:rtl/>
        </w:rPr>
        <w:t>بمرتضى</w:t>
      </w:r>
      <w:r w:rsidRPr="00591A13">
        <w:rPr>
          <w:rtl/>
        </w:rPr>
        <w:t xml:space="preserve"> (1205</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تاج</w:t>
      </w:r>
      <w:r w:rsidRPr="00591A13">
        <w:rPr>
          <w:b/>
          <w:bCs/>
          <w:rtl/>
        </w:rPr>
        <w:t xml:space="preserve"> </w:t>
      </w:r>
      <w:r w:rsidRPr="00591A13">
        <w:rPr>
          <w:rFonts w:hint="eastAsia"/>
          <w:b/>
          <w:bCs/>
          <w:rtl/>
        </w:rPr>
        <w:t>العروس</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جواهر</w:t>
      </w:r>
      <w:r w:rsidRPr="00591A13">
        <w:rPr>
          <w:b/>
          <w:bCs/>
          <w:rtl/>
        </w:rPr>
        <w:t xml:space="preserve"> </w:t>
      </w:r>
      <w:r w:rsidRPr="00591A13">
        <w:rPr>
          <w:rFonts w:hint="eastAsia"/>
          <w:b/>
          <w:bCs/>
          <w:rtl/>
        </w:rPr>
        <w:t>القاموس</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محمود</w:t>
      </w:r>
      <w:r w:rsidRPr="00591A13">
        <w:rPr>
          <w:rtl/>
        </w:rPr>
        <w:t xml:space="preserve"> </w:t>
      </w:r>
      <w:r w:rsidRPr="00591A13">
        <w:rPr>
          <w:rFonts w:hint="eastAsia"/>
          <w:rtl/>
        </w:rPr>
        <w:t>محمد</w:t>
      </w:r>
      <w:r w:rsidRPr="00591A13">
        <w:rPr>
          <w:rtl/>
        </w:rPr>
        <w:t xml:space="preserve"> </w:t>
      </w:r>
      <w:r w:rsidRPr="00591A13">
        <w:rPr>
          <w:rFonts w:hint="eastAsia"/>
          <w:rtl/>
        </w:rPr>
        <w:t>الطناحي</w:t>
      </w:r>
      <w:r w:rsidRPr="00591A13">
        <w:rPr>
          <w:rtl/>
        </w:rPr>
        <w:t>)</w:t>
      </w:r>
      <w:r w:rsidRPr="00591A13">
        <w:rPr>
          <w:rFonts w:hint="eastAsia"/>
          <w:rtl/>
        </w:rPr>
        <w:t>،</w:t>
      </w:r>
      <w:r w:rsidRPr="00591A13">
        <w:rPr>
          <w:rtl/>
        </w:rPr>
        <w:t xml:space="preserve"> </w:t>
      </w:r>
      <w:r w:rsidRPr="00591A13">
        <w:rPr>
          <w:rFonts w:hint="eastAsia"/>
          <w:rtl/>
        </w:rPr>
        <w:t>مطبعة</w:t>
      </w:r>
      <w:r w:rsidRPr="00591A13">
        <w:rPr>
          <w:rtl/>
        </w:rPr>
        <w:t xml:space="preserve"> </w:t>
      </w:r>
      <w:r w:rsidRPr="00591A13">
        <w:rPr>
          <w:rFonts w:hint="eastAsia"/>
          <w:rtl/>
        </w:rPr>
        <w:t>حكومة</w:t>
      </w:r>
      <w:r w:rsidRPr="00591A13">
        <w:rPr>
          <w:rtl/>
        </w:rPr>
        <w:t xml:space="preserve"> </w:t>
      </w:r>
      <w:r w:rsidRPr="00591A13">
        <w:rPr>
          <w:rFonts w:hint="eastAsia"/>
          <w:rtl/>
        </w:rPr>
        <w:t>الكويت،الكويت،</w:t>
      </w:r>
      <w:r w:rsidRPr="00591A13">
        <w:rPr>
          <w:rtl/>
        </w:rPr>
        <w:t xml:space="preserve"> 2004</w:t>
      </w:r>
      <w:r w:rsidRPr="00591A13">
        <w:rPr>
          <w:rFonts w:hint="eastAsia"/>
          <w:rtl/>
        </w:rPr>
        <w:t>م</w:t>
      </w:r>
      <w:r w:rsidRPr="00591A13">
        <w:rPr>
          <w:rtl/>
        </w:rPr>
        <w:t>.</w:t>
      </w:r>
    </w:p>
    <w:p w:rsidR="005F44B2" w:rsidRPr="00591A13" w:rsidRDefault="005F44B2" w:rsidP="00B50DF4">
      <w:pPr>
        <w:pStyle w:val="Subtitle"/>
        <w:numPr>
          <w:ilvl w:val="0"/>
          <w:numId w:val="46"/>
        </w:numPr>
        <w:spacing w:line="259" w:lineRule="auto"/>
        <w:jc w:val="both"/>
      </w:pPr>
      <w:r w:rsidRPr="00591A13">
        <w:rPr>
          <w:rFonts w:hint="eastAsia"/>
          <w:rtl/>
        </w:rPr>
        <w:t>الزرقا،</w:t>
      </w:r>
      <w:r w:rsidRPr="00591A13">
        <w:rPr>
          <w:rtl/>
        </w:rPr>
        <w:t xml:space="preserve"> </w:t>
      </w:r>
      <w:r w:rsidRPr="00591A13">
        <w:rPr>
          <w:rFonts w:hint="eastAsia"/>
          <w:rtl/>
        </w:rPr>
        <w:t>مصطفى</w:t>
      </w:r>
      <w:r w:rsidRPr="00591A13">
        <w:rPr>
          <w:rtl/>
        </w:rPr>
        <w:t xml:space="preserve"> </w:t>
      </w:r>
      <w:r w:rsidRPr="00591A13">
        <w:rPr>
          <w:rFonts w:hint="eastAsia"/>
          <w:rtl/>
        </w:rPr>
        <w:t>أحكد</w:t>
      </w:r>
      <w:r w:rsidRPr="00591A13">
        <w:rPr>
          <w:rtl/>
        </w:rPr>
        <w:t xml:space="preserve"> </w:t>
      </w:r>
      <w:r w:rsidRPr="00591A13">
        <w:rPr>
          <w:rFonts w:hint="eastAsia"/>
          <w:rtl/>
        </w:rPr>
        <w:t>الزرقا</w:t>
      </w:r>
      <w:r>
        <w:rPr>
          <w:rtl/>
        </w:rPr>
        <w:t xml:space="preserve"> (</w:t>
      </w:r>
      <w:r w:rsidRPr="00591A13">
        <w:rPr>
          <w:rtl/>
        </w:rPr>
        <w:t>2004</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المدخل</w:t>
      </w:r>
      <w:r w:rsidRPr="00591A13">
        <w:rPr>
          <w:b/>
          <w:bCs/>
          <w:rtl/>
        </w:rPr>
        <w:t xml:space="preserve"> </w:t>
      </w:r>
      <w:r w:rsidRPr="00591A13">
        <w:rPr>
          <w:rFonts w:hint="eastAsia"/>
          <w:b/>
          <w:bCs/>
          <w:rtl/>
        </w:rPr>
        <w:t>الفقهي</w:t>
      </w:r>
      <w:r w:rsidRPr="00591A13">
        <w:rPr>
          <w:b/>
          <w:bCs/>
          <w:rtl/>
        </w:rPr>
        <w:t xml:space="preserve"> </w:t>
      </w:r>
      <w:r w:rsidRPr="00591A13">
        <w:rPr>
          <w:rFonts w:hint="eastAsia"/>
          <w:b/>
          <w:bCs/>
          <w:rtl/>
        </w:rPr>
        <w:t>العام</w:t>
      </w:r>
      <w:r>
        <w:rPr>
          <w:rFonts w:hint="eastAsia"/>
          <w:rtl/>
        </w:rPr>
        <w:t>،</w:t>
      </w:r>
      <w:r>
        <w:rPr>
          <w:rtl/>
        </w:rPr>
        <w:t xml:space="preserve"> </w:t>
      </w:r>
      <w:r>
        <w:rPr>
          <w:rFonts w:hint="eastAsia"/>
          <w:rtl/>
        </w:rPr>
        <w:t>ط</w:t>
      </w:r>
      <w:r>
        <w:rPr>
          <w:rtl/>
        </w:rPr>
        <w:t>2</w:t>
      </w:r>
      <w:r>
        <w:rPr>
          <w:rFonts w:hint="eastAsia"/>
          <w:rtl/>
        </w:rPr>
        <w:t>،</w:t>
      </w:r>
      <w:r>
        <w:rPr>
          <w:rtl/>
        </w:rPr>
        <w:t xml:space="preserve"> </w:t>
      </w:r>
      <w:r>
        <w:rPr>
          <w:rFonts w:hint="eastAsia"/>
          <w:rtl/>
        </w:rPr>
        <w:t>دمشق،</w:t>
      </w:r>
      <w:r>
        <w:rPr>
          <w:rtl/>
        </w:rPr>
        <w:t xml:space="preserve"> </w:t>
      </w:r>
      <w:r>
        <w:rPr>
          <w:rFonts w:hint="eastAsia"/>
          <w:rtl/>
        </w:rPr>
        <w:t>دار</w:t>
      </w:r>
      <w:r>
        <w:rPr>
          <w:rtl/>
        </w:rPr>
        <w:t xml:space="preserve"> </w:t>
      </w:r>
      <w:r>
        <w:rPr>
          <w:rFonts w:hint="eastAsia"/>
          <w:rtl/>
        </w:rPr>
        <w:t>القلم</w:t>
      </w:r>
      <w:r w:rsidRPr="00591A13">
        <w:rPr>
          <w:rtl/>
        </w:rPr>
        <w:t>.</w:t>
      </w:r>
    </w:p>
    <w:p w:rsidR="005F44B2" w:rsidRPr="00591A13" w:rsidRDefault="005F44B2" w:rsidP="0011056F">
      <w:pPr>
        <w:pStyle w:val="Subtitle"/>
        <w:numPr>
          <w:ilvl w:val="0"/>
          <w:numId w:val="46"/>
        </w:numPr>
        <w:spacing w:line="259" w:lineRule="auto"/>
        <w:jc w:val="both"/>
      </w:pPr>
      <w:r w:rsidRPr="00591A13">
        <w:rPr>
          <w:rFonts w:hint="eastAsia"/>
          <w:rtl/>
        </w:rPr>
        <w:t>الزرقاني،</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الباقي</w:t>
      </w:r>
      <w:r w:rsidRPr="00591A13">
        <w:rPr>
          <w:rtl/>
        </w:rPr>
        <w:t xml:space="preserve"> </w:t>
      </w:r>
      <w:r w:rsidRPr="00591A13">
        <w:rPr>
          <w:rFonts w:hint="eastAsia"/>
          <w:rtl/>
        </w:rPr>
        <w:t>بن</w:t>
      </w:r>
      <w:r w:rsidRPr="00591A13">
        <w:rPr>
          <w:rtl/>
        </w:rPr>
        <w:t xml:space="preserve"> </w:t>
      </w:r>
      <w:r w:rsidRPr="00591A13">
        <w:rPr>
          <w:rFonts w:hint="eastAsia"/>
          <w:rtl/>
        </w:rPr>
        <w:t>يوسف</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شهاب</w:t>
      </w:r>
      <w:r w:rsidRPr="00591A13">
        <w:rPr>
          <w:rtl/>
        </w:rPr>
        <w:t xml:space="preserve"> </w:t>
      </w:r>
      <w:r w:rsidRPr="00591A13">
        <w:rPr>
          <w:rFonts w:hint="eastAsia"/>
          <w:rtl/>
        </w:rPr>
        <w:t>الدين</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الزرقاني</w:t>
      </w:r>
      <w:r w:rsidRPr="00591A13">
        <w:rPr>
          <w:rtl/>
        </w:rPr>
        <w:t xml:space="preserve"> </w:t>
      </w:r>
      <w:r w:rsidRPr="00591A13">
        <w:rPr>
          <w:rFonts w:hint="eastAsia"/>
          <w:rtl/>
        </w:rPr>
        <w:t>المالكي</w:t>
      </w:r>
      <w:r w:rsidRPr="00591A13">
        <w:rPr>
          <w:rtl/>
        </w:rPr>
        <w:t xml:space="preserve"> (</w:t>
      </w:r>
      <w:r w:rsidRPr="00591A13">
        <w:rPr>
          <w:rFonts w:hint="eastAsia"/>
          <w:rtl/>
        </w:rPr>
        <w:t>ت</w:t>
      </w:r>
      <w:r w:rsidRPr="00591A13">
        <w:rPr>
          <w:rtl/>
        </w:rPr>
        <w:t xml:space="preserve"> 1122</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شرح</w:t>
      </w:r>
      <w:r w:rsidRPr="00591A13">
        <w:rPr>
          <w:b/>
          <w:bCs/>
          <w:rtl/>
        </w:rPr>
        <w:t xml:space="preserve"> </w:t>
      </w:r>
      <w:r w:rsidRPr="00591A13">
        <w:rPr>
          <w:rFonts w:hint="eastAsia"/>
          <w:b/>
          <w:bCs/>
          <w:rtl/>
        </w:rPr>
        <w:t>الزرقاني</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المواهب</w:t>
      </w:r>
      <w:r w:rsidRPr="00591A13">
        <w:rPr>
          <w:b/>
          <w:bCs/>
          <w:rtl/>
        </w:rPr>
        <w:t xml:space="preserve"> </w:t>
      </w:r>
      <w:r w:rsidRPr="00591A13">
        <w:rPr>
          <w:rFonts w:hint="eastAsia"/>
          <w:b/>
          <w:bCs/>
          <w:rtl/>
        </w:rPr>
        <w:t>اللدنية</w:t>
      </w:r>
      <w:r w:rsidRPr="00591A13">
        <w:rPr>
          <w:b/>
          <w:bCs/>
          <w:rtl/>
        </w:rPr>
        <w:t xml:space="preserve"> </w:t>
      </w:r>
      <w:r w:rsidRPr="00591A13">
        <w:rPr>
          <w:rFonts w:hint="eastAsia"/>
          <w:b/>
          <w:bCs/>
          <w:rtl/>
        </w:rPr>
        <w:t>بالمنح</w:t>
      </w:r>
      <w:r w:rsidRPr="00591A13">
        <w:rPr>
          <w:b/>
          <w:bCs/>
          <w:rtl/>
        </w:rPr>
        <w:t xml:space="preserve"> </w:t>
      </w:r>
      <w:r w:rsidRPr="00591A13">
        <w:rPr>
          <w:rFonts w:hint="eastAsia"/>
          <w:b/>
          <w:bCs/>
          <w:rtl/>
        </w:rPr>
        <w:t>المحمدية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12</w:t>
      </w:r>
      <w:r w:rsidRPr="00591A13">
        <w:rPr>
          <w:rFonts w:hint="eastAsia"/>
          <w:rtl/>
        </w:rPr>
        <w:t>م،</w:t>
      </w:r>
      <w:r w:rsidRPr="00591A13">
        <w:rPr>
          <w:rtl/>
        </w:rPr>
        <w:t>(</w:t>
      </w:r>
      <w:r w:rsidRPr="00591A13">
        <w:rPr>
          <w:rFonts w:hint="eastAsia"/>
          <w:rtl/>
        </w:rPr>
        <w:t>ضبطه</w:t>
      </w:r>
      <w:r w:rsidRPr="00591A13">
        <w:rPr>
          <w:rtl/>
        </w:rPr>
        <w:t xml:space="preserve"> </w:t>
      </w:r>
      <w:r w:rsidRPr="00591A13">
        <w:rPr>
          <w:rFonts w:hint="eastAsia"/>
          <w:rtl/>
        </w:rPr>
        <w:t>وصححه</w:t>
      </w:r>
      <w:r w:rsidRPr="00591A13">
        <w:rPr>
          <w:rtl/>
        </w:rPr>
        <w:t xml:space="preserve"> </w:t>
      </w:r>
      <w:r w:rsidRPr="00591A13">
        <w:rPr>
          <w:rFonts w:hint="eastAsia"/>
          <w:rtl/>
        </w:rPr>
        <w:t>محمد</w:t>
      </w:r>
      <w:r w:rsidRPr="00591A13">
        <w:rPr>
          <w:rtl/>
        </w:rPr>
        <w:t xml:space="preserve"> </w:t>
      </w:r>
      <w:r w:rsidRPr="00591A13">
        <w:rPr>
          <w:rFonts w:hint="eastAsia"/>
          <w:rtl/>
        </w:rPr>
        <w:t>عبد</w:t>
      </w:r>
      <w:r w:rsidRPr="00591A13">
        <w:rPr>
          <w:rtl/>
        </w:rPr>
        <w:t xml:space="preserve"> </w:t>
      </w:r>
      <w:r w:rsidRPr="00591A13">
        <w:rPr>
          <w:rFonts w:hint="eastAsia"/>
          <w:rtl/>
        </w:rPr>
        <w:t>العزيز</w:t>
      </w:r>
      <w:r w:rsidRPr="00591A13">
        <w:rPr>
          <w:rtl/>
        </w:rPr>
        <w:t xml:space="preserve"> </w:t>
      </w:r>
      <w:r w:rsidRPr="00591A13">
        <w:rPr>
          <w:rFonts w:hint="eastAsia"/>
          <w:rtl/>
        </w:rPr>
        <w:t>الخالدي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1996</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الزركشي،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الزركشي</w:t>
      </w:r>
      <w:r w:rsidRPr="00591A13">
        <w:rPr>
          <w:rtl/>
        </w:rPr>
        <w:t xml:space="preserve"> </w:t>
      </w:r>
      <w:r w:rsidRPr="00591A13">
        <w:rPr>
          <w:rFonts w:hint="eastAsia"/>
          <w:rtl/>
        </w:rPr>
        <w:t>المصري</w:t>
      </w:r>
      <w:r w:rsidRPr="00591A13">
        <w:rPr>
          <w:rtl/>
        </w:rPr>
        <w:t xml:space="preserve"> </w:t>
      </w:r>
      <w:r w:rsidRPr="00591A13">
        <w:rPr>
          <w:rFonts w:hint="eastAsia"/>
          <w:rtl/>
        </w:rPr>
        <w:t>الحنبلي</w:t>
      </w:r>
      <w:r w:rsidRPr="00591A13">
        <w:rPr>
          <w:rtl/>
        </w:rPr>
        <w:t xml:space="preserve"> (</w:t>
      </w:r>
      <w:r w:rsidRPr="00591A13">
        <w:rPr>
          <w:rFonts w:hint="eastAsia"/>
          <w:rtl/>
        </w:rPr>
        <w:t>ت</w:t>
      </w:r>
      <w:r w:rsidRPr="00591A13">
        <w:rPr>
          <w:rtl/>
        </w:rPr>
        <w:t>: 772</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شرح</w:t>
      </w:r>
      <w:r w:rsidRPr="00591A13">
        <w:rPr>
          <w:b/>
          <w:bCs/>
          <w:rtl/>
        </w:rPr>
        <w:t xml:space="preserve"> </w:t>
      </w:r>
      <w:r w:rsidRPr="00591A13">
        <w:rPr>
          <w:rFonts w:hint="eastAsia"/>
          <w:b/>
          <w:bCs/>
          <w:rtl/>
        </w:rPr>
        <w:t>الزركشي</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مختصر</w:t>
      </w:r>
      <w:r w:rsidRPr="00591A13">
        <w:rPr>
          <w:b/>
          <w:bCs/>
          <w:rtl/>
        </w:rPr>
        <w:t xml:space="preserve"> </w:t>
      </w:r>
      <w:r w:rsidRPr="00591A13">
        <w:rPr>
          <w:rFonts w:hint="eastAsia"/>
          <w:b/>
          <w:bCs/>
          <w:rtl/>
        </w:rPr>
        <w:t>الخرقي</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7</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العبيكان،</w:t>
      </w:r>
      <w:r w:rsidRPr="00591A13">
        <w:rPr>
          <w:rtl/>
        </w:rPr>
        <w:t xml:space="preserve"> 1413 </w:t>
      </w:r>
      <w:r w:rsidRPr="00591A13">
        <w:rPr>
          <w:rFonts w:hint="eastAsia"/>
          <w:rtl/>
        </w:rPr>
        <w:t>هـ</w:t>
      </w:r>
      <w:r w:rsidRPr="00591A13">
        <w:rPr>
          <w:rtl/>
        </w:rPr>
        <w:t xml:space="preserve"> / 1993</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rPr>
          <w:rtl/>
        </w:rPr>
      </w:pPr>
      <w:r w:rsidRPr="00591A13">
        <w:rPr>
          <w:rFonts w:hint="eastAsia"/>
          <w:rtl/>
        </w:rPr>
        <w:t>الزركلي،</w:t>
      </w:r>
      <w:r w:rsidRPr="00591A13">
        <w:rPr>
          <w:rtl/>
        </w:rPr>
        <w:t xml:space="preserve"> </w:t>
      </w:r>
      <w:r w:rsidRPr="00591A13">
        <w:rPr>
          <w:rFonts w:hint="eastAsia"/>
          <w:rtl/>
        </w:rPr>
        <w:t>خير</w:t>
      </w:r>
      <w:r w:rsidRPr="00591A13">
        <w:rPr>
          <w:rtl/>
        </w:rPr>
        <w:t xml:space="preserve"> </w:t>
      </w:r>
      <w:r w:rsidRPr="00591A13">
        <w:rPr>
          <w:rFonts w:hint="eastAsia"/>
          <w:rtl/>
        </w:rPr>
        <w:t>الدين</w:t>
      </w:r>
      <w:r w:rsidRPr="00591A13">
        <w:rPr>
          <w:rtl/>
        </w:rPr>
        <w:t xml:space="preserve"> </w:t>
      </w:r>
      <w:r w:rsidRPr="00591A13">
        <w:rPr>
          <w:rFonts w:hint="eastAsia"/>
          <w:rtl/>
        </w:rPr>
        <w:t>بن</w:t>
      </w:r>
      <w:r w:rsidRPr="00591A13">
        <w:rPr>
          <w:rtl/>
        </w:rPr>
        <w:t xml:space="preserve"> </w:t>
      </w:r>
      <w:r w:rsidRPr="00591A13">
        <w:rPr>
          <w:rFonts w:hint="eastAsia"/>
          <w:rtl/>
        </w:rPr>
        <w:t>محمود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فارس،</w:t>
      </w:r>
      <w:r w:rsidRPr="00591A13">
        <w:rPr>
          <w:rtl/>
        </w:rPr>
        <w:t xml:space="preserve"> </w:t>
      </w:r>
      <w:r w:rsidRPr="00591A13">
        <w:rPr>
          <w:rFonts w:hint="eastAsia"/>
          <w:rtl/>
        </w:rPr>
        <w:t>الزركلي</w:t>
      </w:r>
      <w:r w:rsidRPr="00591A13">
        <w:rPr>
          <w:rtl/>
        </w:rPr>
        <w:t xml:space="preserve"> (</w:t>
      </w:r>
      <w:r w:rsidRPr="00591A13">
        <w:rPr>
          <w:rFonts w:hint="eastAsia"/>
          <w:rtl/>
        </w:rPr>
        <w:t>ت</w:t>
      </w:r>
      <w:r w:rsidRPr="00591A13">
        <w:rPr>
          <w:rtl/>
        </w:rPr>
        <w:t xml:space="preserve"> 1396 </w:t>
      </w:r>
      <w:r w:rsidRPr="00591A13">
        <w:rPr>
          <w:rFonts w:hint="eastAsia"/>
          <w:rtl/>
        </w:rPr>
        <w:t>هـ</w:t>
      </w:r>
      <w:r w:rsidRPr="00591A13">
        <w:rPr>
          <w:rtl/>
        </w:rPr>
        <w:t>)</w:t>
      </w:r>
      <w:r w:rsidRPr="00591A13">
        <w:rPr>
          <w:rFonts w:hint="eastAsia"/>
          <w:rtl/>
        </w:rPr>
        <w:t>،</w:t>
      </w:r>
      <w:r w:rsidRPr="00591A13">
        <w:rPr>
          <w:rtl/>
        </w:rPr>
        <w:t xml:space="preserve"> </w:t>
      </w:r>
      <w:r w:rsidRPr="00591A13">
        <w:rPr>
          <w:b/>
          <w:bCs/>
          <w:rtl/>
        </w:rPr>
        <w:t xml:space="preserve"> </w:t>
      </w:r>
      <w:r w:rsidRPr="00591A13">
        <w:rPr>
          <w:rFonts w:hint="eastAsia"/>
          <w:b/>
          <w:bCs/>
          <w:rtl/>
        </w:rPr>
        <w:t>الأعلام</w:t>
      </w:r>
      <w:r w:rsidRPr="00591A13">
        <w:rPr>
          <w:b/>
          <w:bCs/>
          <w:rtl/>
        </w:rPr>
        <w:t xml:space="preserve"> </w:t>
      </w:r>
      <w:r w:rsidRPr="00591A13">
        <w:rPr>
          <w:rFonts w:hint="eastAsia"/>
          <w:b/>
          <w:bCs/>
          <w:rtl/>
        </w:rPr>
        <w:t>قاموس</w:t>
      </w:r>
      <w:r w:rsidRPr="00591A13">
        <w:rPr>
          <w:b/>
          <w:bCs/>
          <w:rtl/>
        </w:rPr>
        <w:t xml:space="preserve"> </w:t>
      </w:r>
      <w:r w:rsidRPr="00591A13">
        <w:rPr>
          <w:rFonts w:hint="eastAsia"/>
          <w:b/>
          <w:bCs/>
          <w:rtl/>
        </w:rPr>
        <w:t>التراجم</w:t>
      </w:r>
      <w:r w:rsidRPr="00591A13">
        <w:rPr>
          <w:b/>
          <w:bCs/>
          <w:rtl/>
        </w:rPr>
        <w:t xml:space="preserve"> </w:t>
      </w:r>
      <w:r w:rsidRPr="00591A13">
        <w:rPr>
          <w:rFonts w:hint="eastAsia"/>
          <w:b/>
          <w:bCs/>
          <w:rtl/>
        </w:rPr>
        <w:t>لأشهر</w:t>
      </w:r>
      <w:r w:rsidRPr="00591A13">
        <w:rPr>
          <w:b/>
          <w:bCs/>
          <w:rtl/>
        </w:rPr>
        <w:t xml:space="preserve"> </w:t>
      </w:r>
      <w:r w:rsidRPr="00591A13">
        <w:rPr>
          <w:rFonts w:hint="eastAsia"/>
          <w:b/>
          <w:bCs/>
          <w:rtl/>
        </w:rPr>
        <w:t>الرجال</w:t>
      </w:r>
      <w:r w:rsidRPr="00591A13">
        <w:rPr>
          <w:b/>
          <w:bCs/>
          <w:rtl/>
        </w:rPr>
        <w:t xml:space="preserve"> </w:t>
      </w:r>
      <w:r w:rsidRPr="00591A13">
        <w:rPr>
          <w:rFonts w:hint="eastAsia"/>
          <w:b/>
          <w:bCs/>
          <w:rtl/>
        </w:rPr>
        <w:t>والنساء</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العرب</w:t>
      </w:r>
      <w:r w:rsidRPr="00591A13">
        <w:rPr>
          <w:b/>
          <w:bCs/>
          <w:rtl/>
        </w:rPr>
        <w:t xml:space="preserve"> </w:t>
      </w:r>
      <w:r w:rsidRPr="00591A13">
        <w:rPr>
          <w:rFonts w:hint="eastAsia"/>
          <w:b/>
          <w:bCs/>
          <w:rtl/>
        </w:rPr>
        <w:t>والمستعربين</w:t>
      </w:r>
      <w:r w:rsidRPr="00591A13">
        <w:rPr>
          <w:b/>
          <w:bCs/>
          <w:rtl/>
        </w:rPr>
        <w:t xml:space="preserve"> </w:t>
      </w:r>
      <w:r w:rsidRPr="00591A13">
        <w:rPr>
          <w:rFonts w:hint="eastAsia"/>
          <w:b/>
          <w:bCs/>
          <w:rtl/>
        </w:rPr>
        <w:t>والمستشرقين</w:t>
      </w:r>
      <w:r w:rsidRPr="00591A13">
        <w:rPr>
          <w:rFonts w:hint="eastAsia"/>
          <w:rtl/>
        </w:rPr>
        <w:t>،</w:t>
      </w:r>
      <w:r w:rsidRPr="00591A13">
        <w:rPr>
          <w:rtl/>
        </w:rPr>
        <w:t xml:space="preserve"> </w:t>
      </w:r>
      <w:r w:rsidRPr="00591A13">
        <w:rPr>
          <w:rFonts w:hint="eastAsia"/>
          <w:rtl/>
        </w:rPr>
        <w:t>ط</w:t>
      </w:r>
      <w:r w:rsidRPr="00591A13">
        <w:rPr>
          <w:rtl/>
        </w:rPr>
        <w:t>15</w:t>
      </w:r>
      <w:r w:rsidRPr="00591A13">
        <w:rPr>
          <w:rFonts w:hint="eastAsia"/>
          <w:rtl/>
        </w:rPr>
        <w:t>،</w:t>
      </w:r>
      <w:r w:rsidRPr="00591A13">
        <w:rPr>
          <w:rtl/>
        </w:rPr>
        <w:t xml:space="preserve"> 8</w:t>
      </w:r>
      <w:r w:rsidRPr="00591A13">
        <w:rPr>
          <w:rFonts w:hint="eastAsia"/>
          <w:rtl/>
        </w:rPr>
        <w:t>م،</w:t>
      </w:r>
      <w:r w:rsidRPr="00591A13">
        <w:rPr>
          <w:rtl/>
        </w:rPr>
        <w:t xml:space="preserve"> </w:t>
      </w:r>
      <w:r w:rsidRPr="00591A13">
        <w:rPr>
          <w:rFonts w:hint="eastAsia"/>
          <w:rtl/>
        </w:rPr>
        <w:t>در</w:t>
      </w:r>
      <w:r w:rsidRPr="00591A13">
        <w:rPr>
          <w:rtl/>
        </w:rPr>
        <w:t xml:space="preserve"> </w:t>
      </w:r>
      <w:r w:rsidRPr="00591A13">
        <w:rPr>
          <w:rFonts w:hint="eastAsia"/>
          <w:rtl/>
        </w:rPr>
        <w:t>العلم</w:t>
      </w:r>
      <w:r w:rsidRPr="00591A13">
        <w:rPr>
          <w:rtl/>
        </w:rPr>
        <w:t xml:space="preserve"> </w:t>
      </w:r>
      <w:r w:rsidRPr="00591A13">
        <w:rPr>
          <w:rFonts w:hint="eastAsia"/>
          <w:rtl/>
        </w:rPr>
        <w:t>للملايين،</w:t>
      </w:r>
      <w:r w:rsidRPr="00591A13">
        <w:rPr>
          <w:rtl/>
        </w:rPr>
        <w:t xml:space="preserve"> </w:t>
      </w:r>
      <w:r w:rsidRPr="00591A13">
        <w:rPr>
          <w:rFonts w:hint="eastAsia"/>
          <w:rtl/>
        </w:rPr>
        <w:t>بيروت،</w:t>
      </w:r>
      <w:r w:rsidRPr="00591A13">
        <w:rPr>
          <w:rtl/>
        </w:rPr>
        <w:t xml:space="preserve"> 2002</w:t>
      </w:r>
      <w:r w:rsidRPr="00591A13">
        <w:rPr>
          <w:rFonts w:hint="eastAsia"/>
          <w:rtl/>
        </w:rPr>
        <w:t>م</w:t>
      </w:r>
      <w:r w:rsidRPr="00591A13">
        <w:rPr>
          <w:rtl/>
        </w:rPr>
        <w:t>.</w:t>
      </w:r>
    </w:p>
    <w:p w:rsidR="005F44B2" w:rsidRDefault="005F44B2" w:rsidP="006B62FE">
      <w:pPr>
        <w:pStyle w:val="Subtitle"/>
        <w:numPr>
          <w:ilvl w:val="0"/>
          <w:numId w:val="46"/>
        </w:numPr>
        <w:spacing w:line="259" w:lineRule="auto"/>
        <w:jc w:val="both"/>
      </w:pPr>
      <w:r w:rsidRPr="0098679F">
        <w:rPr>
          <w:rFonts w:hint="eastAsia"/>
          <w:rtl/>
        </w:rPr>
        <w:t>السبكي،</w:t>
      </w:r>
      <w:r w:rsidRPr="0098679F">
        <w:rPr>
          <w:rtl/>
        </w:rPr>
        <w:t xml:space="preserve"> </w:t>
      </w:r>
      <w:r w:rsidRPr="0098679F">
        <w:rPr>
          <w:rFonts w:hint="eastAsia"/>
          <w:rtl/>
        </w:rPr>
        <w:t>تاج</w:t>
      </w:r>
      <w:r w:rsidRPr="0098679F">
        <w:rPr>
          <w:rtl/>
        </w:rPr>
        <w:t xml:space="preserve"> </w:t>
      </w:r>
      <w:r w:rsidRPr="0098679F">
        <w:rPr>
          <w:rFonts w:hint="eastAsia"/>
          <w:rtl/>
        </w:rPr>
        <w:t>الدين</w:t>
      </w:r>
      <w:r w:rsidRPr="0098679F">
        <w:rPr>
          <w:rtl/>
        </w:rPr>
        <w:t xml:space="preserve"> </w:t>
      </w:r>
      <w:r w:rsidRPr="0098679F">
        <w:rPr>
          <w:rFonts w:hint="eastAsia"/>
          <w:rtl/>
        </w:rPr>
        <w:t>عبد</w:t>
      </w:r>
      <w:r w:rsidRPr="0098679F">
        <w:rPr>
          <w:rtl/>
        </w:rPr>
        <w:t xml:space="preserve"> </w:t>
      </w:r>
      <w:r w:rsidRPr="0098679F">
        <w:rPr>
          <w:rFonts w:hint="eastAsia"/>
          <w:rtl/>
        </w:rPr>
        <w:t>الوهاب</w:t>
      </w:r>
      <w:r w:rsidRPr="0098679F">
        <w:rPr>
          <w:rtl/>
        </w:rPr>
        <w:t xml:space="preserve"> </w:t>
      </w:r>
      <w:r w:rsidRPr="0098679F">
        <w:rPr>
          <w:rFonts w:hint="eastAsia"/>
          <w:rtl/>
        </w:rPr>
        <w:t>بن</w:t>
      </w:r>
      <w:r w:rsidRPr="0098679F">
        <w:rPr>
          <w:rtl/>
        </w:rPr>
        <w:t xml:space="preserve"> </w:t>
      </w:r>
      <w:r w:rsidRPr="0098679F">
        <w:rPr>
          <w:rFonts w:hint="eastAsia"/>
          <w:rtl/>
        </w:rPr>
        <w:t>تقي</w:t>
      </w:r>
      <w:r w:rsidRPr="0098679F">
        <w:rPr>
          <w:rtl/>
        </w:rPr>
        <w:t xml:space="preserve"> </w:t>
      </w:r>
      <w:r w:rsidRPr="0098679F">
        <w:rPr>
          <w:rFonts w:hint="eastAsia"/>
          <w:rtl/>
        </w:rPr>
        <w:t>الدين</w:t>
      </w:r>
      <w:r w:rsidRPr="0098679F">
        <w:rPr>
          <w:rtl/>
        </w:rPr>
        <w:t xml:space="preserve"> </w:t>
      </w:r>
      <w:r w:rsidRPr="0098679F">
        <w:rPr>
          <w:rFonts w:hint="eastAsia"/>
          <w:rtl/>
        </w:rPr>
        <w:t>السبكي</w:t>
      </w:r>
      <w:r w:rsidRPr="0098679F">
        <w:rPr>
          <w:rtl/>
        </w:rPr>
        <w:t xml:space="preserve"> (</w:t>
      </w:r>
      <w:r w:rsidRPr="0098679F">
        <w:rPr>
          <w:rFonts w:hint="eastAsia"/>
          <w:rtl/>
        </w:rPr>
        <w:t>ت</w:t>
      </w:r>
      <w:r w:rsidRPr="0098679F">
        <w:rPr>
          <w:rtl/>
        </w:rPr>
        <w:t>: 771</w:t>
      </w:r>
      <w:r w:rsidRPr="0098679F">
        <w:rPr>
          <w:rFonts w:hint="eastAsia"/>
          <w:rtl/>
        </w:rPr>
        <w:t>هـ</w:t>
      </w:r>
      <w:r w:rsidRPr="0098679F">
        <w:rPr>
          <w:rtl/>
        </w:rPr>
        <w:t>)</w:t>
      </w:r>
      <w:r w:rsidRPr="0098679F">
        <w:rPr>
          <w:rFonts w:hint="eastAsia"/>
          <w:rtl/>
        </w:rPr>
        <w:t>،</w:t>
      </w:r>
      <w:r w:rsidRPr="0098679F">
        <w:rPr>
          <w:rtl/>
        </w:rPr>
        <w:t xml:space="preserve"> </w:t>
      </w:r>
      <w:r w:rsidRPr="0098679F">
        <w:rPr>
          <w:rFonts w:hint="eastAsia"/>
          <w:b/>
          <w:bCs/>
          <w:rtl/>
        </w:rPr>
        <w:t>رفع</w:t>
      </w:r>
      <w:r w:rsidRPr="0098679F">
        <w:rPr>
          <w:b/>
          <w:bCs/>
          <w:rtl/>
        </w:rPr>
        <w:t xml:space="preserve"> </w:t>
      </w:r>
      <w:r w:rsidRPr="0098679F">
        <w:rPr>
          <w:rFonts w:hint="eastAsia"/>
          <w:b/>
          <w:bCs/>
          <w:rtl/>
        </w:rPr>
        <w:t>الحاجب</w:t>
      </w:r>
      <w:r w:rsidRPr="0098679F">
        <w:rPr>
          <w:b/>
          <w:bCs/>
          <w:rtl/>
        </w:rPr>
        <w:t xml:space="preserve"> </w:t>
      </w:r>
      <w:r w:rsidRPr="0098679F">
        <w:rPr>
          <w:rFonts w:hint="eastAsia"/>
          <w:b/>
          <w:bCs/>
          <w:rtl/>
        </w:rPr>
        <w:t>عن</w:t>
      </w:r>
      <w:r w:rsidRPr="0098679F">
        <w:rPr>
          <w:b/>
          <w:bCs/>
          <w:rtl/>
        </w:rPr>
        <w:t xml:space="preserve"> </w:t>
      </w:r>
      <w:r w:rsidRPr="0098679F">
        <w:rPr>
          <w:rFonts w:hint="eastAsia"/>
          <w:b/>
          <w:bCs/>
          <w:rtl/>
        </w:rPr>
        <w:t>مختصر</w:t>
      </w:r>
      <w:r w:rsidRPr="0098679F">
        <w:rPr>
          <w:b/>
          <w:bCs/>
          <w:rtl/>
        </w:rPr>
        <w:t xml:space="preserve"> </w:t>
      </w:r>
      <w:r w:rsidRPr="0098679F">
        <w:rPr>
          <w:rFonts w:hint="eastAsia"/>
          <w:b/>
          <w:bCs/>
          <w:rtl/>
        </w:rPr>
        <w:t>ابن</w:t>
      </w:r>
      <w:r w:rsidRPr="0098679F">
        <w:rPr>
          <w:b/>
          <w:bCs/>
          <w:rtl/>
        </w:rPr>
        <w:t xml:space="preserve"> </w:t>
      </w:r>
      <w:r w:rsidRPr="0098679F">
        <w:rPr>
          <w:rFonts w:hint="eastAsia"/>
          <w:b/>
          <w:bCs/>
          <w:rtl/>
        </w:rPr>
        <w:t>الحاجب</w:t>
      </w:r>
      <w:r w:rsidRPr="0098679F">
        <w:rPr>
          <w:rFonts w:hint="eastAsia"/>
          <w:rtl/>
        </w:rPr>
        <w:t>،</w:t>
      </w:r>
      <w:r w:rsidRPr="0098679F">
        <w:rPr>
          <w:rtl/>
        </w:rPr>
        <w:t xml:space="preserve"> </w:t>
      </w:r>
      <w:r w:rsidRPr="0098679F">
        <w:rPr>
          <w:rFonts w:hint="eastAsia"/>
          <w:rtl/>
        </w:rPr>
        <w:t>ط</w:t>
      </w:r>
      <w:r w:rsidRPr="0098679F">
        <w:rPr>
          <w:rtl/>
        </w:rPr>
        <w:t>1</w:t>
      </w:r>
      <w:r w:rsidRPr="0098679F">
        <w:rPr>
          <w:rFonts w:hint="eastAsia"/>
          <w:rtl/>
        </w:rPr>
        <w:t>،</w:t>
      </w:r>
      <w:r w:rsidRPr="0098679F">
        <w:rPr>
          <w:rtl/>
        </w:rPr>
        <w:t xml:space="preserve"> </w:t>
      </w:r>
      <w:r>
        <w:rPr>
          <w:rtl/>
        </w:rPr>
        <w:t>4</w:t>
      </w:r>
      <w:r>
        <w:rPr>
          <w:rFonts w:hint="eastAsia"/>
          <w:rtl/>
        </w:rPr>
        <w:t>م،</w:t>
      </w:r>
      <w:r>
        <w:rPr>
          <w:rtl/>
        </w:rPr>
        <w:t>(</w:t>
      </w:r>
      <w:r w:rsidRPr="0098679F">
        <w:rPr>
          <w:rFonts w:hint="eastAsia"/>
          <w:rtl/>
        </w:rPr>
        <w:t>المحقق</w:t>
      </w:r>
      <w:r w:rsidRPr="0098679F">
        <w:rPr>
          <w:rtl/>
        </w:rPr>
        <w:t xml:space="preserve">: </w:t>
      </w:r>
      <w:r w:rsidRPr="0098679F">
        <w:rPr>
          <w:rFonts w:hint="eastAsia"/>
          <w:rtl/>
        </w:rPr>
        <w:t>علي</w:t>
      </w:r>
      <w:r w:rsidRPr="0098679F">
        <w:rPr>
          <w:rtl/>
        </w:rPr>
        <w:t xml:space="preserve"> </w:t>
      </w:r>
      <w:r w:rsidRPr="0098679F">
        <w:rPr>
          <w:rFonts w:hint="eastAsia"/>
          <w:rtl/>
        </w:rPr>
        <w:t>محمد</w:t>
      </w:r>
      <w:r w:rsidRPr="0098679F">
        <w:rPr>
          <w:rtl/>
        </w:rPr>
        <w:t xml:space="preserve"> </w:t>
      </w:r>
      <w:r w:rsidRPr="0098679F">
        <w:rPr>
          <w:rFonts w:hint="eastAsia"/>
          <w:rtl/>
        </w:rPr>
        <w:t>معوض،</w:t>
      </w:r>
      <w:r w:rsidRPr="0098679F">
        <w:rPr>
          <w:rtl/>
        </w:rPr>
        <w:t xml:space="preserve"> </w:t>
      </w:r>
      <w:r w:rsidRPr="0098679F">
        <w:rPr>
          <w:rFonts w:hint="eastAsia"/>
          <w:rtl/>
        </w:rPr>
        <w:t>عادل</w:t>
      </w:r>
      <w:r w:rsidRPr="0098679F">
        <w:rPr>
          <w:rtl/>
        </w:rPr>
        <w:t xml:space="preserve"> </w:t>
      </w:r>
      <w:r w:rsidRPr="0098679F">
        <w:rPr>
          <w:rFonts w:hint="eastAsia"/>
          <w:rtl/>
        </w:rPr>
        <w:t>أحمد</w:t>
      </w:r>
      <w:r w:rsidRPr="0098679F">
        <w:rPr>
          <w:rtl/>
        </w:rPr>
        <w:t xml:space="preserve"> </w:t>
      </w:r>
      <w:r w:rsidRPr="0098679F">
        <w:rPr>
          <w:rFonts w:hint="eastAsia"/>
          <w:rtl/>
        </w:rPr>
        <w:t>عبد</w:t>
      </w:r>
      <w:r w:rsidRPr="0098679F">
        <w:rPr>
          <w:rtl/>
        </w:rPr>
        <w:t xml:space="preserve"> </w:t>
      </w:r>
      <w:r w:rsidRPr="0098679F">
        <w:rPr>
          <w:rFonts w:hint="eastAsia"/>
          <w:rtl/>
        </w:rPr>
        <w:t>الموجود</w:t>
      </w:r>
      <w:r>
        <w:rPr>
          <w:rtl/>
        </w:rPr>
        <w:t>)</w:t>
      </w:r>
      <w:r w:rsidRPr="0098679F">
        <w:rPr>
          <w:rFonts w:hint="eastAsia"/>
          <w:rtl/>
        </w:rPr>
        <w:t>،عال</w:t>
      </w:r>
      <w:r>
        <w:rPr>
          <w:rFonts w:hint="eastAsia"/>
          <w:rtl/>
        </w:rPr>
        <w:t>م</w:t>
      </w:r>
      <w:r>
        <w:rPr>
          <w:rtl/>
        </w:rPr>
        <w:t xml:space="preserve"> </w:t>
      </w:r>
      <w:r>
        <w:rPr>
          <w:rFonts w:hint="eastAsia"/>
          <w:rtl/>
        </w:rPr>
        <w:t>الكتب،</w:t>
      </w:r>
      <w:r>
        <w:rPr>
          <w:rtl/>
        </w:rPr>
        <w:t xml:space="preserve"> </w:t>
      </w:r>
      <w:r>
        <w:rPr>
          <w:rFonts w:hint="eastAsia"/>
          <w:rtl/>
        </w:rPr>
        <w:t>بيروت</w:t>
      </w:r>
      <w:r>
        <w:rPr>
          <w:rtl/>
        </w:rPr>
        <w:t xml:space="preserve"> </w:t>
      </w:r>
      <w:r>
        <w:rPr>
          <w:rFonts w:hint="eastAsia"/>
          <w:rtl/>
        </w:rPr>
        <w:t>،</w:t>
      </w:r>
      <w:r>
        <w:rPr>
          <w:rtl/>
        </w:rPr>
        <w:t xml:space="preserve"> 1419</w:t>
      </w:r>
      <w:r>
        <w:rPr>
          <w:rFonts w:hint="eastAsia"/>
          <w:rtl/>
        </w:rPr>
        <w:t>هـ</w:t>
      </w:r>
      <w:r>
        <w:rPr>
          <w:rtl/>
        </w:rPr>
        <w:t xml:space="preserve"> / 1999</w:t>
      </w:r>
      <w:r>
        <w:rPr>
          <w:rFonts w:hint="eastAsia"/>
          <w:rtl/>
        </w:rPr>
        <w:t>م</w:t>
      </w:r>
      <w:r>
        <w:rPr>
          <w:rtl/>
        </w:rPr>
        <w:t>.</w:t>
      </w:r>
    </w:p>
    <w:p w:rsidR="005F44B2" w:rsidRPr="00591A13" w:rsidRDefault="005F44B2" w:rsidP="006B62FE">
      <w:pPr>
        <w:pStyle w:val="Subtitle"/>
        <w:numPr>
          <w:ilvl w:val="0"/>
          <w:numId w:val="46"/>
        </w:numPr>
        <w:spacing w:line="259" w:lineRule="auto"/>
        <w:jc w:val="both"/>
      </w:pPr>
      <w:r w:rsidRPr="00591A13">
        <w:rPr>
          <w:rFonts w:hint="eastAsia"/>
          <w:rtl/>
        </w:rPr>
        <w:t>سرخسي،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سهل</w:t>
      </w:r>
      <w:r w:rsidRPr="00591A13">
        <w:rPr>
          <w:rtl/>
        </w:rPr>
        <w:t xml:space="preserve"> </w:t>
      </w:r>
      <w:r w:rsidRPr="00591A13">
        <w:rPr>
          <w:rFonts w:hint="eastAsia"/>
          <w:rtl/>
        </w:rPr>
        <w:t>شمس</w:t>
      </w:r>
      <w:r w:rsidRPr="00591A13">
        <w:rPr>
          <w:rtl/>
        </w:rPr>
        <w:t xml:space="preserve"> </w:t>
      </w:r>
      <w:r w:rsidRPr="00591A13">
        <w:rPr>
          <w:rFonts w:hint="eastAsia"/>
          <w:rtl/>
        </w:rPr>
        <w:t>الأئمة</w:t>
      </w:r>
      <w:r w:rsidRPr="00591A13">
        <w:rPr>
          <w:rtl/>
        </w:rPr>
        <w:t xml:space="preserve"> </w:t>
      </w:r>
      <w:r w:rsidRPr="00591A13">
        <w:rPr>
          <w:rFonts w:hint="eastAsia"/>
          <w:rtl/>
        </w:rPr>
        <w:t>السرخسي</w:t>
      </w:r>
      <w:r w:rsidRPr="00591A13">
        <w:rPr>
          <w:rtl/>
        </w:rPr>
        <w:t xml:space="preserve"> (483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أصول</w:t>
      </w:r>
      <w:r w:rsidRPr="00591A13">
        <w:rPr>
          <w:b/>
          <w:bCs/>
          <w:rtl/>
        </w:rPr>
        <w:t xml:space="preserve"> </w:t>
      </w:r>
      <w:r w:rsidRPr="00591A13">
        <w:rPr>
          <w:rFonts w:hint="eastAsia"/>
          <w:b/>
          <w:bCs/>
          <w:rtl/>
        </w:rPr>
        <w:t>السرخسي</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2</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أبو</w:t>
      </w:r>
      <w:r w:rsidRPr="00591A13">
        <w:rPr>
          <w:rtl/>
        </w:rPr>
        <w:t xml:space="preserve"> </w:t>
      </w:r>
      <w:r w:rsidRPr="00591A13">
        <w:rPr>
          <w:rFonts w:hint="eastAsia"/>
          <w:rtl/>
        </w:rPr>
        <w:t>الوفا</w:t>
      </w:r>
      <w:r w:rsidRPr="00591A13">
        <w:rPr>
          <w:rtl/>
        </w:rPr>
        <w:t xml:space="preserve"> </w:t>
      </w:r>
      <w:r w:rsidRPr="00591A13">
        <w:rPr>
          <w:rFonts w:hint="eastAsia"/>
          <w:rtl/>
        </w:rPr>
        <w:t>الأفغاني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1993</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السرخسي،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سهل</w:t>
      </w:r>
      <w:r w:rsidRPr="00591A13">
        <w:rPr>
          <w:rtl/>
        </w:rPr>
        <w:t xml:space="preserve"> </w:t>
      </w:r>
      <w:r w:rsidRPr="00591A13">
        <w:rPr>
          <w:rFonts w:hint="eastAsia"/>
          <w:rtl/>
        </w:rPr>
        <w:t>شمس</w:t>
      </w:r>
      <w:r w:rsidRPr="00591A13">
        <w:rPr>
          <w:rtl/>
        </w:rPr>
        <w:t xml:space="preserve"> </w:t>
      </w:r>
      <w:r w:rsidRPr="00591A13">
        <w:rPr>
          <w:rFonts w:hint="eastAsia"/>
          <w:rtl/>
        </w:rPr>
        <w:t>الأئمة</w:t>
      </w:r>
      <w:r w:rsidRPr="00591A13">
        <w:rPr>
          <w:rtl/>
        </w:rPr>
        <w:t xml:space="preserve"> </w:t>
      </w:r>
      <w:r w:rsidRPr="00591A13">
        <w:rPr>
          <w:rFonts w:hint="eastAsia"/>
          <w:rtl/>
        </w:rPr>
        <w:t>السرخسي</w:t>
      </w:r>
      <w:r w:rsidRPr="00591A13">
        <w:rPr>
          <w:rtl/>
        </w:rPr>
        <w:t xml:space="preserve"> (</w:t>
      </w:r>
      <w:r w:rsidRPr="00591A13">
        <w:rPr>
          <w:rFonts w:hint="eastAsia"/>
          <w:rtl/>
        </w:rPr>
        <w:t>ت</w:t>
      </w:r>
      <w:r w:rsidRPr="00591A13">
        <w:rPr>
          <w:rtl/>
        </w:rPr>
        <w:t>: 483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المبسوط</w:t>
      </w:r>
      <w:r w:rsidRPr="00591A13">
        <w:rPr>
          <w:rFonts w:hint="eastAsia"/>
          <w:rtl/>
        </w:rPr>
        <w:t>،</w:t>
      </w:r>
      <w:r w:rsidRPr="00591A13">
        <w:rPr>
          <w:rtl/>
        </w:rPr>
        <w:t xml:space="preserve"> 30</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المعرفة،</w:t>
      </w:r>
      <w:r w:rsidRPr="00591A13">
        <w:rPr>
          <w:rtl/>
        </w:rPr>
        <w:t xml:space="preserve"> </w:t>
      </w:r>
      <w:r w:rsidRPr="00591A13">
        <w:rPr>
          <w:rFonts w:hint="eastAsia"/>
          <w:rtl/>
        </w:rPr>
        <w:t>بيروت،</w:t>
      </w:r>
      <w:r w:rsidRPr="00591A13">
        <w:rPr>
          <w:rtl/>
        </w:rPr>
        <w:t xml:space="preserve"> 1993</w:t>
      </w:r>
      <w:r w:rsidRPr="00591A13">
        <w:rPr>
          <w:rFonts w:hint="eastAsia"/>
          <w:rtl/>
        </w:rPr>
        <w:t>م</w:t>
      </w:r>
      <w:r w:rsidRPr="00591A13">
        <w:rPr>
          <w:rtl/>
        </w:rPr>
        <w:t>.</w:t>
      </w:r>
    </w:p>
    <w:p w:rsidR="005F44B2" w:rsidRPr="00591A13" w:rsidRDefault="005F44B2" w:rsidP="006B62FE">
      <w:pPr>
        <w:pStyle w:val="Subtitle"/>
        <w:numPr>
          <w:ilvl w:val="0"/>
          <w:numId w:val="46"/>
        </w:numPr>
        <w:spacing w:line="259" w:lineRule="auto"/>
        <w:jc w:val="both"/>
      </w:pPr>
      <w:r w:rsidRPr="00591A13">
        <w:rPr>
          <w:rFonts w:hint="eastAsia"/>
          <w:rtl/>
        </w:rPr>
        <w:t>الشاطبي،</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موسى</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اللخمي</w:t>
      </w:r>
      <w:r w:rsidRPr="00591A13">
        <w:rPr>
          <w:rtl/>
        </w:rPr>
        <w:t xml:space="preserve"> </w:t>
      </w:r>
      <w:r w:rsidRPr="00591A13">
        <w:rPr>
          <w:rFonts w:hint="eastAsia"/>
          <w:rtl/>
        </w:rPr>
        <w:t>الغرناطي</w:t>
      </w:r>
      <w:r w:rsidRPr="00591A13">
        <w:rPr>
          <w:rtl/>
        </w:rPr>
        <w:t xml:space="preserve"> </w:t>
      </w:r>
      <w:r w:rsidRPr="00591A13">
        <w:rPr>
          <w:rFonts w:hint="eastAsia"/>
          <w:rtl/>
        </w:rPr>
        <w:t>الشهير</w:t>
      </w:r>
      <w:r w:rsidRPr="00591A13">
        <w:rPr>
          <w:rtl/>
        </w:rPr>
        <w:t xml:space="preserve"> </w:t>
      </w:r>
      <w:r w:rsidRPr="00591A13">
        <w:rPr>
          <w:rFonts w:hint="eastAsia"/>
          <w:rtl/>
        </w:rPr>
        <w:t>بالشاطبي</w:t>
      </w:r>
      <w:r w:rsidRPr="00591A13">
        <w:rPr>
          <w:rtl/>
        </w:rPr>
        <w:t xml:space="preserve"> (</w:t>
      </w:r>
      <w:r w:rsidRPr="00591A13">
        <w:rPr>
          <w:rFonts w:hint="eastAsia"/>
          <w:rtl/>
        </w:rPr>
        <w:t>ت</w:t>
      </w:r>
      <w:r w:rsidRPr="00591A13">
        <w:rPr>
          <w:rtl/>
        </w:rPr>
        <w:t>: 790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الاعْتِصَام</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3</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الجزء</w:t>
      </w:r>
      <w:r w:rsidRPr="00591A13">
        <w:rPr>
          <w:rtl/>
        </w:rPr>
        <w:t xml:space="preserve"> </w:t>
      </w:r>
      <w:r w:rsidRPr="00591A13">
        <w:rPr>
          <w:rFonts w:hint="eastAsia"/>
          <w:rtl/>
        </w:rPr>
        <w:t>الأول</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الشقير،</w:t>
      </w:r>
      <w:r w:rsidRPr="00591A13">
        <w:rPr>
          <w:rtl/>
        </w:rPr>
        <w:t xml:space="preserve"> </w:t>
      </w:r>
      <w:r w:rsidRPr="00591A13">
        <w:rPr>
          <w:rFonts w:hint="eastAsia"/>
          <w:rtl/>
        </w:rPr>
        <w:t>الجزء</w:t>
      </w:r>
      <w:r w:rsidRPr="00591A13">
        <w:rPr>
          <w:rtl/>
        </w:rPr>
        <w:t xml:space="preserve"> </w:t>
      </w:r>
      <w:r w:rsidRPr="00591A13">
        <w:rPr>
          <w:rFonts w:hint="eastAsia"/>
          <w:rtl/>
        </w:rPr>
        <w:t>الثاني</w:t>
      </w:r>
      <w:r w:rsidRPr="00591A13">
        <w:rPr>
          <w:rtl/>
        </w:rPr>
        <w:t xml:space="preserve">:  </w:t>
      </w:r>
      <w:r w:rsidRPr="00591A13">
        <w:rPr>
          <w:rFonts w:hint="eastAsia"/>
          <w:rtl/>
        </w:rPr>
        <w:t>سعد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آل</w:t>
      </w:r>
      <w:r w:rsidRPr="00591A13">
        <w:rPr>
          <w:rtl/>
        </w:rPr>
        <w:t xml:space="preserve"> </w:t>
      </w:r>
      <w:r w:rsidRPr="00591A13">
        <w:rPr>
          <w:rFonts w:hint="eastAsia"/>
          <w:rtl/>
        </w:rPr>
        <w:t>حميد،</w:t>
      </w:r>
      <w:r w:rsidRPr="00591A13">
        <w:rPr>
          <w:rtl/>
        </w:rPr>
        <w:t xml:space="preserve"> </w:t>
      </w:r>
      <w:r w:rsidRPr="00591A13">
        <w:rPr>
          <w:rFonts w:hint="eastAsia"/>
          <w:rtl/>
        </w:rPr>
        <w:t>الجزء</w:t>
      </w:r>
      <w:r w:rsidRPr="00591A13">
        <w:rPr>
          <w:rtl/>
        </w:rPr>
        <w:t xml:space="preserve"> </w:t>
      </w:r>
      <w:r w:rsidRPr="00591A13">
        <w:rPr>
          <w:rFonts w:hint="eastAsia"/>
          <w:rtl/>
        </w:rPr>
        <w:t>الثالث</w:t>
      </w:r>
      <w:r w:rsidRPr="00591A13">
        <w:rPr>
          <w:rtl/>
        </w:rPr>
        <w:t xml:space="preserve">: </w:t>
      </w:r>
      <w:r w:rsidRPr="00591A13">
        <w:rPr>
          <w:rFonts w:hint="eastAsia"/>
          <w:rtl/>
        </w:rPr>
        <w:t>هشام</w:t>
      </w:r>
      <w:r w:rsidRPr="00591A13">
        <w:rPr>
          <w:rtl/>
        </w:rPr>
        <w:t xml:space="preserve"> </w:t>
      </w:r>
      <w:r w:rsidRPr="00591A13">
        <w:rPr>
          <w:rFonts w:hint="eastAsia"/>
          <w:rtl/>
        </w:rPr>
        <w:t>بن</w:t>
      </w:r>
      <w:r w:rsidRPr="00591A13">
        <w:rPr>
          <w:rtl/>
        </w:rPr>
        <w:t xml:space="preserve"> </w:t>
      </w:r>
      <w:r w:rsidRPr="00591A13">
        <w:rPr>
          <w:rFonts w:hint="eastAsia"/>
          <w:rtl/>
        </w:rPr>
        <w:t>إسماعيل</w:t>
      </w:r>
      <w:r w:rsidRPr="00591A13">
        <w:rPr>
          <w:rtl/>
        </w:rPr>
        <w:t xml:space="preserve"> </w:t>
      </w:r>
      <w:r w:rsidRPr="00591A13">
        <w:rPr>
          <w:rFonts w:hint="eastAsia"/>
          <w:rtl/>
        </w:rPr>
        <w:t>الصيني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ابن</w:t>
      </w:r>
      <w:r w:rsidRPr="00591A13">
        <w:rPr>
          <w:rtl/>
        </w:rPr>
        <w:t xml:space="preserve"> </w:t>
      </w:r>
      <w:r w:rsidRPr="00591A13">
        <w:rPr>
          <w:rFonts w:hint="eastAsia"/>
          <w:rtl/>
        </w:rPr>
        <w:t>الجوزي،</w:t>
      </w:r>
      <w:r w:rsidRPr="00591A13">
        <w:rPr>
          <w:rtl/>
        </w:rPr>
        <w:t xml:space="preserve"> </w:t>
      </w:r>
      <w:r w:rsidRPr="00591A13">
        <w:rPr>
          <w:rFonts w:hint="eastAsia"/>
          <w:rtl/>
        </w:rPr>
        <w:t>المملكة</w:t>
      </w:r>
      <w:r w:rsidRPr="00591A13">
        <w:rPr>
          <w:rtl/>
        </w:rPr>
        <w:t xml:space="preserve"> </w:t>
      </w:r>
      <w:r w:rsidRPr="00591A13">
        <w:rPr>
          <w:rFonts w:hint="eastAsia"/>
          <w:rtl/>
        </w:rPr>
        <w:t>العربية</w:t>
      </w:r>
      <w:r w:rsidRPr="00591A13">
        <w:rPr>
          <w:rtl/>
        </w:rPr>
        <w:t xml:space="preserve"> </w:t>
      </w:r>
      <w:r w:rsidRPr="00591A13">
        <w:rPr>
          <w:rFonts w:hint="eastAsia"/>
          <w:rtl/>
        </w:rPr>
        <w:t>السعودية،</w:t>
      </w:r>
      <w:r w:rsidRPr="00591A13">
        <w:rPr>
          <w:rtl/>
        </w:rPr>
        <w:t xml:space="preserve"> 2008</w:t>
      </w:r>
      <w:r w:rsidRPr="00591A13">
        <w:rPr>
          <w:rFonts w:hint="eastAsia"/>
          <w:rtl/>
        </w:rPr>
        <w:t>م</w:t>
      </w:r>
      <w:r w:rsidRPr="00591A13">
        <w:rPr>
          <w:rtl/>
        </w:rPr>
        <w:t>.</w:t>
      </w:r>
    </w:p>
    <w:p w:rsidR="005F44B2" w:rsidRPr="00591A13" w:rsidRDefault="005F44B2" w:rsidP="006B62FE">
      <w:pPr>
        <w:pStyle w:val="Subtitle"/>
        <w:numPr>
          <w:ilvl w:val="0"/>
          <w:numId w:val="46"/>
        </w:numPr>
        <w:spacing w:line="259" w:lineRule="auto"/>
        <w:jc w:val="both"/>
      </w:pPr>
      <w:r w:rsidRPr="00591A13">
        <w:rPr>
          <w:rFonts w:hint="eastAsia"/>
          <w:rtl/>
        </w:rPr>
        <w:t>الشربيني،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الخطيب</w:t>
      </w:r>
      <w:r w:rsidRPr="00591A13">
        <w:rPr>
          <w:rtl/>
        </w:rPr>
        <w:t xml:space="preserve"> </w:t>
      </w:r>
      <w:r w:rsidRPr="00591A13">
        <w:rPr>
          <w:rFonts w:hint="eastAsia"/>
          <w:rtl/>
        </w:rPr>
        <w:t>الشربيني</w:t>
      </w:r>
      <w:r w:rsidRPr="00591A13">
        <w:rPr>
          <w:rtl/>
        </w:rPr>
        <w:t xml:space="preserve"> (</w:t>
      </w:r>
      <w:r w:rsidRPr="00591A13">
        <w:rPr>
          <w:rFonts w:hint="eastAsia"/>
          <w:rtl/>
        </w:rPr>
        <w:t>ت</w:t>
      </w:r>
      <w:r w:rsidRPr="00591A13">
        <w:rPr>
          <w:rtl/>
        </w:rPr>
        <w:t xml:space="preserve"> 977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مغني</w:t>
      </w:r>
      <w:r w:rsidRPr="00591A13">
        <w:rPr>
          <w:b/>
          <w:bCs/>
          <w:rtl/>
        </w:rPr>
        <w:t xml:space="preserve"> </w:t>
      </w:r>
      <w:r w:rsidRPr="00591A13">
        <w:rPr>
          <w:rFonts w:hint="eastAsia"/>
          <w:b/>
          <w:bCs/>
          <w:rtl/>
        </w:rPr>
        <w:t>المحتاج</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معرفة</w:t>
      </w:r>
      <w:r w:rsidRPr="00591A13">
        <w:rPr>
          <w:b/>
          <w:bCs/>
          <w:rtl/>
        </w:rPr>
        <w:t xml:space="preserve"> </w:t>
      </w:r>
      <w:r w:rsidRPr="00591A13">
        <w:rPr>
          <w:rFonts w:hint="eastAsia"/>
          <w:b/>
          <w:bCs/>
          <w:rtl/>
        </w:rPr>
        <w:t>معاني</w:t>
      </w:r>
      <w:r w:rsidRPr="00591A13">
        <w:rPr>
          <w:b/>
          <w:bCs/>
          <w:rtl/>
        </w:rPr>
        <w:t xml:space="preserve"> </w:t>
      </w:r>
      <w:r w:rsidRPr="00591A13">
        <w:rPr>
          <w:rFonts w:hint="eastAsia"/>
          <w:b/>
          <w:bCs/>
          <w:rtl/>
        </w:rPr>
        <w:t>ألفاظ</w:t>
      </w:r>
      <w:r w:rsidRPr="00591A13">
        <w:rPr>
          <w:b/>
          <w:bCs/>
          <w:rtl/>
        </w:rPr>
        <w:t xml:space="preserve"> </w:t>
      </w:r>
      <w:r w:rsidRPr="00591A13">
        <w:rPr>
          <w:rFonts w:hint="eastAsia"/>
          <w:b/>
          <w:bCs/>
          <w:rtl/>
        </w:rPr>
        <w:t>المنهاجعلى</w:t>
      </w:r>
      <w:r w:rsidRPr="00591A13">
        <w:rPr>
          <w:b/>
          <w:bCs/>
          <w:rtl/>
        </w:rPr>
        <w:t xml:space="preserve"> </w:t>
      </w:r>
      <w:r w:rsidRPr="00591A13">
        <w:rPr>
          <w:rFonts w:hint="eastAsia"/>
          <w:b/>
          <w:bCs/>
          <w:rtl/>
        </w:rPr>
        <w:t>متن</w:t>
      </w:r>
      <w:r w:rsidRPr="00591A13">
        <w:rPr>
          <w:b/>
          <w:bCs/>
          <w:rtl/>
        </w:rPr>
        <w:t xml:space="preserve"> </w:t>
      </w:r>
      <w:r w:rsidRPr="00591A13">
        <w:rPr>
          <w:rFonts w:hint="eastAsia"/>
          <w:b/>
          <w:bCs/>
          <w:rtl/>
        </w:rPr>
        <w:t>منهاج</w:t>
      </w:r>
      <w:r w:rsidRPr="00591A13">
        <w:rPr>
          <w:b/>
          <w:bCs/>
          <w:rtl/>
        </w:rPr>
        <w:t xml:space="preserve"> </w:t>
      </w:r>
      <w:r w:rsidRPr="00591A13">
        <w:rPr>
          <w:rFonts w:hint="eastAsia"/>
          <w:b/>
          <w:bCs/>
          <w:rtl/>
        </w:rPr>
        <w:t>الطالبين</w:t>
      </w:r>
      <w:r w:rsidRPr="00591A13">
        <w:rPr>
          <w:b/>
          <w:bCs/>
          <w:rtl/>
        </w:rPr>
        <w:t xml:space="preserve"> </w:t>
      </w:r>
      <w:r w:rsidRPr="00591A13">
        <w:rPr>
          <w:rFonts w:hint="eastAsia"/>
          <w:b/>
          <w:bCs/>
          <w:rtl/>
        </w:rPr>
        <w:t>للنووي</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اعتنى</w:t>
      </w:r>
      <w:r w:rsidRPr="00591A13">
        <w:rPr>
          <w:rtl/>
        </w:rPr>
        <w:t xml:space="preserve"> </w:t>
      </w:r>
      <w:r w:rsidRPr="00591A13">
        <w:rPr>
          <w:rFonts w:hint="eastAsia"/>
          <w:rtl/>
        </w:rPr>
        <w:t>به</w:t>
      </w:r>
      <w:r w:rsidRPr="00591A13">
        <w:rPr>
          <w:rtl/>
        </w:rPr>
        <w:t xml:space="preserve"> </w:t>
      </w:r>
      <w:r w:rsidRPr="00591A13">
        <w:rPr>
          <w:rFonts w:hint="eastAsia"/>
          <w:rtl/>
        </w:rPr>
        <w:t>محمد</w:t>
      </w:r>
      <w:r w:rsidRPr="00591A13">
        <w:rPr>
          <w:rtl/>
        </w:rPr>
        <w:t xml:space="preserve"> </w:t>
      </w:r>
      <w:r w:rsidRPr="00591A13">
        <w:rPr>
          <w:rFonts w:hint="eastAsia"/>
          <w:rtl/>
        </w:rPr>
        <w:t>خليل</w:t>
      </w:r>
      <w:r w:rsidRPr="00591A13">
        <w:rPr>
          <w:rtl/>
        </w:rPr>
        <w:t xml:space="preserve"> </w:t>
      </w:r>
      <w:r w:rsidRPr="00591A13">
        <w:rPr>
          <w:rFonts w:hint="eastAsia"/>
          <w:rtl/>
        </w:rPr>
        <w:t>عيتاني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المعرفة،</w:t>
      </w:r>
      <w:r w:rsidRPr="00591A13">
        <w:rPr>
          <w:rtl/>
        </w:rPr>
        <w:t xml:space="preserve"> </w:t>
      </w:r>
      <w:r w:rsidRPr="00591A13">
        <w:rPr>
          <w:rFonts w:hint="eastAsia"/>
          <w:rtl/>
        </w:rPr>
        <w:t>بيروت،</w:t>
      </w:r>
      <w:r w:rsidRPr="00591A13">
        <w:rPr>
          <w:rtl/>
        </w:rPr>
        <w:t xml:space="preserve"> 1997</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الشربيني،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الخطيب</w:t>
      </w:r>
      <w:r w:rsidRPr="00591A13">
        <w:rPr>
          <w:rtl/>
        </w:rPr>
        <w:t xml:space="preserve"> </w:t>
      </w:r>
      <w:r w:rsidRPr="00591A13">
        <w:rPr>
          <w:rFonts w:hint="eastAsia"/>
          <w:rtl/>
        </w:rPr>
        <w:t>الشربيني</w:t>
      </w:r>
      <w:r w:rsidRPr="00591A13">
        <w:rPr>
          <w:rtl/>
        </w:rPr>
        <w:t xml:space="preserve"> (</w:t>
      </w:r>
      <w:r w:rsidRPr="00591A13">
        <w:rPr>
          <w:rFonts w:hint="eastAsia"/>
          <w:rtl/>
        </w:rPr>
        <w:t>ت</w:t>
      </w:r>
      <w:r w:rsidRPr="00591A13">
        <w:rPr>
          <w:rtl/>
        </w:rPr>
        <w:t xml:space="preserve"> 977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مغني</w:t>
      </w:r>
      <w:r w:rsidRPr="00591A13">
        <w:rPr>
          <w:b/>
          <w:bCs/>
          <w:rtl/>
        </w:rPr>
        <w:t xml:space="preserve"> </w:t>
      </w:r>
      <w:r w:rsidRPr="00591A13">
        <w:rPr>
          <w:rFonts w:hint="eastAsia"/>
          <w:b/>
          <w:bCs/>
          <w:rtl/>
        </w:rPr>
        <w:t>المحتاج</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معرفة</w:t>
      </w:r>
      <w:r w:rsidRPr="00591A13">
        <w:rPr>
          <w:b/>
          <w:bCs/>
          <w:rtl/>
        </w:rPr>
        <w:t xml:space="preserve"> </w:t>
      </w:r>
      <w:r w:rsidRPr="00591A13">
        <w:rPr>
          <w:rFonts w:hint="eastAsia"/>
          <w:b/>
          <w:bCs/>
          <w:rtl/>
        </w:rPr>
        <w:t>معاني</w:t>
      </w:r>
      <w:r w:rsidRPr="00591A13">
        <w:rPr>
          <w:b/>
          <w:bCs/>
          <w:rtl/>
        </w:rPr>
        <w:t xml:space="preserve"> </w:t>
      </w:r>
      <w:r w:rsidRPr="00591A13">
        <w:rPr>
          <w:rFonts w:hint="eastAsia"/>
          <w:b/>
          <w:bCs/>
          <w:rtl/>
        </w:rPr>
        <w:t>ألفاظ</w:t>
      </w:r>
      <w:r w:rsidRPr="00591A13">
        <w:rPr>
          <w:b/>
          <w:bCs/>
          <w:rtl/>
        </w:rPr>
        <w:t xml:space="preserve"> </w:t>
      </w:r>
      <w:r w:rsidRPr="00591A13">
        <w:rPr>
          <w:rFonts w:hint="eastAsia"/>
          <w:b/>
          <w:bCs/>
          <w:rtl/>
        </w:rPr>
        <w:t>المنهاج</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1994</w:t>
      </w:r>
      <w:r w:rsidRPr="00591A13">
        <w:rPr>
          <w:rFonts w:hint="eastAsia"/>
          <w:rtl/>
        </w:rPr>
        <w:t>م</w:t>
      </w:r>
      <w:r w:rsidRPr="00591A13">
        <w:rPr>
          <w:rtl/>
        </w:rPr>
        <w:t>.</w:t>
      </w:r>
    </w:p>
    <w:p w:rsidR="005F44B2" w:rsidRPr="00591A13" w:rsidRDefault="005F44B2" w:rsidP="002A3463">
      <w:pPr>
        <w:pStyle w:val="Subtitle"/>
        <w:numPr>
          <w:ilvl w:val="0"/>
          <w:numId w:val="46"/>
        </w:numPr>
        <w:spacing w:line="259" w:lineRule="auto"/>
        <w:jc w:val="both"/>
      </w:pPr>
      <w:r w:rsidRPr="00591A13">
        <w:rPr>
          <w:rFonts w:hint="eastAsia"/>
          <w:rtl/>
        </w:rPr>
        <w:t>الشوكاني،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الشوكاني</w:t>
      </w:r>
      <w:r w:rsidRPr="00591A13">
        <w:rPr>
          <w:rtl/>
        </w:rPr>
        <w:t xml:space="preserve"> </w:t>
      </w:r>
      <w:r w:rsidRPr="00591A13">
        <w:rPr>
          <w:rFonts w:hint="eastAsia"/>
          <w:rtl/>
        </w:rPr>
        <w:t>اليمني</w:t>
      </w:r>
      <w:r w:rsidRPr="00591A13">
        <w:rPr>
          <w:rtl/>
        </w:rPr>
        <w:t xml:space="preserve"> (</w:t>
      </w:r>
      <w:r>
        <w:rPr>
          <w:rFonts w:hint="eastAsia"/>
          <w:rtl/>
        </w:rPr>
        <w:t>ت</w:t>
      </w:r>
      <w:r>
        <w:rPr>
          <w:rtl/>
        </w:rPr>
        <w:t xml:space="preserve"> </w:t>
      </w:r>
      <w:r w:rsidRPr="00591A13">
        <w:rPr>
          <w:rtl/>
        </w:rPr>
        <w:t>1250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إرشاد</w:t>
      </w:r>
      <w:r w:rsidRPr="00591A13">
        <w:rPr>
          <w:b/>
          <w:bCs/>
          <w:rtl/>
        </w:rPr>
        <w:t xml:space="preserve"> </w:t>
      </w:r>
      <w:r w:rsidRPr="00591A13">
        <w:rPr>
          <w:rFonts w:hint="eastAsia"/>
          <w:b/>
          <w:bCs/>
          <w:rtl/>
        </w:rPr>
        <w:t>الفحول</w:t>
      </w:r>
      <w:r w:rsidRPr="00591A13">
        <w:rPr>
          <w:b/>
          <w:bCs/>
          <w:rtl/>
        </w:rPr>
        <w:t xml:space="preserve"> </w:t>
      </w:r>
      <w:r w:rsidRPr="00591A13">
        <w:rPr>
          <w:rFonts w:hint="eastAsia"/>
          <w:b/>
          <w:bCs/>
          <w:rtl/>
        </w:rPr>
        <w:t>إلي</w:t>
      </w:r>
      <w:r w:rsidRPr="00591A13">
        <w:rPr>
          <w:b/>
          <w:bCs/>
          <w:rtl/>
        </w:rPr>
        <w:t xml:space="preserve"> </w:t>
      </w:r>
      <w:r w:rsidRPr="00591A13">
        <w:rPr>
          <w:rFonts w:hint="eastAsia"/>
          <w:b/>
          <w:bCs/>
          <w:rtl/>
        </w:rPr>
        <w:t>تحقيق</w:t>
      </w:r>
      <w:r w:rsidRPr="00591A13">
        <w:rPr>
          <w:b/>
          <w:bCs/>
          <w:rtl/>
        </w:rPr>
        <w:t xml:space="preserve"> </w:t>
      </w:r>
      <w:r w:rsidRPr="00591A13">
        <w:rPr>
          <w:rFonts w:hint="eastAsia"/>
          <w:b/>
          <w:bCs/>
          <w:rtl/>
        </w:rPr>
        <w:t>الحق</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علم</w:t>
      </w:r>
      <w:r w:rsidRPr="00591A13">
        <w:rPr>
          <w:b/>
          <w:bCs/>
          <w:rtl/>
        </w:rPr>
        <w:t xml:space="preserve"> </w:t>
      </w:r>
      <w:r w:rsidRPr="00591A13">
        <w:rPr>
          <w:rFonts w:hint="eastAsia"/>
          <w:b/>
          <w:bCs/>
          <w:rtl/>
        </w:rPr>
        <w:t>الأصول</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2</w:t>
      </w:r>
      <w:r w:rsidRPr="00591A13">
        <w:rPr>
          <w:rFonts w:hint="eastAsia"/>
          <w:rtl/>
        </w:rPr>
        <w:t>م،</w:t>
      </w:r>
      <w:r w:rsidRPr="00591A13">
        <w:rPr>
          <w:rtl/>
        </w:rPr>
        <w:t xml:space="preserve"> (</w:t>
      </w:r>
      <w:r>
        <w:rPr>
          <w:rFonts w:hint="eastAsia"/>
          <w:rtl/>
        </w:rPr>
        <w:t>المحقق</w:t>
      </w:r>
      <w:r>
        <w:rPr>
          <w:rtl/>
        </w:rPr>
        <w:t xml:space="preserve">: </w:t>
      </w:r>
      <w:r>
        <w:rPr>
          <w:rFonts w:hint="eastAsia"/>
          <w:rtl/>
        </w:rPr>
        <w:t>أحمد</w:t>
      </w:r>
      <w:r>
        <w:rPr>
          <w:rtl/>
        </w:rPr>
        <w:t xml:space="preserve"> </w:t>
      </w:r>
      <w:r>
        <w:rPr>
          <w:rFonts w:hint="eastAsia"/>
          <w:rtl/>
        </w:rPr>
        <w:t>عزو</w:t>
      </w:r>
      <w:r>
        <w:rPr>
          <w:rtl/>
        </w:rPr>
        <w:t xml:space="preserve"> </w:t>
      </w:r>
      <w:r>
        <w:rPr>
          <w:rFonts w:hint="eastAsia"/>
          <w:rtl/>
        </w:rPr>
        <w:t>عناية،</w:t>
      </w:r>
      <w:r>
        <w:rPr>
          <w:rtl/>
        </w:rPr>
        <w:t xml:space="preserve"> </w:t>
      </w:r>
      <w:r>
        <w:rPr>
          <w:rFonts w:hint="eastAsia"/>
          <w:rtl/>
        </w:rPr>
        <w:t>دمشق</w:t>
      </w:r>
      <w:r>
        <w:rPr>
          <w:rtl/>
        </w:rPr>
        <w:t xml:space="preserve"> - </w:t>
      </w:r>
      <w:r>
        <w:rPr>
          <w:rFonts w:hint="eastAsia"/>
          <w:rtl/>
        </w:rPr>
        <w:t>كفر</w:t>
      </w:r>
      <w:r>
        <w:rPr>
          <w:rtl/>
        </w:rPr>
        <w:t xml:space="preserve"> </w:t>
      </w:r>
      <w:r>
        <w:rPr>
          <w:rFonts w:hint="eastAsia"/>
          <w:rtl/>
        </w:rPr>
        <w:t>بطنا،</w:t>
      </w:r>
      <w:r>
        <w:rPr>
          <w:rtl/>
        </w:rPr>
        <w:t xml:space="preserve"> </w:t>
      </w:r>
      <w:r>
        <w:rPr>
          <w:rFonts w:hint="eastAsia"/>
          <w:rtl/>
        </w:rPr>
        <w:t>وقدم</w:t>
      </w:r>
      <w:r>
        <w:rPr>
          <w:rtl/>
        </w:rPr>
        <w:t xml:space="preserve"> </w:t>
      </w:r>
      <w:r>
        <w:rPr>
          <w:rFonts w:hint="eastAsia"/>
          <w:rtl/>
        </w:rPr>
        <w:t>له</w:t>
      </w:r>
      <w:r>
        <w:rPr>
          <w:rtl/>
        </w:rPr>
        <w:t xml:space="preserve">: </w:t>
      </w:r>
      <w:r>
        <w:rPr>
          <w:rFonts w:hint="eastAsia"/>
          <w:rtl/>
        </w:rPr>
        <w:t>الشيخ</w:t>
      </w:r>
      <w:r>
        <w:rPr>
          <w:rtl/>
        </w:rPr>
        <w:t xml:space="preserve"> </w:t>
      </w:r>
      <w:r>
        <w:rPr>
          <w:rFonts w:hint="eastAsia"/>
          <w:rtl/>
        </w:rPr>
        <w:t>خليل</w:t>
      </w:r>
      <w:r>
        <w:rPr>
          <w:rtl/>
        </w:rPr>
        <w:t xml:space="preserve"> </w:t>
      </w:r>
      <w:r>
        <w:rPr>
          <w:rFonts w:hint="eastAsia"/>
          <w:rtl/>
        </w:rPr>
        <w:t>الميس</w:t>
      </w:r>
      <w:r>
        <w:rPr>
          <w:rtl/>
        </w:rPr>
        <w:t xml:space="preserve"> </w:t>
      </w:r>
      <w:r>
        <w:rPr>
          <w:rFonts w:hint="eastAsia"/>
          <w:rtl/>
        </w:rPr>
        <w:t>والدكتور</w:t>
      </w:r>
      <w:r>
        <w:rPr>
          <w:rtl/>
        </w:rPr>
        <w:t xml:space="preserve"> </w:t>
      </w:r>
      <w:r>
        <w:rPr>
          <w:rFonts w:hint="eastAsia"/>
          <w:rtl/>
        </w:rPr>
        <w:t>ولي</w:t>
      </w:r>
      <w:r>
        <w:rPr>
          <w:rtl/>
        </w:rPr>
        <w:t xml:space="preserve"> </w:t>
      </w:r>
      <w:r>
        <w:rPr>
          <w:rFonts w:hint="eastAsia"/>
          <w:rtl/>
        </w:rPr>
        <w:t>الدين</w:t>
      </w:r>
      <w:r>
        <w:rPr>
          <w:rtl/>
        </w:rPr>
        <w:t xml:space="preserve"> </w:t>
      </w:r>
      <w:r>
        <w:rPr>
          <w:rFonts w:hint="eastAsia"/>
          <w:rtl/>
        </w:rPr>
        <w:t>صالح</w:t>
      </w:r>
      <w:r>
        <w:rPr>
          <w:rtl/>
        </w:rPr>
        <w:t xml:space="preserve"> </w:t>
      </w:r>
      <w:r>
        <w:rPr>
          <w:rFonts w:hint="eastAsia"/>
          <w:rtl/>
        </w:rPr>
        <w:t>فرفور</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Pr>
          <w:rFonts w:hint="eastAsia"/>
          <w:rtl/>
        </w:rPr>
        <w:t>الكتاب</w:t>
      </w:r>
      <w:r>
        <w:rPr>
          <w:rtl/>
        </w:rPr>
        <w:t xml:space="preserve"> </w:t>
      </w:r>
      <w:r>
        <w:rPr>
          <w:rFonts w:hint="eastAsia"/>
          <w:rtl/>
        </w:rPr>
        <w:t>العربي</w:t>
      </w:r>
      <w:r w:rsidRPr="00591A13">
        <w:rPr>
          <w:rFonts w:hint="eastAsia"/>
          <w:rtl/>
        </w:rPr>
        <w:t>،</w:t>
      </w:r>
      <w:r w:rsidRPr="001138CC">
        <w:rPr>
          <w:rtl/>
        </w:rPr>
        <w:t xml:space="preserve"> 1419</w:t>
      </w:r>
      <w:r w:rsidRPr="001138CC">
        <w:rPr>
          <w:rFonts w:hint="eastAsia"/>
          <w:rtl/>
        </w:rPr>
        <w:t>هـ</w:t>
      </w:r>
      <w:r w:rsidRPr="001138CC">
        <w:rPr>
          <w:rtl/>
        </w:rPr>
        <w:t xml:space="preserve"> </w:t>
      </w:r>
      <w:r>
        <w:rPr>
          <w:rtl/>
        </w:rPr>
        <w:t>/</w:t>
      </w:r>
      <w:r w:rsidRPr="001138CC">
        <w:rPr>
          <w:rtl/>
        </w:rPr>
        <w:t xml:space="preserve"> 1999</w:t>
      </w:r>
      <w:r w:rsidRPr="001138CC">
        <w:rPr>
          <w:rFonts w:hint="eastAsia"/>
          <w:rtl/>
        </w:rPr>
        <w:t>م</w:t>
      </w:r>
      <w:r w:rsidRPr="00591A13">
        <w:rPr>
          <w:rtl/>
        </w:rPr>
        <w:t>.</w:t>
      </w:r>
    </w:p>
    <w:p w:rsidR="005F44B2" w:rsidRPr="00591A13" w:rsidRDefault="005F44B2" w:rsidP="00E5244D">
      <w:pPr>
        <w:pStyle w:val="Subtitle"/>
        <w:numPr>
          <w:ilvl w:val="0"/>
          <w:numId w:val="46"/>
        </w:numPr>
        <w:spacing w:line="259" w:lineRule="auto"/>
        <w:jc w:val="both"/>
      </w:pPr>
      <w:r w:rsidRPr="00591A13">
        <w:rPr>
          <w:rFonts w:hint="eastAsia"/>
          <w:rtl/>
        </w:rPr>
        <w:t>الشيباني،</w:t>
      </w:r>
      <w:r w:rsidRPr="00591A13">
        <w:rPr>
          <w:rtl/>
        </w:rPr>
        <w:t xml:space="preserve"> </w:t>
      </w:r>
      <w:r w:rsidRPr="00591A13">
        <w:rPr>
          <w:rFonts w:hint="eastAsia"/>
          <w:rtl/>
        </w:rPr>
        <w:t>مجد</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السعادات</w:t>
      </w:r>
      <w:r w:rsidRPr="00591A13">
        <w:rPr>
          <w:rtl/>
        </w:rPr>
        <w:t xml:space="preserve"> </w:t>
      </w:r>
      <w:r w:rsidRPr="00591A13">
        <w:rPr>
          <w:rFonts w:hint="eastAsia"/>
          <w:rtl/>
        </w:rPr>
        <w:t>المبارك</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ابن</w:t>
      </w:r>
      <w:r w:rsidRPr="00591A13">
        <w:rPr>
          <w:rtl/>
        </w:rPr>
        <w:t xml:space="preserve"> </w:t>
      </w:r>
      <w:r w:rsidRPr="00591A13">
        <w:rPr>
          <w:rFonts w:hint="eastAsia"/>
          <w:rtl/>
        </w:rPr>
        <w:t>عبد</w:t>
      </w:r>
      <w:r w:rsidRPr="00591A13">
        <w:rPr>
          <w:rtl/>
        </w:rPr>
        <w:t xml:space="preserve"> </w:t>
      </w:r>
      <w:r w:rsidRPr="00591A13">
        <w:rPr>
          <w:rFonts w:hint="eastAsia"/>
          <w:rtl/>
        </w:rPr>
        <w:t>الكريم</w:t>
      </w:r>
      <w:r w:rsidRPr="00591A13">
        <w:rPr>
          <w:rtl/>
        </w:rPr>
        <w:t xml:space="preserve"> </w:t>
      </w:r>
      <w:r w:rsidRPr="00591A13">
        <w:rPr>
          <w:rFonts w:hint="eastAsia"/>
          <w:rtl/>
        </w:rPr>
        <w:t>الشيباني</w:t>
      </w:r>
      <w:r w:rsidRPr="00591A13">
        <w:rPr>
          <w:rtl/>
        </w:rPr>
        <w:t xml:space="preserve"> </w:t>
      </w:r>
      <w:r w:rsidRPr="00591A13">
        <w:rPr>
          <w:rFonts w:hint="eastAsia"/>
          <w:rtl/>
        </w:rPr>
        <w:t>الجزري</w:t>
      </w:r>
      <w:r w:rsidRPr="00591A13">
        <w:rPr>
          <w:rtl/>
        </w:rPr>
        <w:t xml:space="preserve"> </w:t>
      </w:r>
      <w:r w:rsidRPr="00591A13">
        <w:rPr>
          <w:rFonts w:hint="eastAsia"/>
          <w:rtl/>
        </w:rPr>
        <w:t>ابن</w:t>
      </w:r>
      <w:r w:rsidRPr="00591A13">
        <w:rPr>
          <w:rtl/>
        </w:rPr>
        <w:t xml:space="preserve"> </w:t>
      </w:r>
      <w:r w:rsidRPr="00591A13">
        <w:rPr>
          <w:rFonts w:hint="eastAsia"/>
          <w:rtl/>
        </w:rPr>
        <w:t>الأثير</w:t>
      </w:r>
      <w:r w:rsidRPr="00591A13">
        <w:rPr>
          <w:rtl/>
        </w:rPr>
        <w:t xml:space="preserve"> (</w:t>
      </w:r>
      <w:r w:rsidRPr="00591A13">
        <w:rPr>
          <w:rFonts w:hint="eastAsia"/>
          <w:rtl/>
        </w:rPr>
        <w:t>ت</w:t>
      </w:r>
      <w:r w:rsidRPr="00591A13">
        <w:rPr>
          <w:rtl/>
        </w:rPr>
        <w:t xml:space="preserve"> 606</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النهاية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غريب</w:t>
      </w:r>
      <w:r w:rsidRPr="00591A13">
        <w:rPr>
          <w:b/>
          <w:bCs/>
          <w:rtl/>
        </w:rPr>
        <w:t xml:space="preserve"> </w:t>
      </w:r>
      <w:r w:rsidRPr="00591A13">
        <w:rPr>
          <w:rFonts w:hint="eastAsia"/>
          <w:b/>
          <w:bCs/>
          <w:rtl/>
        </w:rPr>
        <w:t>الحديث</w:t>
      </w:r>
      <w:r w:rsidRPr="00591A13">
        <w:rPr>
          <w:b/>
          <w:bCs/>
          <w:rtl/>
        </w:rPr>
        <w:t xml:space="preserve"> </w:t>
      </w:r>
      <w:r w:rsidRPr="00591A13">
        <w:rPr>
          <w:rFonts w:hint="eastAsia"/>
          <w:b/>
          <w:bCs/>
          <w:rtl/>
        </w:rPr>
        <w:t>والأثر</w:t>
      </w:r>
      <w:r w:rsidRPr="00591A13">
        <w:rPr>
          <w:rFonts w:hint="eastAsia"/>
          <w:rtl/>
        </w:rPr>
        <w:t>،</w:t>
      </w:r>
      <w:r w:rsidRPr="00591A13">
        <w:rPr>
          <w:rtl/>
        </w:rPr>
        <w:t xml:space="preserve"> 5</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طاهر</w:t>
      </w:r>
      <w:r w:rsidRPr="00591A13">
        <w:rPr>
          <w:rtl/>
        </w:rPr>
        <w:t xml:space="preserve"> </w:t>
      </w:r>
      <w:r w:rsidRPr="00591A13">
        <w:rPr>
          <w:rFonts w:hint="eastAsia"/>
          <w:rtl/>
        </w:rPr>
        <w:t>أحمد</w:t>
      </w:r>
      <w:r w:rsidRPr="00591A13">
        <w:rPr>
          <w:rtl/>
        </w:rPr>
        <w:t xml:space="preserve"> </w:t>
      </w:r>
      <w:r w:rsidRPr="00591A13">
        <w:rPr>
          <w:rFonts w:hint="eastAsia"/>
          <w:rtl/>
        </w:rPr>
        <w:t>الزاوى</w:t>
      </w:r>
      <w:r w:rsidRPr="00591A13">
        <w:rPr>
          <w:rtl/>
        </w:rPr>
        <w:t xml:space="preserve"> - </w:t>
      </w:r>
      <w:r w:rsidRPr="00591A13">
        <w:rPr>
          <w:rFonts w:hint="eastAsia"/>
          <w:rtl/>
        </w:rPr>
        <w:t>محمود</w:t>
      </w:r>
      <w:r w:rsidRPr="00591A13">
        <w:rPr>
          <w:rtl/>
        </w:rPr>
        <w:t xml:space="preserve"> </w:t>
      </w:r>
      <w:r w:rsidRPr="00591A13">
        <w:rPr>
          <w:rFonts w:hint="eastAsia"/>
          <w:rtl/>
        </w:rPr>
        <w:t>محمد</w:t>
      </w:r>
      <w:r w:rsidRPr="00591A13">
        <w:rPr>
          <w:rtl/>
        </w:rPr>
        <w:t xml:space="preserve"> </w:t>
      </w:r>
      <w:r w:rsidRPr="00591A13">
        <w:rPr>
          <w:rFonts w:hint="eastAsia"/>
          <w:rtl/>
        </w:rPr>
        <w:t>الطناحي</w:t>
      </w:r>
      <w:r>
        <w:rPr>
          <w:rtl/>
        </w:rPr>
        <w:t>)</w:t>
      </w:r>
      <w:r>
        <w:rPr>
          <w:rFonts w:hint="eastAsia"/>
          <w:rtl/>
        </w:rPr>
        <w:t>،</w:t>
      </w:r>
      <w:r w:rsidRPr="00591A13">
        <w:rPr>
          <w:rtl/>
        </w:rPr>
        <w:t xml:space="preserve"> </w:t>
      </w:r>
      <w:r w:rsidRPr="00591A13">
        <w:rPr>
          <w:rFonts w:hint="eastAsia"/>
          <w:rtl/>
        </w:rPr>
        <w:t>المكتبة</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1399</w:t>
      </w:r>
      <w:r w:rsidRPr="00591A13">
        <w:rPr>
          <w:rFonts w:hint="eastAsia"/>
          <w:rtl/>
        </w:rPr>
        <w:t>هـ</w:t>
      </w:r>
      <w:r w:rsidRPr="00591A13">
        <w:rPr>
          <w:rtl/>
        </w:rPr>
        <w:t xml:space="preserve"> / 1979</w:t>
      </w:r>
      <w:r w:rsidRPr="00591A13">
        <w:rPr>
          <w:rFonts w:hint="eastAsia"/>
          <w:rtl/>
        </w:rPr>
        <w:t>م</w:t>
      </w:r>
      <w:r w:rsidRPr="00591A13">
        <w:rPr>
          <w:rtl/>
        </w:rPr>
        <w:t>.</w:t>
      </w:r>
    </w:p>
    <w:p w:rsidR="005F44B2" w:rsidRPr="00591A13" w:rsidRDefault="005F44B2" w:rsidP="00E5244D">
      <w:pPr>
        <w:pStyle w:val="Subtitle"/>
        <w:numPr>
          <w:ilvl w:val="0"/>
          <w:numId w:val="46"/>
        </w:numPr>
        <w:spacing w:line="259" w:lineRule="auto"/>
        <w:jc w:val="both"/>
        <w:rPr>
          <w:rtl/>
        </w:rPr>
      </w:pPr>
      <w:r w:rsidRPr="00591A13">
        <w:rPr>
          <w:rFonts w:hint="eastAsia"/>
          <w:rtl/>
        </w:rPr>
        <w:t>الشيخ</w:t>
      </w:r>
      <w:r w:rsidRPr="00591A13">
        <w:rPr>
          <w:rtl/>
        </w:rPr>
        <w:t xml:space="preserve"> </w:t>
      </w:r>
      <w:r w:rsidRPr="00591A13">
        <w:rPr>
          <w:rFonts w:hint="eastAsia"/>
          <w:rtl/>
        </w:rPr>
        <w:t>عبد</w:t>
      </w:r>
      <w:r w:rsidRPr="00591A13">
        <w:rPr>
          <w:rtl/>
        </w:rPr>
        <w:t xml:space="preserve"> </w:t>
      </w:r>
      <w:r w:rsidRPr="00591A13">
        <w:rPr>
          <w:rFonts w:hint="eastAsia"/>
          <w:rtl/>
        </w:rPr>
        <w:t>الرزاق</w:t>
      </w:r>
      <w:r w:rsidRPr="00591A13">
        <w:rPr>
          <w:rtl/>
        </w:rPr>
        <w:t xml:space="preserve"> </w:t>
      </w:r>
      <w:r w:rsidRPr="00591A13">
        <w:rPr>
          <w:rFonts w:hint="eastAsia"/>
          <w:rtl/>
        </w:rPr>
        <w:t>البيطار،</w:t>
      </w:r>
      <w:r w:rsidRPr="00591A13">
        <w:rPr>
          <w:rtl/>
        </w:rPr>
        <w:t xml:space="preserve"> </w:t>
      </w:r>
      <w:r w:rsidRPr="00591A13">
        <w:rPr>
          <w:rFonts w:hint="eastAsia"/>
          <w:rtl/>
        </w:rPr>
        <w:t>عبد</w:t>
      </w:r>
      <w:r w:rsidRPr="00591A13">
        <w:rPr>
          <w:rtl/>
        </w:rPr>
        <w:t xml:space="preserve"> </w:t>
      </w:r>
      <w:r w:rsidRPr="00591A13">
        <w:rPr>
          <w:rFonts w:hint="eastAsia"/>
          <w:rtl/>
        </w:rPr>
        <w:t>الرزاق</w:t>
      </w:r>
      <w:r w:rsidRPr="00591A13">
        <w:rPr>
          <w:rtl/>
        </w:rPr>
        <w:t xml:space="preserve"> </w:t>
      </w:r>
      <w:r w:rsidRPr="00591A13">
        <w:rPr>
          <w:rFonts w:hint="eastAsia"/>
          <w:rtl/>
        </w:rPr>
        <w:t>بن</w:t>
      </w:r>
      <w:r w:rsidRPr="00591A13">
        <w:rPr>
          <w:rtl/>
        </w:rPr>
        <w:t xml:space="preserve"> </w:t>
      </w:r>
      <w:r w:rsidRPr="00591A13">
        <w:rPr>
          <w:rFonts w:hint="eastAsia"/>
          <w:rtl/>
        </w:rPr>
        <w:t>حسن</w:t>
      </w:r>
      <w:r w:rsidRPr="00591A13">
        <w:rPr>
          <w:rtl/>
        </w:rPr>
        <w:t xml:space="preserve"> </w:t>
      </w:r>
      <w:r w:rsidRPr="00591A13">
        <w:rPr>
          <w:rFonts w:hint="eastAsia"/>
          <w:rtl/>
        </w:rPr>
        <w:t>بن</w:t>
      </w:r>
      <w:r w:rsidRPr="00591A13">
        <w:rPr>
          <w:rtl/>
        </w:rPr>
        <w:t xml:space="preserve"> </w:t>
      </w:r>
      <w:r w:rsidRPr="00591A13">
        <w:rPr>
          <w:rFonts w:hint="eastAsia"/>
          <w:rtl/>
        </w:rPr>
        <w:t>إبراهيم</w:t>
      </w:r>
      <w:r w:rsidRPr="00591A13">
        <w:rPr>
          <w:rtl/>
        </w:rPr>
        <w:t xml:space="preserve"> </w:t>
      </w:r>
      <w:r w:rsidRPr="00591A13">
        <w:rPr>
          <w:rFonts w:hint="eastAsia"/>
          <w:rtl/>
        </w:rPr>
        <w:t>البيطار</w:t>
      </w:r>
      <w:r w:rsidRPr="00591A13">
        <w:rPr>
          <w:rtl/>
        </w:rPr>
        <w:t xml:space="preserve"> </w:t>
      </w:r>
      <w:r w:rsidRPr="00591A13">
        <w:rPr>
          <w:rFonts w:hint="eastAsia"/>
          <w:rtl/>
        </w:rPr>
        <w:t>الميداني</w:t>
      </w:r>
      <w:r w:rsidRPr="00591A13">
        <w:rPr>
          <w:rtl/>
        </w:rPr>
        <w:t xml:space="preserve"> </w:t>
      </w:r>
      <w:r w:rsidRPr="00591A13">
        <w:rPr>
          <w:rFonts w:hint="eastAsia"/>
          <w:rtl/>
        </w:rPr>
        <w:t>الدمشقي</w:t>
      </w:r>
      <w:r w:rsidRPr="00591A13">
        <w:rPr>
          <w:rtl/>
        </w:rPr>
        <w:t xml:space="preserve"> (</w:t>
      </w:r>
      <w:r w:rsidRPr="00591A13">
        <w:rPr>
          <w:rFonts w:hint="eastAsia"/>
          <w:rtl/>
        </w:rPr>
        <w:t>ت</w:t>
      </w:r>
      <w:r w:rsidRPr="00591A13">
        <w:rPr>
          <w:rtl/>
        </w:rPr>
        <w:t xml:space="preserve"> 1335</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حلية</w:t>
      </w:r>
      <w:r w:rsidRPr="00591A13">
        <w:rPr>
          <w:b/>
          <w:bCs/>
          <w:rtl/>
        </w:rPr>
        <w:t xml:space="preserve"> </w:t>
      </w:r>
      <w:r w:rsidRPr="00591A13">
        <w:rPr>
          <w:rFonts w:hint="eastAsia"/>
          <w:b/>
          <w:bCs/>
          <w:rtl/>
        </w:rPr>
        <w:t>البشر</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تاريخ</w:t>
      </w:r>
      <w:r w:rsidRPr="00591A13">
        <w:rPr>
          <w:b/>
          <w:bCs/>
          <w:rtl/>
        </w:rPr>
        <w:t xml:space="preserve"> </w:t>
      </w:r>
      <w:r w:rsidRPr="00591A13">
        <w:rPr>
          <w:rFonts w:hint="eastAsia"/>
          <w:b/>
          <w:bCs/>
          <w:rtl/>
        </w:rPr>
        <w:t>القرن</w:t>
      </w:r>
      <w:r w:rsidRPr="00591A13">
        <w:rPr>
          <w:b/>
          <w:bCs/>
          <w:rtl/>
        </w:rPr>
        <w:t xml:space="preserve"> </w:t>
      </w:r>
      <w:r w:rsidRPr="00591A13">
        <w:rPr>
          <w:rFonts w:hint="eastAsia"/>
          <w:b/>
          <w:bCs/>
          <w:rtl/>
        </w:rPr>
        <w:t>الثالث</w:t>
      </w:r>
      <w:r w:rsidRPr="00591A13">
        <w:rPr>
          <w:b/>
          <w:bCs/>
          <w:rtl/>
        </w:rPr>
        <w:t xml:space="preserve"> </w:t>
      </w:r>
      <w:r w:rsidRPr="00591A13">
        <w:rPr>
          <w:rFonts w:hint="eastAsia"/>
          <w:b/>
          <w:bCs/>
          <w:rtl/>
        </w:rPr>
        <w:t>عشر،</w:t>
      </w:r>
      <w:r w:rsidRPr="00591A13">
        <w:rPr>
          <w:rFonts w:hint="eastAsia"/>
          <w:rtl/>
        </w:rPr>
        <w:t>ط</w:t>
      </w:r>
      <w:r w:rsidRPr="00591A13">
        <w:rPr>
          <w:rtl/>
        </w:rPr>
        <w:t>2</w:t>
      </w:r>
      <w:r w:rsidRPr="00591A13">
        <w:rPr>
          <w:rFonts w:hint="eastAsia"/>
          <w:rtl/>
        </w:rPr>
        <w:t>،</w:t>
      </w:r>
      <w:r w:rsidRPr="00591A13">
        <w:rPr>
          <w:rtl/>
        </w:rPr>
        <w:t>(</w:t>
      </w:r>
      <w:r w:rsidRPr="00591A13">
        <w:rPr>
          <w:rFonts w:hint="eastAsia"/>
          <w:rtl/>
        </w:rPr>
        <w:t>تحقيقمحمد</w:t>
      </w:r>
      <w:r w:rsidRPr="00591A13">
        <w:rPr>
          <w:rtl/>
        </w:rPr>
        <w:t xml:space="preserve"> </w:t>
      </w:r>
      <w:r w:rsidRPr="00591A13">
        <w:rPr>
          <w:rFonts w:hint="eastAsia"/>
          <w:rtl/>
        </w:rPr>
        <w:t>بهجة</w:t>
      </w:r>
      <w:r w:rsidRPr="00591A13">
        <w:rPr>
          <w:rtl/>
        </w:rPr>
        <w:t xml:space="preserve"> </w:t>
      </w:r>
      <w:r w:rsidRPr="00591A13">
        <w:rPr>
          <w:rFonts w:hint="eastAsia"/>
          <w:rtl/>
        </w:rPr>
        <w:t>البيطار</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صادر،</w:t>
      </w:r>
      <w:r w:rsidRPr="00591A13">
        <w:rPr>
          <w:rtl/>
        </w:rPr>
        <w:t xml:space="preserve"> </w:t>
      </w:r>
      <w:r w:rsidRPr="00591A13">
        <w:rPr>
          <w:rFonts w:hint="eastAsia"/>
          <w:rtl/>
        </w:rPr>
        <w:t>بيروت،</w:t>
      </w:r>
      <w:r w:rsidRPr="00591A13">
        <w:rPr>
          <w:rtl/>
        </w:rPr>
        <w:t xml:space="preserve"> 1993</w:t>
      </w:r>
      <w:r w:rsidRPr="00591A13">
        <w:rPr>
          <w:rFonts w:hint="eastAsia"/>
          <w:rtl/>
        </w:rPr>
        <w:t>م</w:t>
      </w:r>
      <w:r w:rsidRPr="00591A13">
        <w:rPr>
          <w:rtl/>
        </w:rPr>
        <w:t>.</w:t>
      </w:r>
    </w:p>
    <w:p w:rsidR="005F44B2" w:rsidRPr="00591A13" w:rsidRDefault="005F44B2" w:rsidP="00E5244D">
      <w:pPr>
        <w:pStyle w:val="Subtitle"/>
        <w:numPr>
          <w:ilvl w:val="0"/>
          <w:numId w:val="46"/>
        </w:numPr>
        <w:spacing w:line="259" w:lineRule="auto"/>
        <w:jc w:val="both"/>
      </w:pPr>
      <w:r w:rsidRPr="00591A13">
        <w:rPr>
          <w:rFonts w:hint="eastAsia"/>
          <w:rtl/>
        </w:rPr>
        <w:t>الطرابلسي،</w:t>
      </w:r>
      <w:r w:rsidRPr="00591A13">
        <w:rPr>
          <w:rtl/>
        </w:rPr>
        <w:t xml:space="preserve"> </w:t>
      </w:r>
      <w:r w:rsidRPr="00591A13">
        <w:rPr>
          <w:rFonts w:hint="eastAsia"/>
          <w:rtl/>
        </w:rPr>
        <w:t>علاء</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الحسن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خليل</w:t>
      </w:r>
      <w:r w:rsidRPr="00591A13">
        <w:rPr>
          <w:rtl/>
        </w:rPr>
        <w:t xml:space="preserve"> </w:t>
      </w:r>
      <w:r w:rsidRPr="00591A13">
        <w:rPr>
          <w:rFonts w:hint="eastAsia"/>
          <w:rtl/>
        </w:rPr>
        <w:t>الطرابلسي</w:t>
      </w:r>
      <w:r w:rsidRPr="00591A13">
        <w:rPr>
          <w:rtl/>
        </w:rPr>
        <w:t xml:space="preserve"> </w:t>
      </w:r>
      <w:r w:rsidRPr="00591A13">
        <w:rPr>
          <w:rFonts w:hint="eastAsia"/>
          <w:rtl/>
        </w:rPr>
        <w:t>الحنفي</w:t>
      </w:r>
      <w:r w:rsidRPr="00591A13">
        <w:rPr>
          <w:rtl/>
        </w:rPr>
        <w:t xml:space="preserve"> (</w:t>
      </w:r>
      <w:r w:rsidRPr="00591A13">
        <w:rPr>
          <w:rFonts w:hint="eastAsia"/>
          <w:rtl/>
        </w:rPr>
        <w:t>ت</w:t>
      </w:r>
      <w:r w:rsidRPr="00591A13">
        <w:rPr>
          <w:rtl/>
        </w:rPr>
        <w:t>844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معين</w:t>
      </w:r>
      <w:r w:rsidRPr="00591A13">
        <w:rPr>
          <w:b/>
          <w:bCs/>
          <w:rtl/>
        </w:rPr>
        <w:t xml:space="preserve"> </w:t>
      </w:r>
      <w:r w:rsidRPr="00591A13">
        <w:rPr>
          <w:rFonts w:hint="eastAsia"/>
          <w:b/>
          <w:bCs/>
          <w:rtl/>
        </w:rPr>
        <w:t>الحكام</w:t>
      </w:r>
      <w:r w:rsidRPr="00591A13">
        <w:rPr>
          <w:b/>
          <w:bCs/>
          <w:rtl/>
        </w:rPr>
        <w:t xml:space="preserve"> </w:t>
      </w:r>
      <w:r w:rsidRPr="00591A13">
        <w:rPr>
          <w:rFonts w:hint="eastAsia"/>
          <w:b/>
          <w:bCs/>
          <w:rtl/>
        </w:rPr>
        <w:t>فيما</w:t>
      </w:r>
      <w:r w:rsidRPr="00591A13">
        <w:rPr>
          <w:b/>
          <w:bCs/>
          <w:rtl/>
        </w:rPr>
        <w:t xml:space="preserve"> </w:t>
      </w:r>
      <w:r w:rsidRPr="00591A13">
        <w:rPr>
          <w:rFonts w:hint="eastAsia"/>
          <w:b/>
          <w:bCs/>
          <w:rtl/>
        </w:rPr>
        <w:t>يتردد</w:t>
      </w:r>
      <w:r w:rsidRPr="00591A13">
        <w:rPr>
          <w:b/>
          <w:bCs/>
          <w:rtl/>
        </w:rPr>
        <w:t xml:space="preserve"> </w:t>
      </w:r>
      <w:r w:rsidRPr="00591A13">
        <w:rPr>
          <w:rFonts w:hint="eastAsia"/>
          <w:b/>
          <w:bCs/>
          <w:rtl/>
        </w:rPr>
        <w:t>بين</w:t>
      </w:r>
      <w:r w:rsidRPr="00591A13">
        <w:rPr>
          <w:b/>
          <w:bCs/>
          <w:rtl/>
        </w:rPr>
        <w:t xml:space="preserve"> </w:t>
      </w:r>
      <w:r w:rsidRPr="00591A13">
        <w:rPr>
          <w:rFonts w:hint="eastAsia"/>
          <w:b/>
          <w:bCs/>
          <w:rtl/>
        </w:rPr>
        <w:t>الخصمين</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الأحكام</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w:t>
      </w:r>
    </w:p>
    <w:p w:rsidR="005F44B2" w:rsidRPr="00591A13" w:rsidRDefault="005F44B2" w:rsidP="009041BC">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عابدين،</w:t>
      </w:r>
      <w:r w:rsidRPr="00591A13">
        <w:rPr>
          <w:rtl/>
        </w:rPr>
        <w:t xml:space="preserve"> </w:t>
      </w:r>
      <w:r w:rsidRPr="00591A13">
        <w:rPr>
          <w:rFonts w:hint="eastAsia"/>
          <w:rtl/>
        </w:rPr>
        <w:t>محمد</w:t>
      </w:r>
      <w:r w:rsidRPr="00591A13">
        <w:rPr>
          <w:rtl/>
        </w:rPr>
        <w:t xml:space="preserve"> </w:t>
      </w:r>
      <w:r w:rsidRPr="00591A13">
        <w:rPr>
          <w:rFonts w:hint="eastAsia"/>
          <w:rtl/>
        </w:rPr>
        <w:t>أمين</w:t>
      </w:r>
      <w:r w:rsidRPr="00591A13">
        <w:rPr>
          <w:rtl/>
        </w:rPr>
        <w:t xml:space="preserve"> </w:t>
      </w:r>
      <w:r w:rsidRPr="00591A13">
        <w:rPr>
          <w:rFonts w:hint="eastAsia"/>
          <w:rtl/>
        </w:rPr>
        <w:t>الشهير</w:t>
      </w:r>
      <w:r w:rsidRPr="00591A13">
        <w:rPr>
          <w:rtl/>
        </w:rPr>
        <w:t xml:space="preserve"> </w:t>
      </w:r>
      <w:r w:rsidRPr="00591A13">
        <w:rPr>
          <w:rFonts w:hint="eastAsia"/>
          <w:rtl/>
        </w:rPr>
        <w:t>بابن</w:t>
      </w:r>
      <w:r w:rsidRPr="00591A13">
        <w:rPr>
          <w:rtl/>
        </w:rPr>
        <w:t xml:space="preserve"> </w:t>
      </w:r>
      <w:r w:rsidRPr="00591A13">
        <w:rPr>
          <w:rFonts w:hint="eastAsia"/>
          <w:rtl/>
        </w:rPr>
        <w:t>عابدين</w:t>
      </w:r>
      <w:r w:rsidRPr="00591A13">
        <w:rPr>
          <w:rtl/>
        </w:rPr>
        <w:t xml:space="preserve"> (</w:t>
      </w:r>
      <w:r w:rsidRPr="00591A13">
        <w:rPr>
          <w:rFonts w:hint="eastAsia"/>
          <w:rtl/>
        </w:rPr>
        <w:t>ت</w:t>
      </w:r>
      <w:r w:rsidRPr="00591A13">
        <w:rPr>
          <w:rtl/>
        </w:rPr>
        <w:t>1252</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رد</w:t>
      </w:r>
      <w:r w:rsidRPr="00591A13">
        <w:rPr>
          <w:b/>
          <w:bCs/>
          <w:rtl/>
        </w:rPr>
        <w:t xml:space="preserve"> </w:t>
      </w:r>
      <w:r w:rsidRPr="00591A13">
        <w:rPr>
          <w:rFonts w:hint="eastAsia"/>
          <w:b/>
          <w:bCs/>
          <w:rtl/>
        </w:rPr>
        <w:t>المحتار</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الدر</w:t>
      </w:r>
      <w:r w:rsidRPr="00591A13">
        <w:rPr>
          <w:b/>
          <w:bCs/>
          <w:rtl/>
        </w:rPr>
        <w:t xml:space="preserve"> </w:t>
      </w:r>
      <w:r w:rsidRPr="00591A13">
        <w:rPr>
          <w:rFonts w:hint="eastAsia"/>
          <w:b/>
          <w:bCs/>
          <w:rtl/>
        </w:rPr>
        <w:t>المختار</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تنوير</w:t>
      </w:r>
      <w:r w:rsidRPr="00591A13">
        <w:rPr>
          <w:b/>
          <w:bCs/>
          <w:rtl/>
        </w:rPr>
        <w:t xml:space="preserve"> </w:t>
      </w:r>
      <w:r w:rsidRPr="00591A13">
        <w:rPr>
          <w:rFonts w:hint="eastAsia"/>
          <w:b/>
          <w:bCs/>
          <w:rtl/>
        </w:rPr>
        <w:t>الأبصار،</w:t>
      </w:r>
      <w:r w:rsidRPr="00591A13">
        <w:rPr>
          <w:b/>
          <w:bCs/>
          <w:rtl/>
        </w:rPr>
        <w:t xml:space="preserve"> </w:t>
      </w:r>
      <w:r w:rsidRPr="00591A13">
        <w:rPr>
          <w:rFonts w:hint="eastAsia"/>
          <w:b/>
          <w:bCs/>
          <w:rtl/>
        </w:rPr>
        <w:t>مع</w:t>
      </w:r>
      <w:r w:rsidRPr="00591A13">
        <w:rPr>
          <w:b/>
          <w:bCs/>
          <w:rtl/>
        </w:rPr>
        <w:t xml:space="preserve"> </w:t>
      </w:r>
      <w:r w:rsidRPr="00591A13">
        <w:rPr>
          <w:rFonts w:hint="eastAsia"/>
          <w:b/>
          <w:bCs/>
          <w:rtl/>
        </w:rPr>
        <w:t>تكملة</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عابدين</w:t>
      </w:r>
      <w:r w:rsidRPr="00591A13">
        <w:rPr>
          <w:b/>
          <w:bCs/>
          <w:rtl/>
        </w:rPr>
        <w:t xml:space="preserve"> </w:t>
      </w:r>
      <w:r w:rsidRPr="00591A13">
        <w:rPr>
          <w:rFonts w:hint="eastAsia"/>
          <w:b/>
          <w:bCs/>
          <w:rtl/>
        </w:rPr>
        <w:t>لنجل</w:t>
      </w:r>
      <w:r w:rsidRPr="00591A13">
        <w:rPr>
          <w:b/>
          <w:bCs/>
          <w:rtl/>
        </w:rPr>
        <w:t xml:space="preserve"> </w:t>
      </w:r>
      <w:r w:rsidRPr="00591A13">
        <w:rPr>
          <w:rFonts w:hint="eastAsia"/>
          <w:b/>
          <w:bCs/>
          <w:rtl/>
        </w:rPr>
        <w:t>المؤلف</w:t>
      </w:r>
      <w:r>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12</w:t>
      </w:r>
      <w:r w:rsidRPr="00591A13">
        <w:rPr>
          <w:rFonts w:hint="eastAsia"/>
          <w:rtl/>
        </w:rPr>
        <w:t>م،</w:t>
      </w:r>
      <w:r>
        <w:rPr>
          <w:rtl/>
        </w:rPr>
        <w:t xml:space="preserve"> (</w:t>
      </w:r>
      <w:r w:rsidRPr="00591A13">
        <w:rPr>
          <w:rFonts w:hint="eastAsia"/>
          <w:rtl/>
        </w:rPr>
        <w:t>دراسة</w:t>
      </w:r>
      <w:r w:rsidRPr="00591A13">
        <w:rPr>
          <w:rtl/>
        </w:rPr>
        <w:t xml:space="preserve"> </w:t>
      </w:r>
      <w:r w:rsidRPr="00591A13">
        <w:rPr>
          <w:rFonts w:hint="eastAsia"/>
          <w:rtl/>
        </w:rPr>
        <w:t>وتحقيق</w:t>
      </w:r>
      <w:r w:rsidRPr="00591A13">
        <w:rPr>
          <w:rtl/>
        </w:rPr>
        <w:t xml:space="preserve"> </w:t>
      </w:r>
      <w:r w:rsidRPr="00591A13">
        <w:rPr>
          <w:rFonts w:hint="eastAsia"/>
          <w:rtl/>
        </w:rPr>
        <w:t>وتعديل</w:t>
      </w:r>
      <w:r w:rsidRPr="00591A13">
        <w:rPr>
          <w:rtl/>
        </w:rPr>
        <w:t xml:space="preserve"> </w:t>
      </w:r>
      <w:r w:rsidRPr="00591A13">
        <w:rPr>
          <w:rFonts w:hint="eastAsia"/>
          <w:rtl/>
        </w:rPr>
        <w:t>عادل</w:t>
      </w:r>
      <w:r w:rsidRPr="00591A13">
        <w:rPr>
          <w:rtl/>
        </w:rPr>
        <w:t xml:space="preserve"> </w:t>
      </w:r>
      <w:r w:rsidRPr="00591A13">
        <w:rPr>
          <w:rFonts w:hint="eastAsia"/>
          <w:rtl/>
        </w:rPr>
        <w:t>أحمد</w:t>
      </w:r>
      <w:r w:rsidRPr="00591A13">
        <w:rPr>
          <w:rtl/>
        </w:rPr>
        <w:t xml:space="preserve"> </w:t>
      </w:r>
      <w:r w:rsidRPr="00591A13">
        <w:rPr>
          <w:rFonts w:hint="eastAsia"/>
          <w:rtl/>
        </w:rPr>
        <w:t>عبد</w:t>
      </w:r>
      <w:r w:rsidRPr="00591A13">
        <w:rPr>
          <w:rtl/>
        </w:rPr>
        <w:t xml:space="preserve"> </w:t>
      </w:r>
      <w:r w:rsidRPr="00591A13">
        <w:rPr>
          <w:rFonts w:hint="eastAsia"/>
          <w:rtl/>
        </w:rPr>
        <w:t>الموجود</w:t>
      </w:r>
      <w:r w:rsidRPr="00591A13">
        <w:rPr>
          <w:rtl/>
        </w:rPr>
        <w:t xml:space="preserve"> </w:t>
      </w:r>
      <w:r>
        <w:rPr>
          <w:rFonts w:hint="eastAsia"/>
          <w:rtl/>
        </w:rPr>
        <w:t>و</w:t>
      </w:r>
      <w:r w:rsidRPr="00591A13">
        <w:rPr>
          <w:rFonts w:hint="eastAsia"/>
          <w:rtl/>
        </w:rPr>
        <w:t>علي</w:t>
      </w:r>
      <w:r w:rsidRPr="00591A13">
        <w:rPr>
          <w:rtl/>
        </w:rPr>
        <w:t xml:space="preserve"> </w:t>
      </w:r>
      <w:r w:rsidRPr="00591A13">
        <w:rPr>
          <w:rFonts w:hint="eastAsia"/>
          <w:rtl/>
        </w:rPr>
        <w:t>محمد</w:t>
      </w:r>
      <w:r w:rsidRPr="00591A13">
        <w:rPr>
          <w:rtl/>
        </w:rPr>
        <w:t xml:space="preserve"> </w:t>
      </w:r>
      <w:r w:rsidRPr="00591A13">
        <w:rPr>
          <w:rFonts w:hint="eastAsia"/>
          <w:rtl/>
        </w:rPr>
        <w:t>معوض،</w:t>
      </w:r>
      <w:r w:rsidRPr="00591A13">
        <w:rPr>
          <w:rtl/>
        </w:rPr>
        <w:t xml:space="preserve"> </w:t>
      </w:r>
      <w:r w:rsidRPr="00591A13">
        <w:rPr>
          <w:rFonts w:hint="eastAsia"/>
          <w:rtl/>
        </w:rPr>
        <w:t>وقدم</w:t>
      </w:r>
      <w:r w:rsidRPr="00591A13">
        <w:rPr>
          <w:rtl/>
        </w:rPr>
        <w:t xml:space="preserve"> </w:t>
      </w:r>
      <w:r w:rsidRPr="00591A13">
        <w:rPr>
          <w:rFonts w:hint="eastAsia"/>
          <w:rtl/>
        </w:rPr>
        <w:t>له</w:t>
      </w:r>
      <w:r w:rsidRPr="00591A13">
        <w:rPr>
          <w:rtl/>
        </w:rPr>
        <w:t xml:space="preserve"> </w:t>
      </w:r>
      <w:r w:rsidRPr="00591A13">
        <w:rPr>
          <w:rFonts w:hint="eastAsia"/>
          <w:rtl/>
        </w:rPr>
        <w:t>محمد</w:t>
      </w:r>
      <w:r w:rsidRPr="00591A13">
        <w:rPr>
          <w:rtl/>
        </w:rPr>
        <w:t xml:space="preserve"> </w:t>
      </w:r>
      <w:r w:rsidRPr="00591A13">
        <w:rPr>
          <w:rFonts w:hint="eastAsia"/>
          <w:rtl/>
        </w:rPr>
        <w:t>بكر</w:t>
      </w:r>
      <w:r w:rsidRPr="00591A13">
        <w:rPr>
          <w:rtl/>
        </w:rPr>
        <w:t xml:space="preserve"> </w:t>
      </w:r>
      <w:r w:rsidRPr="00591A13">
        <w:rPr>
          <w:rFonts w:hint="eastAsia"/>
          <w:rtl/>
        </w:rPr>
        <w:t>إسماعيل</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1994</w:t>
      </w:r>
      <w:r w:rsidRPr="00591A13">
        <w:rPr>
          <w:rFonts w:hint="eastAsia"/>
          <w:rtl/>
        </w:rPr>
        <w:t>م</w:t>
      </w:r>
      <w:r w:rsidRPr="00591A13">
        <w:rPr>
          <w:rtl/>
        </w:rPr>
        <w:t>.</w:t>
      </w:r>
    </w:p>
    <w:p w:rsidR="005F44B2" w:rsidRPr="00591A13" w:rsidRDefault="005F44B2" w:rsidP="00BF6107">
      <w:pPr>
        <w:pStyle w:val="Subtitle"/>
        <w:numPr>
          <w:ilvl w:val="0"/>
          <w:numId w:val="46"/>
        </w:numPr>
        <w:spacing w:line="259" w:lineRule="auto"/>
        <w:jc w:val="both"/>
      </w:pPr>
      <w:r w:rsidRPr="00591A13">
        <w:rPr>
          <w:rFonts w:hint="eastAsia"/>
          <w:rtl/>
        </w:rPr>
        <w:t>عبد</w:t>
      </w:r>
      <w:r w:rsidRPr="00591A13">
        <w:rPr>
          <w:rtl/>
        </w:rPr>
        <w:t xml:space="preserve"> </w:t>
      </w:r>
      <w:r w:rsidRPr="00591A13">
        <w:rPr>
          <w:rFonts w:hint="eastAsia"/>
          <w:rtl/>
        </w:rPr>
        <w:t>الرحيم،</w:t>
      </w:r>
      <w:r w:rsidRPr="00591A13">
        <w:rPr>
          <w:rtl/>
        </w:rPr>
        <w:t xml:space="preserve"> </w:t>
      </w:r>
      <w:r w:rsidRPr="00591A13">
        <w:rPr>
          <w:rFonts w:hint="eastAsia"/>
          <w:rtl/>
        </w:rPr>
        <w:t>إبراهيم</w:t>
      </w:r>
      <w:r>
        <w:rPr>
          <w:rtl/>
        </w:rPr>
        <w:t xml:space="preserve"> (</w:t>
      </w:r>
      <w:r w:rsidRPr="00591A13">
        <w:rPr>
          <w:rtl/>
        </w:rPr>
        <w:t>2006</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 </w:t>
      </w:r>
      <w:r w:rsidRPr="00591A13">
        <w:rPr>
          <w:rFonts w:hint="eastAsia"/>
          <w:b/>
          <w:bCs/>
          <w:rtl/>
        </w:rPr>
        <w:t>مفهومها</w:t>
      </w:r>
      <w:r w:rsidRPr="00591A13">
        <w:rPr>
          <w:b/>
          <w:bCs/>
          <w:rtl/>
        </w:rPr>
        <w:t>-</w:t>
      </w:r>
      <w:r w:rsidRPr="00591A13">
        <w:rPr>
          <w:rFonts w:hint="eastAsia"/>
          <w:b/>
          <w:bCs/>
          <w:rtl/>
        </w:rPr>
        <w:t>مصادرها</w:t>
      </w:r>
      <w:r w:rsidRPr="00591A13">
        <w:rPr>
          <w:b/>
          <w:bCs/>
          <w:rtl/>
        </w:rPr>
        <w:t>-</w:t>
      </w:r>
      <w:r w:rsidRPr="00591A13">
        <w:rPr>
          <w:rFonts w:hint="eastAsia"/>
          <w:b/>
          <w:bCs/>
          <w:rtl/>
        </w:rPr>
        <w:t>مجالاتها</w:t>
      </w:r>
      <w:r w:rsidRPr="00591A13">
        <w:rPr>
          <w:b/>
          <w:bCs/>
          <w:rtl/>
        </w:rPr>
        <w:t>)</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Pr>
          <w:rFonts w:hint="eastAsia"/>
          <w:rtl/>
        </w:rPr>
        <w:t>قاهرة،</w:t>
      </w:r>
      <w:r w:rsidRPr="00591A13">
        <w:rPr>
          <w:rFonts w:hint="eastAsia"/>
          <w:rtl/>
        </w:rPr>
        <w:t>د</w:t>
      </w:r>
      <w:r>
        <w:rPr>
          <w:rFonts w:hint="eastAsia"/>
          <w:rtl/>
        </w:rPr>
        <w:t>ار</w:t>
      </w:r>
      <w:r>
        <w:rPr>
          <w:rtl/>
        </w:rPr>
        <w:t xml:space="preserve"> </w:t>
      </w:r>
      <w:r>
        <w:rPr>
          <w:rFonts w:hint="eastAsia"/>
          <w:rtl/>
        </w:rPr>
        <w:t>النصر</w:t>
      </w:r>
      <w:r>
        <w:rPr>
          <w:rtl/>
        </w:rPr>
        <w:t xml:space="preserve"> </w:t>
      </w:r>
      <w:r>
        <w:rPr>
          <w:rFonts w:hint="eastAsia"/>
          <w:rtl/>
        </w:rPr>
        <w:t>للتوزيع</w:t>
      </w:r>
      <w:r>
        <w:rPr>
          <w:rtl/>
        </w:rPr>
        <w:t xml:space="preserve"> </w:t>
      </w:r>
      <w:r>
        <w:rPr>
          <w:rFonts w:hint="eastAsia"/>
          <w:rtl/>
        </w:rPr>
        <w:t>والنشر</w:t>
      </w:r>
      <w:r w:rsidRPr="00591A13">
        <w:rPr>
          <w:rtl/>
        </w:rPr>
        <w:t>.</w:t>
      </w:r>
    </w:p>
    <w:p w:rsidR="005F44B2" w:rsidRDefault="005F44B2" w:rsidP="00192C99">
      <w:pPr>
        <w:pStyle w:val="Subtitle"/>
        <w:numPr>
          <w:ilvl w:val="0"/>
          <w:numId w:val="46"/>
        </w:numPr>
        <w:spacing w:line="259" w:lineRule="auto"/>
        <w:jc w:val="both"/>
      </w:pPr>
      <w:r w:rsidRPr="00A33D70">
        <w:rPr>
          <w:rFonts w:hint="eastAsia"/>
          <w:rtl/>
        </w:rPr>
        <w:t>عبد</w:t>
      </w:r>
      <w:r w:rsidRPr="00A33D70">
        <w:rPr>
          <w:rtl/>
        </w:rPr>
        <w:t xml:space="preserve"> </w:t>
      </w:r>
      <w:r w:rsidRPr="00A33D70">
        <w:rPr>
          <w:rFonts w:hint="eastAsia"/>
          <w:rtl/>
        </w:rPr>
        <w:t>الرحمن</w:t>
      </w:r>
      <w:r w:rsidRPr="00A33D70">
        <w:rPr>
          <w:rtl/>
        </w:rPr>
        <w:t xml:space="preserve"> </w:t>
      </w:r>
      <w:r w:rsidRPr="00A33D70">
        <w:rPr>
          <w:rFonts w:hint="eastAsia"/>
          <w:rtl/>
        </w:rPr>
        <w:t>بن</w:t>
      </w:r>
      <w:r w:rsidRPr="00A33D70">
        <w:rPr>
          <w:rtl/>
        </w:rPr>
        <w:t xml:space="preserve"> </w:t>
      </w:r>
      <w:r w:rsidRPr="00A33D70">
        <w:rPr>
          <w:rFonts w:hint="eastAsia"/>
          <w:rtl/>
        </w:rPr>
        <w:t>الغزي</w:t>
      </w:r>
      <w:r>
        <w:rPr>
          <w:rFonts w:hint="eastAsia"/>
          <w:rtl/>
        </w:rPr>
        <w:t>،</w:t>
      </w:r>
      <w:r>
        <w:rPr>
          <w:rtl/>
        </w:rPr>
        <w:t xml:space="preserve"> </w:t>
      </w:r>
      <w:r w:rsidRPr="00A33D70">
        <w:rPr>
          <w:rFonts w:hint="eastAsia"/>
          <w:rtl/>
        </w:rPr>
        <w:t>شمس</w:t>
      </w:r>
      <w:r w:rsidRPr="00A33D70">
        <w:rPr>
          <w:rtl/>
        </w:rPr>
        <w:t xml:space="preserve"> </w:t>
      </w:r>
      <w:r w:rsidRPr="00A33D70">
        <w:rPr>
          <w:rFonts w:hint="eastAsia"/>
          <w:rtl/>
        </w:rPr>
        <w:t>الدين</w:t>
      </w:r>
      <w:r w:rsidRPr="00A33D70">
        <w:rPr>
          <w:rtl/>
        </w:rPr>
        <w:t xml:space="preserve"> </w:t>
      </w:r>
      <w:r w:rsidRPr="00A33D70">
        <w:rPr>
          <w:rFonts w:hint="eastAsia"/>
          <w:rtl/>
        </w:rPr>
        <w:t>أبو</w:t>
      </w:r>
      <w:r w:rsidRPr="00A33D70">
        <w:rPr>
          <w:rtl/>
        </w:rPr>
        <w:t xml:space="preserve"> </w:t>
      </w:r>
      <w:r w:rsidRPr="00A33D70">
        <w:rPr>
          <w:rFonts w:hint="eastAsia"/>
          <w:rtl/>
        </w:rPr>
        <w:t>المعالي</w:t>
      </w:r>
      <w:r w:rsidRPr="00A33D70">
        <w:rPr>
          <w:rtl/>
        </w:rPr>
        <w:t xml:space="preserve"> </w:t>
      </w:r>
      <w:r w:rsidRPr="00A33D70">
        <w:rPr>
          <w:rFonts w:hint="eastAsia"/>
          <w:rtl/>
        </w:rPr>
        <w:t>محمد</w:t>
      </w:r>
      <w:r w:rsidRPr="00A33D70">
        <w:rPr>
          <w:rtl/>
        </w:rPr>
        <w:t xml:space="preserve"> </w:t>
      </w:r>
      <w:r w:rsidRPr="00A33D70">
        <w:rPr>
          <w:rFonts w:hint="eastAsia"/>
          <w:rtl/>
        </w:rPr>
        <w:t>بن</w:t>
      </w:r>
      <w:r w:rsidRPr="00A33D70">
        <w:rPr>
          <w:rtl/>
        </w:rPr>
        <w:t xml:space="preserve"> </w:t>
      </w:r>
      <w:r w:rsidRPr="00A33D70">
        <w:rPr>
          <w:rFonts w:hint="eastAsia"/>
          <w:rtl/>
        </w:rPr>
        <w:t>عبد</w:t>
      </w:r>
      <w:r w:rsidRPr="00A33D70">
        <w:rPr>
          <w:rtl/>
        </w:rPr>
        <w:t xml:space="preserve"> </w:t>
      </w:r>
      <w:r w:rsidRPr="00A33D70">
        <w:rPr>
          <w:rFonts w:hint="eastAsia"/>
          <w:rtl/>
        </w:rPr>
        <w:t>الرحمن</w:t>
      </w:r>
      <w:r w:rsidRPr="00A33D70">
        <w:rPr>
          <w:rtl/>
        </w:rPr>
        <w:t xml:space="preserve"> </w:t>
      </w:r>
      <w:r w:rsidRPr="00A33D70">
        <w:rPr>
          <w:rFonts w:hint="eastAsia"/>
          <w:rtl/>
        </w:rPr>
        <w:t>بن</w:t>
      </w:r>
      <w:r w:rsidRPr="00A33D70">
        <w:rPr>
          <w:rtl/>
        </w:rPr>
        <w:t xml:space="preserve"> </w:t>
      </w:r>
      <w:r w:rsidRPr="00A33D70">
        <w:rPr>
          <w:rFonts w:hint="eastAsia"/>
          <w:rtl/>
        </w:rPr>
        <w:t>الغزي</w:t>
      </w:r>
      <w:r w:rsidRPr="00A33D70">
        <w:rPr>
          <w:rtl/>
        </w:rPr>
        <w:t xml:space="preserve"> (</w:t>
      </w:r>
      <w:r>
        <w:rPr>
          <w:rFonts w:hint="eastAsia"/>
          <w:rtl/>
        </w:rPr>
        <w:t>ت</w:t>
      </w:r>
      <w:r w:rsidRPr="00A33D70">
        <w:rPr>
          <w:rtl/>
        </w:rPr>
        <w:t xml:space="preserve"> 1167</w:t>
      </w:r>
      <w:r w:rsidRPr="00A33D70">
        <w:rPr>
          <w:rFonts w:hint="eastAsia"/>
          <w:rtl/>
        </w:rPr>
        <w:t>هـ</w:t>
      </w:r>
      <w:r w:rsidRPr="00A33D70">
        <w:rPr>
          <w:rtl/>
        </w:rPr>
        <w:t>)</w:t>
      </w:r>
      <w:r>
        <w:rPr>
          <w:rFonts w:hint="eastAsia"/>
          <w:rtl/>
        </w:rPr>
        <w:t>،</w:t>
      </w:r>
      <w:r>
        <w:rPr>
          <w:rtl/>
        </w:rPr>
        <w:t xml:space="preserve"> </w:t>
      </w:r>
      <w:r>
        <w:rPr>
          <w:rFonts w:hint="eastAsia"/>
          <w:b/>
          <w:bCs/>
          <w:rtl/>
        </w:rPr>
        <w:t>ديوان</w:t>
      </w:r>
      <w:r>
        <w:rPr>
          <w:b/>
          <w:bCs/>
          <w:rtl/>
        </w:rPr>
        <w:t xml:space="preserve"> </w:t>
      </w:r>
      <w:r>
        <w:rPr>
          <w:rFonts w:hint="eastAsia"/>
          <w:b/>
          <w:bCs/>
          <w:rtl/>
        </w:rPr>
        <w:t>الإسلام</w:t>
      </w:r>
      <w:r>
        <w:rPr>
          <w:rFonts w:hint="eastAsia"/>
          <w:rtl/>
        </w:rPr>
        <w:t>،</w:t>
      </w:r>
      <w:r>
        <w:rPr>
          <w:rtl/>
        </w:rPr>
        <w:t xml:space="preserve"> </w:t>
      </w:r>
      <w:r>
        <w:rPr>
          <w:rFonts w:hint="eastAsia"/>
          <w:rtl/>
        </w:rPr>
        <w:t>ط</w:t>
      </w:r>
      <w:r>
        <w:rPr>
          <w:rtl/>
        </w:rPr>
        <w:t>1</w:t>
      </w:r>
      <w:r>
        <w:rPr>
          <w:rFonts w:hint="eastAsia"/>
          <w:rtl/>
        </w:rPr>
        <w:t>،</w:t>
      </w:r>
      <w:r>
        <w:rPr>
          <w:rtl/>
        </w:rPr>
        <w:t xml:space="preserve"> 4</w:t>
      </w:r>
      <w:r>
        <w:rPr>
          <w:rFonts w:hint="eastAsia"/>
          <w:rtl/>
        </w:rPr>
        <w:t>م،</w:t>
      </w:r>
      <w:r>
        <w:rPr>
          <w:rtl/>
        </w:rPr>
        <w:t xml:space="preserve"> (</w:t>
      </w:r>
      <w:r w:rsidRPr="00A33D70">
        <w:rPr>
          <w:rFonts w:hint="eastAsia"/>
          <w:rtl/>
        </w:rPr>
        <w:t>المحقق</w:t>
      </w:r>
      <w:r w:rsidRPr="00A33D70">
        <w:rPr>
          <w:rtl/>
        </w:rPr>
        <w:t xml:space="preserve">: </w:t>
      </w:r>
      <w:r w:rsidRPr="00A33D70">
        <w:rPr>
          <w:rFonts w:hint="eastAsia"/>
          <w:rtl/>
        </w:rPr>
        <w:t>سيد</w:t>
      </w:r>
      <w:r w:rsidRPr="00A33D70">
        <w:rPr>
          <w:rtl/>
        </w:rPr>
        <w:t xml:space="preserve"> </w:t>
      </w:r>
      <w:r w:rsidRPr="00A33D70">
        <w:rPr>
          <w:rFonts w:hint="eastAsia"/>
          <w:rtl/>
        </w:rPr>
        <w:t>كسروي</w:t>
      </w:r>
      <w:r w:rsidRPr="00A33D70">
        <w:rPr>
          <w:rtl/>
        </w:rPr>
        <w:t xml:space="preserve"> </w:t>
      </w:r>
      <w:r w:rsidRPr="00A33D70">
        <w:rPr>
          <w:rFonts w:hint="eastAsia"/>
          <w:rtl/>
        </w:rPr>
        <w:t>حسن</w:t>
      </w:r>
      <w:r>
        <w:rPr>
          <w:rtl/>
        </w:rPr>
        <w:t>)</w:t>
      </w:r>
      <w:r>
        <w:rPr>
          <w:rFonts w:hint="eastAsia"/>
          <w:rtl/>
        </w:rPr>
        <w:t>،</w:t>
      </w:r>
      <w:r>
        <w:rPr>
          <w:rtl/>
        </w:rPr>
        <w:t xml:space="preserve"> </w:t>
      </w:r>
      <w:r>
        <w:rPr>
          <w:rFonts w:hint="eastAsia"/>
          <w:rtl/>
        </w:rPr>
        <w:t>دار</w:t>
      </w:r>
      <w:r>
        <w:rPr>
          <w:rtl/>
        </w:rPr>
        <w:t xml:space="preserve"> </w:t>
      </w:r>
      <w:r>
        <w:rPr>
          <w:rFonts w:hint="eastAsia"/>
          <w:rtl/>
        </w:rPr>
        <w:t>كتب</w:t>
      </w:r>
      <w:r>
        <w:rPr>
          <w:rtl/>
        </w:rPr>
        <w:t xml:space="preserve"> </w:t>
      </w:r>
      <w:r>
        <w:rPr>
          <w:rFonts w:hint="eastAsia"/>
          <w:rtl/>
        </w:rPr>
        <w:t>العلمية،</w:t>
      </w:r>
      <w:r>
        <w:rPr>
          <w:rtl/>
        </w:rPr>
        <w:t xml:space="preserve"> </w:t>
      </w:r>
      <w:r>
        <w:rPr>
          <w:rFonts w:hint="eastAsia"/>
          <w:rtl/>
        </w:rPr>
        <w:t>بيروت،</w:t>
      </w:r>
      <w:r>
        <w:rPr>
          <w:rtl/>
        </w:rPr>
        <w:t xml:space="preserve"> 1411</w:t>
      </w:r>
      <w:r>
        <w:rPr>
          <w:rFonts w:hint="eastAsia"/>
          <w:rtl/>
        </w:rPr>
        <w:t>هـ</w:t>
      </w:r>
      <w:r>
        <w:rPr>
          <w:rtl/>
        </w:rPr>
        <w:t xml:space="preserve"> / 1990</w:t>
      </w:r>
      <w:r>
        <w:rPr>
          <w:rFonts w:hint="eastAsia"/>
          <w:rtl/>
        </w:rPr>
        <w:t>م</w:t>
      </w:r>
      <w:r>
        <w:rPr>
          <w:rtl/>
        </w:rPr>
        <w:t>.</w:t>
      </w:r>
    </w:p>
    <w:p w:rsidR="005F44B2" w:rsidRPr="00591A13" w:rsidRDefault="005F44B2" w:rsidP="00BF6107">
      <w:pPr>
        <w:pStyle w:val="Subtitle"/>
        <w:numPr>
          <w:ilvl w:val="0"/>
          <w:numId w:val="46"/>
        </w:numPr>
        <w:spacing w:line="259" w:lineRule="auto"/>
        <w:jc w:val="both"/>
      </w:pPr>
      <w:r w:rsidRPr="00591A13">
        <w:rPr>
          <w:rFonts w:hint="eastAsia"/>
          <w:rtl/>
        </w:rPr>
        <w:t>عبد</w:t>
      </w:r>
      <w:r w:rsidRPr="00591A13">
        <w:rPr>
          <w:rtl/>
        </w:rPr>
        <w:t xml:space="preserve"> </w:t>
      </w:r>
      <w:r w:rsidRPr="00591A13">
        <w:rPr>
          <w:rFonts w:hint="eastAsia"/>
          <w:rtl/>
        </w:rPr>
        <w:t>الفتاح</w:t>
      </w:r>
      <w:r w:rsidRPr="00591A13">
        <w:rPr>
          <w:rtl/>
        </w:rPr>
        <w:t xml:space="preserve"> </w:t>
      </w:r>
      <w:r w:rsidRPr="00591A13">
        <w:rPr>
          <w:rFonts w:hint="eastAsia"/>
          <w:rtl/>
        </w:rPr>
        <w:t>عمرو</w:t>
      </w:r>
      <w:r>
        <w:rPr>
          <w:rtl/>
        </w:rPr>
        <w:t xml:space="preserve"> (</w:t>
      </w:r>
      <w:r w:rsidRPr="00591A13">
        <w:rPr>
          <w:rtl/>
        </w:rPr>
        <w:t>1</w:t>
      </w:r>
      <w:r>
        <w:rPr>
          <w:rtl/>
        </w:rPr>
        <w:t>998</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الأحوال</w:t>
      </w:r>
      <w:r w:rsidRPr="00591A13">
        <w:rPr>
          <w:b/>
          <w:bCs/>
          <w:rtl/>
        </w:rPr>
        <w:t xml:space="preserve"> </w:t>
      </w:r>
      <w:r w:rsidRPr="00591A13">
        <w:rPr>
          <w:rFonts w:hint="eastAsia"/>
          <w:b/>
          <w:bCs/>
          <w:rtl/>
        </w:rPr>
        <w:t>الشخصية</w:t>
      </w:r>
      <w:r>
        <w:rPr>
          <w:rFonts w:hint="eastAsia"/>
          <w:rtl/>
        </w:rPr>
        <w:t>،</w:t>
      </w:r>
      <w:r>
        <w:rPr>
          <w:rtl/>
        </w:rPr>
        <w:t xml:space="preserve"> </w:t>
      </w:r>
      <w:r>
        <w:rPr>
          <w:rFonts w:hint="eastAsia"/>
          <w:rtl/>
        </w:rPr>
        <w:t>ط</w:t>
      </w:r>
      <w:r>
        <w:rPr>
          <w:rtl/>
        </w:rPr>
        <w:t>1</w:t>
      </w:r>
      <w:r>
        <w:rPr>
          <w:rFonts w:hint="eastAsia"/>
          <w:rtl/>
        </w:rPr>
        <w:t>،</w:t>
      </w:r>
      <w:r>
        <w:rPr>
          <w:rtl/>
        </w:rPr>
        <w:t xml:space="preserve"> </w:t>
      </w:r>
      <w:r>
        <w:rPr>
          <w:rFonts w:hint="eastAsia"/>
          <w:rtl/>
        </w:rPr>
        <w:t>عمان،</w:t>
      </w:r>
      <w:r>
        <w:rPr>
          <w:rtl/>
        </w:rPr>
        <w:t xml:space="preserve"> </w:t>
      </w:r>
      <w:r>
        <w:rPr>
          <w:rFonts w:hint="eastAsia"/>
          <w:rtl/>
        </w:rPr>
        <w:t>دار</w:t>
      </w:r>
      <w:r>
        <w:rPr>
          <w:rtl/>
        </w:rPr>
        <w:t xml:space="preserve"> </w:t>
      </w:r>
      <w:r>
        <w:rPr>
          <w:rFonts w:hint="eastAsia"/>
          <w:rtl/>
        </w:rPr>
        <w:t>النفائس</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إبراهيم</w:t>
      </w:r>
      <w:r w:rsidRPr="00591A13">
        <w:rPr>
          <w:rtl/>
        </w:rPr>
        <w:t xml:space="preserve"> </w:t>
      </w:r>
      <w:r w:rsidRPr="00591A13">
        <w:rPr>
          <w:rFonts w:hint="eastAsia"/>
          <w:rtl/>
        </w:rPr>
        <w:t>الناصر،</w:t>
      </w:r>
      <w:r w:rsidRPr="00591A13">
        <w:rPr>
          <w:rtl/>
        </w:rPr>
        <w:t xml:space="preserve"> </w:t>
      </w:r>
      <w:r w:rsidRPr="00591A13">
        <w:rPr>
          <w:rFonts w:hint="eastAsia"/>
          <w:b/>
          <w:bCs/>
          <w:rtl/>
        </w:rPr>
        <w:t>محاضرات</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w:t>
      </w:r>
    </w:p>
    <w:p w:rsidR="005F44B2" w:rsidRPr="00591A13" w:rsidRDefault="005F44B2" w:rsidP="00D1001A">
      <w:pPr>
        <w:pStyle w:val="Subtitle"/>
        <w:numPr>
          <w:ilvl w:val="0"/>
          <w:numId w:val="46"/>
        </w:numPr>
        <w:spacing w:line="259" w:lineRule="auto"/>
        <w:jc w:val="both"/>
      </w:pPr>
      <w:r w:rsidRPr="00591A13">
        <w:rPr>
          <w:rFonts w:hint="eastAsia"/>
          <w:rtl/>
        </w:rPr>
        <w:t>العسقلاني،</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حجر</w:t>
      </w:r>
      <w:r w:rsidRPr="00591A13">
        <w:rPr>
          <w:rtl/>
        </w:rPr>
        <w:t xml:space="preserve"> </w:t>
      </w:r>
      <w:r w:rsidRPr="00591A13">
        <w:rPr>
          <w:rFonts w:hint="eastAsia"/>
          <w:rtl/>
        </w:rPr>
        <w:t>أبو</w:t>
      </w:r>
      <w:r w:rsidRPr="00591A13">
        <w:rPr>
          <w:rtl/>
        </w:rPr>
        <w:t xml:space="preserve"> </w:t>
      </w:r>
      <w:r w:rsidRPr="00591A13">
        <w:rPr>
          <w:rFonts w:hint="eastAsia"/>
          <w:rtl/>
        </w:rPr>
        <w:t>الفضل</w:t>
      </w:r>
      <w:r w:rsidRPr="00591A13">
        <w:rPr>
          <w:rtl/>
        </w:rPr>
        <w:t xml:space="preserve"> </w:t>
      </w:r>
      <w:r w:rsidRPr="00591A13">
        <w:rPr>
          <w:rFonts w:hint="eastAsia"/>
          <w:rtl/>
        </w:rPr>
        <w:t>العسقلاني</w:t>
      </w:r>
      <w:r w:rsidRPr="00591A13">
        <w:rPr>
          <w:rtl/>
        </w:rPr>
        <w:t xml:space="preserve"> </w:t>
      </w:r>
      <w:r w:rsidRPr="00591A13">
        <w:rPr>
          <w:rFonts w:hint="eastAsia"/>
          <w:rtl/>
        </w:rPr>
        <w:t>الشافعي</w:t>
      </w:r>
      <w:r w:rsidRPr="00591A13">
        <w:rPr>
          <w:rtl/>
        </w:rPr>
        <w:t xml:space="preserve"> (</w:t>
      </w:r>
      <w:r w:rsidRPr="00591A13">
        <w:rPr>
          <w:rFonts w:hint="eastAsia"/>
          <w:rtl/>
        </w:rPr>
        <w:t>ت</w:t>
      </w:r>
      <w:r w:rsidRPr="00591A13">
        <w:rPr>
          <w:rtl/>
        </w:rPr>
        <w:t xml:space="preserve"> 856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فتح</w:t>
      </w:r>
      <w:r w:rsidRPr="00591A13">
        <w:rPr>
          <w:b/>
          <w:bCs/>
          <w:rtl/>
        </w:rPr>
        <w:t xml:space="preserve"> </w:t>
      </w:r>
      <w:r w:rsidRPr="00591A13">
        <w:rPr>
          <w:rFonts w:hint="eastAsia"/>
          <w:b/>
          <w:bCs/>
          <w:rtl/>
        </w:rPr>
        <w:t>الباري</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صحيح</w:t>
      </w:r>
      <w:r w:rsidRPr="00591A13">
        <w:rPr>
          <w:b/>
          <w:bCs/>
          <w:rtl/>
        </w:rPr>
        <w:t xml:space="preserve"> </w:t>
      </w:r>
      <w:r w:rsidRPr="00591A13">
        <w:rPr>
          <w:rFonts w:hint="eastAsia"/>
          <w:b/>
          <w:bCs/>
          <w:rtl/>
        </w:rPr>
        <w:t>البخاري</w:t>
      </w:r>
      <w:r w:rsidRPr="00591A13">
        <w:rPr>
          <w:rFonts w:hint="eastAsia"/>
          <w:rtl/>
        </w:rPr>
        <w:t>،</w:t>
      </w:r>
      <w:r w:rsidRPr="00591A13">
        <w:rPr>
          <w:rtl/>
        </w:rPr>
        <w:t xml:space="preserve"> 13</w:t>
      </w:r>
      <w:r w:rsidRPr="00591A13">
        <w:rPr>
          <w:rFonts w:hint="eastAsia"/>
          <w:rtl/>
        </w:rPr>
        <w:t>م،</w:t>
      </w:r>
      <w:r w:rsidRPr="00591A13">
        <w:rPr>
          <w:rtl/>
        </w:rPr>
        <w:t xml:space="preserve"> (</w:t>
      </w:r>
      <w:r w:rsidRPr="00591A13">
        <w:rPr>
          <w:rFonts w:hint="eastAsia"/>
          <w:rtl/>
        </w:rPr>
        <w:t>رقم</w:t>
      </w:r>
      <w:r w:rsidRPr="00591A13">
        <w:rPr>
          <w:rtl/>
        </w:rPr>
        <w:t xml:space="preserve"> </w:t>
      </w:r>
      <w:r w:rsidRPr="00591A13">
        <w:rPr>
          <w:rFonts w:hint="eastAsia"/>
          <w:rtl/>
        </w:rPr>
        <w:t>كتبه</w:t>
      </w:r>
      <w:r w:rsidRPr="00591A13">
        <w:rPr>
          <w:rtl/>
        </w:rPr>
        <w:t xml:space="preserve"> </w:t>
      </w:r>
      <w:r w:rsidRPr="00591A13">
        <w:rPr>
          <w:rFonts w:hint="eastAsia"/>
          <w:rtl/>
        </w:rPr>
        <w:t>وأبوابه</w:t>
      </w:r>
      <w:r w:rsidRPr="00591A13">
        <w:rPr>
          <w:rtl/>
        </w:rPr>
        <w:t xml:space="preserve"> </w:t>
      </w:r>
      <w:r w:rsidRPr="00591A13">
        <w:rPr>
          <w:rFonts w:hint="eastAsia"/>
          <w:rtl/>
        </w:rPr>
        <w:t>وأحاديثه</w:t>
      </w:r>
      <w:r w:rsidRPr="00591A13">
        <w:rPr>
          <w:rtl/>
        </w:rPr>
        <w:t xml:space="preserve">: </w:t>
      </w:r>
      <w:r w:rsidRPr="00591A13">
        <w:rPr>
          <w:rFonts w:hint="eastAsia"/>
          <w:rtl/>
        </w:rPr>
        <w:t>محمد</w:t>
      </w:r>
      <w:r w:rsidRPr="00591A13">
        <w:rPr>
          <w:rtl/>
        </w:rPr>
        <w:t xml:space="preserve"> </w:t>
      </w:r>
      <w:r w:rsidRPr="00591A13">
        <w:rPr>
          <w:rFonts w:hint="eastAsia"/>
          <w:rtl/>
        </w:rPr>
        <w:t>فؤاد</w:t>
      </w:r>
      <w:r w:rsidRPr="00591A13">
        <w:rPr>
          <w:rtl/>
        </w:rPr>
        <w:t xml:space="preserve"> </w:t>
      </w:r>
      <w:r w:rsidRPr="00591A13">
        <w:rPr>
          <w:rFonts w:hint="eastAsia"/>
          <w:rtl/>
        </w:rPr>
        <w:t>عبد</w:t>
      </w:r>
      <w:r w:rsidRPr="00591A13">
        <w:rPr>
          <w:rtl/>
        </w:rPr>
        <w:t xml:space="preserve"> </w:t>
      </w:r>
      <w:r w:rsidRPr="00591A13">
        <w:rPr>
          <w:rFonts w:hint="eastAsia"/>
          <w:rtl/>
        </w:rPr>
        <w:t>الباقي،</w:t>
      </w:r>
      <w:r w:rsidRPr="00591A13">
        <w:rPr>
          <w:rtl/>
        </w:rPr>
        <w:t xml:space="preserve"> </w:t>
      </w:r>
      <w:r w:rsidRPr="00591A13">
        <w:rPr>
          <w:rFonts w:hint="eastAsia"/>
          <w:rtl/>
        </w:rPr>
        <w:t>قام</w:t>
      </w:r>
      <w:r w:rsidRPr="00591A13">
        <w:rPr>
          <w:rtl/>
        </w:rPr>
        <w:t xml:space="preserve"> </w:t>
      </w:r>
      <w:r w:rsidRPr="00591A13">
        <w:rPr>
          <w:rFonts w:hint="eastAsia"/>
          <w:rtl/>
        </w:rPr>
        <w:t>بإخراجه</w:t>
      </w:r>
      <w:r w:rsidRPr="00591A13">
        <w:rPr>
          <w:rtl/>
        </w:rPr>
        <w:t xml:space="preserve"> </w:t>
      </w:r>
      <w:r w:rsidRPr="00591A13">
        <w:rPr>
          <w:rFonts w:hint="eastAsia"/>
          <w:rtl/>
        </w:rPr>
        <w:t>وصححه</w:t>
      </w:r>
      <w:r w:rsidRPr="00591A13">
        <w:rPr>
          <w:rtl/>
        </w:rPr>
        <w:t xml:space="preserve"> </w:t>
      </w:r>
      <w:r w:rsidRPr="00591A13">
        <w:rPr>
          <w:rFonts w:hint="eastAsia"/>
          <w:rtl/>
        </w:rPr>
        <w:t>وأشرف</w:t>
      </w:r>
      <w:r w:rsidRPr="00591A13">
        <w:rPr>
          <w:rtl/>
        </w:rPr>
        <w:t xml:space="preserve"> </w:t>
      </w:r>
      <w:r w:rsidRPr="00591A13">
        <w:rPr>
          <w:rFonts w:hint="eastAsia"/>
          <w:rtl/>
        </w:rPr>
        <w:t>على</w:t>
      </w:r>
      <w:r w:rsidRPr="00591A13">
        <w:rPr>
          <w:rtl/>
        </w:rPr>
        <w:t xml:space="preserve"> </w:t>
      </w:r>
      <w:r w:rsidRPr="00591A13">
        <w:rPr>
          <w:rFonts w:hint="eastAsia"/>
          <w:rtl/>
        </w:rPr>
        <w:t>طبعه</w:t>
      </w:r>
      <w:r w:rsidRPr="00591A13">
        <w:rPr>
          <w:rtl/>
        </w:rPr>
        <w:t xml:space="preserve">: </w:t>
      </w:r>
      <w:r w:rsidRPr="00591A13">
        <w:rPr>
          <w:rFonts w:hint="eastAsia"/>
          <w:rtl/>
        </w:rPr>
        <w:t>محب</w:t>
      </w:r>
      <w:r w:rsidRPr="00591A13">
        <w:rPr>
          <w:rtl/>
        </w:rPr>
        <w:t xml:space="preserve"> </w:t>
      </w:r>
      <w:r w:rsidRPr="00591A13">
        <w:rPr>
          <w:rFonts w:hint="eastAsia"/>
          <w:rtl/>
        </w:rPr>
        <w:t>الدين</w:t>
      </w:r>
      <w:r w:rsidRPr="00591A13">
        <w:rPr>
          <w:rtl/>
        </w:rPr>
        <w:t xml:space="preserve"> </w:t>
      </w:r>
      <w:r w:rsidRPr="00591A13">
        <w:rPr>
          <w:rFonts w:hint="eastAsia"/>
          <w:rtl/>
        </w:rPr>
        <w:t>الخطيب،</w:t>
      </w:r>
      <w:r w:rsidRPr="00591A13">
        <w:rPr>
          <w:rtl/>
        </w:rPr>
        <w:t xml:space="preserve"> </w:t>
      </w:r>
      <w:r w:rsidRPr="00591A13">
        <w:rPr>
          <w:rFonts w:hint="eastAsia"/>
          <w:rtl/>
        </w:rPr>
        <w:t>عليه</w:t>
      </w:r>
      <w:r w:rsidRPr="00591A13">
        <w:rPr>
          <w:rtl/>
        </w:rPr>
        <w:t xml:space="preserve"> </w:t>
      </w:r>
      <w:r w:rsidRPr="00591A13">
        <w:rPr>
          <w:rFonts w:hint="eastAsia"/>
          <w:rtl/>
        </w:rPr>
        <w:t>تعليقات</w:t>
      </w:r>
      <w:r w:rsidRPr="00591A13">
        <w:rPr>
          <w:rtl/>
        </w:rPr>
        <w:t xml:space="preserve"> </w:t>
      </w:r>
      <w:r w:rsidRPr="00591A13">
        <w:rPr>
          <w:rFonts w:hint="eastAsia"/>
          <w:rtl/>
        </w:rPr>
        <w:t>العلامة</w:t>
      </w:r>
      <w:r w:rsidRPr="00591A13">
        <w:rPr>
          <w:rtl/>
        </w:rPr>
        <w:t xml:space="preserve">: </w:t>
      </w:r>
      <w:r w:rsidRPr="00591A13">
        <w:rPr>
          <w:rFonts w:hint="eastAsia"/>
          <w:rtl/>
        </w:rPr>
        <w:t>عبد</w:t>
      </w:r>
      <w:r w:rsidRPr="00591A13">
        <w:rPr>
          <w:rtl/>
        </w:rPr>
        <w:t xml:space="preserve"> </w:t>
      </w:r>
      <w:r w:rsidRPr="00591A13">
        <w:rPr>
          <w:rFonts w:hint="eastAsia"/>
          <w:rtl/>
        </w:rPr>
        <w:t>العزيز</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باز</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المعرفة،</w:t>
      </w:r>
      <w:r w:rsidRPr="00591A13">
        <w:rPr>
          <w:rtl/>
        </w:rPr>
        <w:t xml:space="preserve"> </w:t>
      </w:r>
      <w:r w:rsidRPr="00591A13">
        <w:rPr>
          <w:rFonts w:hint="eastAsia"/>
          <w:rtl/>
        </w:rPr>
        <w:t>بيروت،</w:t>
      </w:r>
      <w:r w:rsidRPr="00591A13">
        <w:rPr>
          <w:rtl/>
        </w:rPr>
        <w:t xml:space="preserve"> 1379</w:t>
      </w:r>
      <w:r w:rsidRPr="00591A13">
        <w:rPr>
          <w:rFonts w:hint="eastAsia"/>
          <w:rtl/>
        </w:rPr>
        <w:t>هـ</w:t>
      </w:r>
      <w:r w:rsidRPr="00591A13">
        <w:rPr>
          <w:rtl/>
        </w:rPr>
        <w:t>.</w:t>
      </w:r>
    </w:p>
    <w:p w:rsidR="005F44B2" w:rsidRPr="00591A13" w:rsidRDefault="005F44B2" w:rsidP="00C079A6">
      <w:pPr>
        <w:pStyle w:val="Subtitle"/>
        <w:numPr>
          <w:ilvl w:val="0"/>
          <w:numId w:val="46"/>
        </w:numPr>
        <w:spacing w:line="259" w:lineRule="auto"/>
        <w:jc w:val="both"/>
      </w:pPr>
      <w:r w:rsidRPr="00591A13">
        <w:rPr>
          <w:rFonts w:hint="eastAsia"/>
          <w:rtl/>
        </w:rPr>
        <w:t>عطوة،</w:t>
      </w:r>
      <w:r w:rsidRPr="00591A13">
        <w:rPr>
          <w:rtl/>
        </w:rPr>
        <w:t xml:space="preserve"> </w:t>
      </w:r>
      <w:r w:rsidRPr="00591A13">
        <w:rPr>
          <w:rFonts w:hint="eastAsia"/>
          <w:rtl/>
        </w:rPr>
        <w:t>عبد</w:t>
      </w:r>
      <w:r w:rsidRPr="00591A13">
        <w:rPr>
          <w:rtl/>
        </w:rPr>
        <w:t xml:space="preserve"> </w:t>
      </w:r>
      <w:r w:rsidRPr="00591A13">
        <w:rPr>
          <w:rFonts w:hint="eastAsia"/>
          <w:rtl/>
        </w:rPr>
        <w:t>العال</w:t>
      </w:r>
      <w:r w:rsidRPr="00591A13">
        <w:rPr>
          <w:rtl/>
        </w:rPr>
        <w:t xml:space="preserve"> </w:t>
      </w:r>
      <w:r w:rsidRPr="00591A13">
        <w:rPr>
          <w:rFonts w:hint="eastAsia"/>
          <w:rtl/>
        </w:rPr>
        <w:t>أحمد</w:t>
      </w:r>
      <w:r>
        <w:rPr>
          <w:rtl/>
        </w:rPr>
        <w:t xml:space="preserve"> (</w:t>
      </w:r>
      <w:r w:rsidRPr="00591A13">
        <w:rPr>
          <w:rtl/>
        </w:rPr>
        <w:t>1993</w:t>
      </w:r>
      <w:r w:rsidRPr="00591A13">
        <w:rPr>
          <w:rFonts w:hint="eastAsia"/>
          <w:rtl/>
        </w:rPr>
        <w:t>م</w:t>
      </w:r>
      <w:r>
        <w:rPr>
          <w:rtl/>
        </w:rPr>
        <w:t>)</w:t>
      </w:r>
      <w:r w:rsidRPr="00591A13">
        <w:rPr>
          <w:rFonts w:hint="eastAsia"/>
          <w:rtl/>
        </w:rPr>
        <w:t>،</w:t>
      </w:r>
      <w:r w:rsidRPr="00591A13">
        <w:rPr>
          <w:rtl/>
        </w:rPr>
        <w:t xml:space="preserve"> </w:t>
      </w:r>
      <w:r>
        <w:rPr>
          <w:rFonts w:hint="eastAsia"/>
          <w:b/>
          <w:bCs/>
          <w:rtl/>
        </w:rPr>
        <w:t>المدخل</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رياض</w:t>
      </w:r>
      <w:r>
        <w:rPr>
          <w:rFonts w:hint="eastAsia"/>
          <w:rtl/>
        </w:rPr>
        <w:t>،</w:t>
      </w:r>
      <w:r w:rsidRPr="00591A13">
        <w:rPr>
          <w:rFonts w:hint="eastAsia"/>
          <w:rtl/>
        </w:rPr>
        <w:t>جامعة</w:t>
      </w:r>
      <w:r w:rsidRPr="00591A13">
        <w:rPr>
          <w:rtl/>
        </w:rPr>
        <w:t xml:space="preserve"> </w:t>
      </w:r>
      <w:r w:rsidRPr="00591A13">
        <w:rPr>
          <w:rFonts w:hint="eastAsia"/>
          <w:rtl/>
        </w:rPr>
        <w:t>الإمام</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سعود</w:t>
      </w:r>
      <w:r>
        <w:rPr>
          <w:rtl/>
        </w:rPr>
        <w:t xml:space="preserve"> </w:t>
      </w:r>
      <w:r>
        <w:rPr>
          <w:rFonts w:hint="eastAsia"/>
          <w:rtl/>
        </w:rPr>
        <w:t>الإسلامية</w:t>
      </w:r>
      <w:r w:rsidRPr="00591A13">
        <w:rPr>
          <w:rtl/>
        </w:rPr>
        <w:t>.</w:t>
      </w:r>
    </w:p>
    <w:p w:rsidR="005F44B2" w:rsidRPr="00591A13" w:rsidRDefault="005F44B2" w:rsidP="00D1001A">
      <w:pPr>
        <w:pStyle w:val="Subtitle"/>
        <w:numPr>
          <w:ilvl w:val="0"/>
          <w:numId w:val="46"/>
        </w:numPr>
        <w:spacing w:line="259" w:lineRule="auto"/>
        <w:jc w:val="both"/>
        <w:rPr>
          <w:rtl/>
        </w:rPr>
      </w:pPr>
      <w:r w:rsidRPr="00591A13">
        <w:rPr>
          <w:rFonts w:hint="eastAsia"/>
          <w:rtl/>
        </w:rPr>
        <w:t>علاء</w:t>
      </w:r>
      <w:r w:rsidRPr="00591A13">
        <w:rPr>
          <w:rtl/>
        </w:rPr>
        <w:t xml:space="preserve"> </w:t>
      </w:r>
      <w:r w:rsidRPr="00591A13">
        <w:rPr>
          <w:rFonts w:hint="eastAsia"/>
          <w:rtl/>
        </w:rPr>
        <w:t>الدين</w:t>
      </w:r>
      <w:r w:rsidRPr="00591A13">
        <w:rPr>
          <w:rtl/>
        </w:rPr>
        <w:t xml:space="preserve"> </w:t>
      </w:r>
      <w:r w:rsidRPr="00591A13">
        <w:rPr>
          <w:rFonts w:hint="eastAsia"/>
          <w:rtl/>
        </w:rPr>
        <w:t>عابدين،</w:t>
      </w:r>
      <w:r w:rsidRPr="00591A13">
        <w:rPr>
          <w:rtl/>
        </w:rPr>
        <w:t xml:space="preserve"> </w:t>
      </w:r>
      <w:r w:rsidRPr="00591A13">
        <w:rPr>
          <w:rFonts w:hint="eastAsia"/>
          <w:rtl/>
        </w:rPr>
        <w:t>علاء</w:t>
      </w:r>
      <w:r w:rsidRPr="00591A13">
        <w:rPr>
          <w:rtl/>
        </w:rPr>
        <w:t xml:space="preserve"> </w:t>
      </w:r>
      <w:r w:rsidRPr="00591A13">
        <w:rPr>
          <w:rFonts w:hint="eastAsia"/>
          <w:rtl/>
        </w:rPr>
        <w:t>الدين</w:t>
      </w:r>
      <w:r w:rsidRPr="00591A13">
        <w:rPr>
          <w:rtl/>
        </w:rPr>
        <w:t xml:space="preserve"> </w:t>
      </w:r>
      <w:r w:rsidRPr="00591A13">
        <w:rPr>
          <w:rFonts w:hint="eastAsia"/>
          <w:rtl/>
        </w:rPr>
        <w:t>أفندي</w:t>
      </w:r>
      <w:r w:rsidRPr="00591A13">
        <w:rPr>
          <w:rtl/>
        </w:rPr>
        <w:t xml:space="preserve"> </w:t>
      </w:r>
      <w:r w:rsidRPr="00591A13">
        <w:rPr>
          <w:rFonts w:hint="eastAsia"/>
          <w:rtl/>
        </w:rPr>
        <w:t>محمد</w:t>
      </w:r>
      <w:r w:rsidRPr="00591A13">
        <w:rPr>
          <w:rtl/>
        </w:rPr>
        <w:t xml:space="preserve"> </w:t>
      </w:r>
      <w:r w:rsidRPr="00591A13">
        <w:rPr>
          <w:rFonts w:hint="eastAsia"/>
          <w:rtl/>
        </w:rPr>
        <w:t>أمين</w:t>
      </w:r>
      <w:r w:rsidRPr="00591A13">
        <w:rPr>
          <w:rtl/>
        </w:rPr>
        <w:t xml:space="preserve"> </w:t>
      </w:r>
      <w:r w:rsidRPr="00591A13">
        <w:rPr>
          <w:rFonts w:hint="eastAsia"/>
          <w:rtl/>
        </w:rPr>
        <w:t>بن</w:t>
      </w:r>
      <w:r w:rsidRPr="00591A13">
        <w:rPr>
          <w:rtl/>
        </w:rPr>
        <w:t xml:space="preserve"> </w:t>
      </w:r>
      <w:r w:rsidRPr="00591A13">
        <w:rPr>
          <w:rFonts w:hint="eastAsia"/>
          <w:rtl/>
        </w:rPr>
        <w:t>عمر</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العزيز</w:t>
      </w:r>
      <w:r w:rsidRPr="00591A13">
        <w:rPr>
          <w:rtl/>
        </w:rPr>
        <w:t>(</w:t>
      </w:r>
      <w:r w:rsidRPr="00591A13">
        <w:rPr>
          <w:rFonts w:hint="eastAsia"/>
          <w:rtl/>
        </w:rPr>
        <w:t>ت</w:t>
      </w:r>
      <w:r w:rsidRPr="00591A13">
        <w:rPr>
          <w:rtl/>
        </w:rPr>
        <w:t xml:space="preserve"> 1306</w:t>
      </w:r>
      <w:r w:rsidRPr="00591A13">
        <w:rPr>
          <w:rFonts w:hint="eastAsia"/>
          <w:rtl/>
        </w:rPr>
        <w:t>هـ</w:t>
      </w:r>
      <w:r w:rsidRPr="00591A13">
        <w:rPr>
          <w:rtl/>
        </w:rPr>
        <w:t>)</w:t>
      </w:r>
      <w:r w:rsidRPr="00591A13">
        <w:rPr>
          <w:rFonts w:hint="eastAsia"/>
          <w:rtl/>
        </w:rPr>
        <w:t>،</w:t>
      </w:r>
      <w:r w:rsidRPr="00591A13">
        <w:rPr>
          <w:b/>
          <w:bCs/>
          <w:rtl/>
        </w:rPr>
        <w:t xml:space="preserve"> </w:t>
      </w:r>
      <w:r w:rsidRPr="00591A13">
        <w:rPr>
          <w:rFonts w:hint="eastAsia"/>
          <w:b/>
          <w:bCs/>
          <w:rtl/>
        </w:rPr>
        <w:t>حاشية</w:t>
      </w:r>
      <w:r w:rsidRPr="00591A13">
        <w:rPr>
          <w:b/>
          <w:bCs/>
          <w:rtl/>
        </w:rPr>
        <w:t xml:space="preserve"> </w:t>
      </w:r>
      <w:r w:rsidRPr="00591A13">
        <w:rPr>
          <w:rFonts w:hint="eastAsia"/>
          <w:b/>
          <w:bCs/>
          <w:rtl/>
        </w:rPr>
        <w:t>قرة</w:t>
      </w:r>
      <w:r w:rsidRPr="00591A13">
        <w:rPr>
          <w:b/>
          <w:bCs/>
          <w:rtl/>
        </w:rPr>
        <w:t xml:space="preserve"> </w:t>
      </w:r>
      <w:r w:rsidRPr="00591A13">
        <w:rPr>
          <w:rFonts w:hint="eastAsia"/>
          <w:b/>
          <w:bCs/>
          <w:rtl/>
        </w:rPr>
        <w:t>عيون</w:t>
      </w:r>
      <w:r w:rsidRPr="00591A13">
        <w:rPr>
          <w:b/>
          <w:bCs/>
          <w:rtl/>
        </w:rPr>
        <w:t xml:space="preserve"> </w:t>
      </w:r>
      <w:r w:rsidRPr="00591A13">
        <w:rPr>
          <w:rFonts w:hint="eastAsia"/>
          <w:b/>
          <w:bCs/>
          <w:rtl/>
        </w:rPr>
        <w:t>الأخيار</w:t>
      </w:r>
      <w:r w:rsidRPr="00591A13">
        <w:rPr>
          <w:b/>
          <w:bCs/>
          <w:rtl/>
        </w:rPr>
        <w:t xml:space="preserve"> </w:t>
      </w:r>
      <w:r w:rsidRPr="00591A13">
        <w:rPr>
          <w:rFonts w:hint="eastAsia"/>
          <w:b/>
          <w:bCs/>
          <w:rtl/>
        </w:rPr>
        <w:t>تكملة</w:t>
      </w:r>
      <w:r w:rsidRPr="00591A13">
        <w:rPr>
          <w:b/>
          <w:bCs/>
          <w:rtl/>
        </w:rPr>
        <w:t xml:space="preserve"> </w:t>
      </w:r>
      <w:r w:rsidRPr="00591A13">
        <w:rPr>
          <w:rFonts w:hint="eastAsia"/>
          <w:b/>
          <w:bCs/>
          <w:rtl/>
        </w:rPr>
        <w:t>رد</w:t>
      </w:r>
      <w:r w:rsidRPr="00591A13">
        <w:rPr>
          <w:b/>
          <w:bCs/>
          <w:rtl/>
        </w:rPr>
        <w:t xml:space="preserve"> </w:t>
      </w:r>
      <w:r w:rsidRPr="00591A13">
        <w:rPr>
          <w:rFonts w:hint="eastAsia"/>
          <w:b/>
          <w:bCs/>
          <w:rtl/>
        </w:rPr>
        <w:t>المحتار</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در</w:t>
      </w:r>
      <w:r w:rsidRPr="00591A13">
        <w:rPr>
          <w:b/>
          <w:bCs/>
          <w:rtl/>
        </w:rPr>
        <w:t xml:space="preserve"> </w:t>
      </w:r>
      <w:r w:rsidRPr="00591A13">
        <w:rPr>
          <w:rFonts w:hint="eastAsia"/>
          <w:b/>
          <w:bCs/>
          <w:rtl/>
        </w:rPr>
        <w:t>المختار</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تنوير</w:t>
      </w:r>
      <w:r w:rsidRPr="00591A13">
        <w:rPr>
          <w:b/>
          <w:bCs/>
          <w:rtl/>
        </w:rPr>
        <w:t xml:space="preserve"> </w:t>
      </w:r>
      <w:r w:rsidRPr="00591A13">
        <w:rPr>
          <w:rFonts w:hint="eastAsia"/>
          <w:b/>
          <w:bCs/>
          <w:rtl/>
        </w:rPr>
        <w:t>الأبصار،</w:t>
      </w:r>
      <w:r w:rsidRPr="00591A13">
        <w:rPr>
          <w:b/>
          <w:bCs/>
          <w:rtl/>
        </w:rPr>
        <w:t xml:space="preserve"> </w:t>
      </w:r>
      <w:r>
        <w:rPr>
          <w:rFonts w:hint="eastAsia"/>
          <w:rtl/>
        </w:rPr>
        <w:t>ط</w:t>
      </w:r>
      <w:r w:rsidRPr="00591A13">
        <w:rPr>
          <w:rtl/>
        </w:rPr>
        <w:t>1</w:t>
      </w:r>
      <w:r w:rsidRPr="00591A13">
        <w:rPr>
          <w:rFonts w:hint="eastAsia"/>
          <w:rtl/>
        </w:rPr>
        <w:t>،</w:t>
      </w:r>
      <w:r w:rsidRPr="00591A13">
        <w:rPr>
          <w:rtl/>
        </w:rPr>
        <w:t xml:space="preserve"> 12</w:t>
      </w:r>
      <w:r w:rsidRPr="00591A13">
        <w:rPr>
          <w:rFonts w:hint="eastAsia"/>
          <w:rtl/>
        </w:rPr>
        <w:t>م،</w:t>
      </w:r>
      <w:r w:rsidRPr="00591A13">
        <w:rPr>
          <w:rtl/>
        </w:rPr>
        <w:t xml:space="preserve"> ( </w:t>
      </w:r>
      <w:r w:rsidRPr="00591A13">
        <w:rPr>
          <w:rFonts w:hint="eastAsia"/>
          <w:rtl/>
        </w:rPr>
        <w:t>تحقيق</w:t>
      </w:r>
      <w:r w:rsidRPr="00591A13">
        <w:rPr>
          <w:rtl/>
        </w:rPr>
        <w:t xml:space="preserve"> </w:t>
      </w:r>
      <w:r w:rsidRPr="00591A13">
        <w:rPr>
          <w:rFonts w:hint="eastAsia"/>
          <w:rtl/>
        </w:rPr>
        <w:t>وتعليق</w:t>
      </w:r>
      <w:r w:rsidRPr="00591A13">
        <w:rPr>
          <w:rtl/>
        </w:rPr>
        <w:t xml:space="preserve"> </w:t>
      </w:r>
      <w:r w:rsidRPr="00591A13">
        <w:rPr>
          <w:rFonts w:hint="eastAsia"/>
          <w:rtl/>
        </w:rPr>
        <w:t>الشيخ</w:t>
      </w:r>
      <w:r w:rsidRPr="00591A13">
        <w:rPr>
          <w:rtl/>
        </w:rPr>
        <w:t xml:space="preserve"> </w:t>
      </w:r>
      <w:r w:rsidRPr="00591A13">
        <w:rPr>
          <w:rFonts w:hint="eastAsia"/>
          <w:rtl/>
        </w:rPr>
        <w:t>عادل</w:t>
      </w:r>
      <w:r w:rsidRPr="00591A13">
        <w:rPr>
          <w:rtl/>
        </w:rPr>
        <w:t xml:space="preserve"> </w:t>
      </w:r>
      <w:r w:rsidRPr="00591A13">
        <w:rPr>
          <w:rFonts w:hint="eastAsia"/>
          <w:rtl/>
        </w:rPr>
        <w:t>أحمد</w:t>
      </w:r>
      <w:r w:rsidRPr="00591A13">
        <w:rPr>
          <w:rtl/>
        </w:rPr>
        <w:t xml:space="preserve"> </w:t>
      </w:r>
      <w:r w:rsidRPr="00591A13">
        <w:rPr>
          <w:rFonts w:hint="eastAsia"/>
          <w:rtl/>
        </w:rPr>
        <w:t>عبد</w:t>
      </w:r>
      <w:r w:rsidRPr="00591A13">
        <w:rPr>
          <w:rtl/>
        </w:rPr>
        <w:t xml:space="preserve"> </w:t>
      </w:r>
      <w:r w:rsidRPr="00591A13">
        <w:rPr>
          <w:rFonts w:hint="eastAsia"/>
          <w:rtl/>
        </w:rPr>
        <w:t>الموجور</w:t>
      </w:r>
      <w:r w:rsidRPr="00591A13">
        <w:rPr>
          <w:rtl/>
        </w:rPr>
        <w:t xml:space="preserve"> – </w:t>
      </w:r>
      <w:r w:rsidRPr="00591A13">
        <w:rPr>
          <w:rFonts w:hint="eastAsia"/>
          <w:rtl/>
        </w:rPr>
        <w:t>الشيخ</w:t>
      </w:r>
      <w:r w:rsidRPr="00591A13">
        <w:rPr>
          <w:rtl/>
        </w:rPr>
        <w:t xml:space="preserve"> </w:t>
      </w:r>
      <w:r w:rsidRPr="00591A13">
        <w:rPr>
          <w:rFonts w:hint="eastAsia"/>
          <w:rtl/>
        </w:rPr>
        <w:t>علي</w:t>
      </w:r>
      <w:r w:rsidRPr="00591A13">
        <w:rPr>
          <w:rtl/>
        </w:rPr>
        <w:t xml:space="preserve"> </w:t>
      </w:r>
      <w:r w:rsidRPr="00591A13">
        <w:rPr>
          <w:rFonts w:hint="eastAsia"/>
          <w:rtl/>
        </w:rPr>
        <w:t>محمد</w:t>
      </w:r>
      <w:r w:rsidRPr="00591A13">
        <w:rPr>
          <w:rtl/>
        </w:rPr>
        <w:t xml:space="preserve"> </w:t>
      </w:r>
      <w:r w:rsidRPr="00591A13">
        <w:rPr>
          <w:rFonts w:hint="eastAsia"/>
          <w:rtl/>
        </w:rPr>
        <w:t>معوض</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عالم</w:t>
      </w:r>
      <w:r w:rsidRPr="00591A13">
        <w:rPr>
          <w:rtl/>
        </w:rPr>
        <w:t xml:space="preserve"> </w:t>
      </w:r>
      <w:r w:rsidRPr="00591A13">
        <w:rPr>
          <w:rFonts w:hint="eastAsia"/>
          <w:rtl/>
        </w:rPr>
        <w:t>الكتب،</w:t>
      </w:r>
      <w:r w:rsidRPr="00591A13">
        <w:rPr>
          <w:rtl/>
        </w:rPr>
        <w:t xml:space="preserve"> </w:t>
      </w:r>
      <w:r w:rsidRPr="00591A13">
        <w:rPr>
          <w:rFonts w:hint="eastAsia"/>
          <w:rtl/>
        </w:rPr>
        <w:t>الرياض،</w:t>
      </w:r>
      <w:r w:rsidRPr="00591A13">
        <w:rPr>
          <w:rtl/>
        </w:rPr>
        <w:t xml:space="preserve"> 2003</w:t>
      </w:r>
      <w:r w:rsidRPr="00591A13">
        <w:rPr>
          <w:rFonts w:hint="eastAsia"/>
          <w:rtl/>
        </w:rPr>
        <w:t>م</w:t>
      </w:r>
      <w:r w:rsidRPr="00591A13">
        <w:rPr>
          <w:rtl/>
        </w:rPr>
        <w:t>.</w:t>
      </w:r>
    </w:p>
    <w:p w:rsidR="005F44B2" w:rsidRPr="00591A13" w:rsidRDefault="005F44B2" w:rsidP="00231FF0">
      <w:pPr>
        <w:pStyle w:val="Subtitle"/>
        <w:numPr>
          <w:ilvl w:val="0"/>
          <w:numId w:val="46"/>
        </w:numPr>
        <w:spacing w:line="259" w:lineRule="auto"/>
        <w:jc w:val="both"/>
      </w:pPr>
      <w:r w:rsidRPr="00591A13">
        <w:rPr>
          <w:rFonts w:hint="eastAsia"/>
          <w:rtl/>
        </w:rPr>
        <w:t>عودة،</w:t>
      </w:r>
      <w:r w:rsidRPr="00591A13">
        <w:rPr>
          <w:rtl/>
        </w:rPr>
        <w:t xml:space="preserve"> </w:t>
      </w:r>
      <w:r w:rsidRPr="00591A13">
        <w:rPr>
          <w:rFonts w:hint="eastAsia"/>
          <w:rtl/>
        </w:rPr>
        <w:t>عبد</w:t>
      </w:r>
      <w:r w:rsidRPr="00591A13">
        <w:rPr>
          <w:rtl/>
        </w:rPr>
        <w:t xml:space="preserve"> </w:t>
      </w:r>
      <w:r w:rsidRPr="00591A13">
        <w:rPr>
          <w:rFonts w:hint="eastAsia"/>
          <w:rtl/>
        </w:rPr>
        <w:t>القادر،</w:t>
      </w:r>
      <w:r w:rsidRPr="00591A13">
        <w:rPr>
          <w:rtl/>
        </w:rPr>
        <w:t xml:space="preserve"> </w:t>
      </w:r>
      <w:r w:rsidRPr="00591A13">
        <w:rPr>
          <w:rFonts w:hint="eastAsia"/>
          <w:b/>
          <w:bCs/>
          <w:rtl/>
        </w:rPr>
        <w:t>التشريع</w:t>
      </w:r>
      <w:r w:rsidRPr="00591A13">
        <w:rPr>
          <w:b/>
          <w:bCs/>
          <w:rtl/>
        </w:rPr>
        <w:t xml:space="preserve"> </w:t>
      </w:r>
      <w:r w:rsidRPr="00591A13">
        <w:rPr>
          <w:rFonts w:hint="eastAsia"/>
          <w:b/>
          <w:bCs/>
          <w:rtl/>
        </w:rPr>
        <w:t>الجنائي</w:t>
      </w:r>
      <w:r w:rsidRPr="00591A13">
        <w:rPr>
          <w:b/>
          <w:bCs/>
          <w:rtl/>
        </w:rPr>
        <w:t xml:space="preserve"> </w:t>
      </w:r>
      <w:r w:rsidRPr="00591A13">
        <w:rPr>
          <w:rFonts w:hint="eastAsia"/>
          <w:b/>
          <w:bCs/>
          <w:rtl/>
        </w:rPr>
        <w:t>الإسلامي</w:t>
      </w:r>
      <w:r w:rsidRPr="00591A13">
        <w:rPr>
          <w:b/>
          <w:bCs/>
          <w:rtl/>
        </w:rPr>
        <w:t xml:space="preserve"> </w:t>
      </w:r>
      <w:r w:rsidRPr="00591A13">
        <w:rPr>
          <w:rFonts w:hint="eastAsia"/>
          <w:b/>
          <w:bCs/>
          <w:rtl/>
        </w:rPr>
        <w:t>مقارناً</w:t>
      </w:r>
      <w:r w:rsidRPr="00591A13">
        <w:rPr>
          <w:b/>
          <w:bCs/>
          <w:rtl/>
        </w:rPr>
        <w:t xml:space="preserve"> </w:t>
      </w:r>
      <w:r w:rsidRPr="00591A13">
        <w:rPr>
          <w:rFonts w:hint="eastAsia"/>
          <w:b/>
          <w:bCs/>
          <w:rtl/>
        </w:rPr>
        <w:t>بالقانون</w:t>
      </w:r>
      <w:r w:rsidRPr="00591A13">
        <w:rPr>
          <w:b/>
          <w:bCs/>
          <w:rtl/>
        </w:rPr>
        <w:t xml:space="preserve"> </w:t>
      </w:r>
      <w:r w:rsidRPr="00591A13">
        <w:rPr>
          <w:rFonts w:hint="eastAsia"/>
          <w:b/>
          <w:bCs/>
          <w:rtl/>
        </w:rPr>
        <w:t>الوضعي</w:t>
      </w:r>
      <w:r w:rsidRPr="00591A13">
        <w:rPr>
          <w:rFonts w:hint="eastAsia"/>
          <w:rtl/>
        </w:rPr>
        <w:t>،</w:t>
      </w:r>
      <w:r w:rsidRPr="00591A13">
        <w:rPr>
          <w:rtl/>
        </w:rPr>
        <w:t xml:space="preserve"> 2</w:t>
      </w:r>
      <w:r w:rsidRPr="00591A13">
        <w:rPr>
          <w:rFonts w:hint="eastAsia"/>
          <w:rtl/>
        </w:rPr>
        <w:t>م،</w:t>
      </w:r>
      <w:r w:rsidRPr="00591A13">
        <w:rPr>
          <w:rtl/>
        </w:rPr>
        <w:t xml:space="preserve"> </w:t>
      </w:r>
      <w:r w:rsidRPr="00591A13">
        <w:rPr>
          <w:rFonts w:hint="eastAsia"/>
          <w:rtl/>
        </w:rPr>
        <w:t>بيروت</w:t>
      </w:r>
      <w:r>
        <w:rPr>
          <w:rFonts w:hint="eastAsia"/>
          <w:rtl/>
        </w:rPr>
        <w:t>،</w:t>
      </w:r>
      <w:r w:rsidRPr="00591A13">
        <w:rPr>
          <w:rFonts w:hint="eastAsia"/>
          <w:rtl/>
        </w:rPr>
        <w:t>دار</w:t>
      </w:r>
      <w:r w:rsidRPr="00591A13">
        <w:rPr>
          <w:rtl/>
        </w:rPr>
        <w:t xml:space="preserve"> </w:t>
      </w:r>
      <w:r w:rsidRPr="00591A13">
        <w:rPr>
          <w:rFonts w:hint="eastAsia"/>
          <w:rtl/>
        </w:rPr>
        <w:t>الكاتب</w:t>
      </w:r>
      <w:r w:rsidRPr="00591A13">
        <w:rPr>
          <w:rtl/>
        </w:rPr>
        <w:t xml:space="preserve"> </w:t>
      </w:r>
      <w:r w:rsidRPr="00591A13">
        <w:rPr>
          <w:rFonts w:hint="eastAsia"/>
          <w:rtl/>
        </w:rPr>
        <w:t>العربي</w:t>
      </w:r>
      <w:r w:rsidRPr="00591A13">
        <w:rPr>
          <w:rtl/>
        </w:rPr>
        <w:t>.</w:t>
      </w:r>
    </w:p>
    <w:p w:rsidR="005F44B2" w:rsidRPr="00591A13" w:rsidRDefault="005F44B2" w:rsidP="00D1001A">
      <w:pPr>
        <w:pStyle w:val="Subtitle"/>
        <w:numPr>
          <w:ilvl w:val="0"/>
          <w:numId w:val="46"/>
        </w:numPr>
        <w:spacing w:line="259" w:lineRule="auto"/>
        <w:jc w:val="both"/>
      </w:pPr>
      <w:r w:rsidRPr="00591A13">
        <w:rPr>
          <w:rFonts w:hint="eastAsia"/>
          <w:rtl/>
        </w:rPr>
        <w:t>العيني،</w:t>
      </w:r>
      <w:r w:rsidRPr="00591A13">
        <w:rPr>
          <w:rtl/>
        </w:rPr>
        <w:t xml:space="preserve"> </w:t>
      </w:r>
      <w:r w:rsidRPr="00591A13">
        <w:rPr>
          <w:rFonts w:hint="eastAsia"/>
          <w:rtl/>
        </w:rPr>
        <w:t>محمود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موسى</w:t>
      </w:r>
      <w:r w:rsidRPr="00591A13">
        <w:rPr>
          <w:rtl/>
        </w:rPr>
        <w:t xml:space="preserve"> (</w:t>
      </w:r>
      <w:r w:rsidRPr="00591A13">
        <w:rPr>
          <w:rFonts w:hint="eastAsia"/>
          <w:rtl/>
        </w:rPr>
        <w:t>ت</w:t>
      </w:r>
      <w:r w:rsidRPr="00591A13">
        <w:rPr>
          <w:rtl/>
        </w:rPr>
        <w:t xml:space="preserve"> 855</w:t>
      </w:r>
      <w:r w:rsidRPr="00591A13">
        <w:rPr>
          <w:rFonts w:hint="eastAsia"/>
          <w:rtl/>
        </w:rPr>
        <w:t>ه</w:t>
      </w:r>
      <w:r w:rsidRPr="00591A13">
        <w:t>‍</w:t>
      </w:r>
      <w:r w:rsidRPr="00591A13">
        <w:rPr>
          <w:rtl/>
        </w:rPr>
        <w:t>)</w:t>
      </w:r>
      <w:r w:rsidRPr="00591A13">
        <w:rPr>
          <w:rFonts w:hint="eastAsia"/>
          <w:rtl/>
        </w:rPr>
        <w:t>،</w:t>
      </w:r>
      <w:r w:rsidRPr="00591A13">
        <w:rPr>
          <w:rtl/>
        </w:rPr>
        <w:t xml:space="preserve"> </w:t>
      </w:r>
      <w:r w:rsidRPr="00591A13">
        <w:rPr>
          <w:rFonts w:hint="eastAsia"/>
          <w:b/>
          <w:bCs/>
          <w:rtl/>
        </w:rPr>
        <w:t>البناية</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الهداية</w:t>
      </w:r>
      <w:r w:rsidRPr="00591A13">
        <w:rPr>
          <w:rFonts w:hint="eastAsia"/>
          <w:rtl/>
        </w:rPr>
        <w:t>،ط</w:t>
      </w:r>
      <w:r w:rsidRPr="00591A13">
        <w:rPr>
          <w:rtl/>
        </w:rPr>
        <w:t>1</w:t>
      </w:r>
      <w:r w:rsidRPr="00591A13">
        <w:rPr>
          <w:rFonts w:hint="eastAsia"/>
          <w:rtl/>
        </w:rPr>
        <w:t>،</w:t>
      </w:r>
      <w:r w:rsidRPr="00591A13">
        <w:rPr>
          <w:rtl/>
        </w:rPr>
        <w:t xml:space="preserve"> 13</w:t>
      </w:r>
      <w:r w:rsidRPr="00591A13">
        <w:rPr>
          <w:rFonts w:hint="eastAsia"/>
          <w:rtl/>
        </w:rPr>
        <w:t>م،</w:t>
      </w:r>
      <w:r w:rsidRPr="00591A13">
        <w:rPr>
          <w:rtl/>
        </w:rPr>
        <w:t>(</w:t>
      </w:r>
      <w:r w:rsidRPr="00591A13">
        <w:rPr>
          <w:rFonts w:hint="eastAsia"/>
          <w:rtl/>
        </w:rPr>
        <w:t>تحقيق</w:t>
      </w:r>
      <w:r w:rsidRPr="00591A13">
        <w:rPr>
          <w:rtl/>
        </w:rPr>
        <w:t xml:space="preserve">: </w:t>
      </w:r>
      <w:r w:rsidRPr="00591A13">
        <w:rPr>
          <w:rFonts w:hint="eastAsia"/>
          <w:rtl/>
        </w:rPr>
        <w:t>أيمن</w:t>
      </w:r>
      <w:r w:rsidRPr="00591A13">
        <w:rPr>
          <w:rtl/>
        </w:rPr>
        <w:t xml:space="preserve"> </w:t>
      </w:r>
      <w:r w:rsidRPr="00591A13">
        <w:rPr>
          <w:rFonts w:hint="eastAsia"/>
          <w:rtl/>
        </w:rPr>
        <w:t>شعبان</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1420</w:t>
      </w:r>
      <w:r w:rsidRPr="00591A13">
        <w:rPr>
          <w:rFonts w:hint="eastAsia"/>
          <w:rtl/>
        </w:rPr>
        <w:t>ه</w:t>
      </w:r>
      <w:r w:rsidRPr="00591A13">
        <w:t>‍</w:t>
      </w:r>
      <w:r w:rsidRPr="00591A13">
        <w:rPr>
          <w:rtl/>
        </w:rPr>
        <w:t>/ 2000</w:t>
      </w:r>
      <w:r w:rsidRPr="00591A13">
        <w:rPr>
          <w:rFonts w:hint="eastAsia"/>
          <w:rtl/>
        </w:rPr>
        <w:t>م</w:t>
      </w:r>
      <w:r w:rsidRPr="00591A13">
        <w:rPr>
          <w:rtl/>
        </w:rPr>
        <w:t>.</w:t>
      </w:r>
    </w:p>
    <w:p w:rsidR="005F44B2" w:rsidRPr="00591A13" w:rsidRDefault="005F44B2" w:rsidP="00D1001A">
      <w:pPr>
        <w:pStyle w:val="Subtitle"/>
        <w:numPr>
          <w:ilvl w:val="0"/>
          <w:numId w:val="46"/>
        </w:numPr>
        <w:spacing w:line="259" w:lineRule="auto"/>
        <w:jc w:val="both"/>
      </w:pPr>
      <w:r w:rsidRPr="00591A13">
        <w:rPr>
          <w:rFonts w:hint="eastAsia"/>
          <w:rtl/>
        </w:rPr>
        <w:t>الغزالي،</w:t>
      </w:r>
      <w:r w:rsidRPr="00591A13">
        <w:rPr>
          <w:rtl/>
        </w:rPr>
        <w:t xml:space="preserve"> </w:t>
      </w:r>
      <w:r w:rsidRPr="00591A13">
        <w:rPr>
          <w:rFonts w:hint="eastAsia"/>
          <w:b/>
          <w:bCs/>
          <w:rtl/>
        </w:rPr>
        <w:t>المستصفى</w:t>
      </w:r>
      <w:r w:rsidRPr="00591A13">
        <w:rPr>
          <w:b/>
          <w:bCs/>
          <w:rtl/>
        </w:rPr>
        <w:t xml:space="preserve"> </w:t>
      </w:r>
      <w:r w:rsidRPr="00591A13">
        <w:rPr>
          <w:rFonts w:hint="eastAsia"/>
          <w:b/>
          <w:bCs/>
          <w:rtl/>
        </w:rPr>
        <w:t>من</w:t>
      </w:r>
      <w:r w:rsidRPr="00591A13">
        <w:rPr>
          <w:b/>
          <w:bCs/>
          <w:rtl/>
        </w:rPr>
        <w:t xml:space="preserve"> </w:t>
      </w:r>
      <w:r w:rsidRPr="00591A13">
        <w:rPr>
          <w:rFonts w:hint="eastAsia"/>
          <w:b/>
          <w:bCs/>
          <w:rtl/>
        </w:rPr>
        <w:t>علم</w:t>
      </w:r>
      <w:r w:rsidRPr="00591A13">
        <w:rPr>
          <w:b/>
          <w:bCs/>
          <w:rtl/>
        </w:rPr>
        <w:t xml:space="preserve"> </w:t>
      </w:r>
      <w:r w:rsidRPr="00591A13">
        <w:rPr>
          <w:rFonts w:hint="eastAsia"/>
          <w:b/>
          <w:bCs/>
          <w:rtl/>
        </w:rPr>
        <w:t>الأصول</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Pr>
          <w:rtl/>
        </w:rPr>
        <w:t>(</w:t>
      </w:r>
      <w:r w:rsidRPr="00591A13">
        <w:rPr>
          <w:rFonts w:hint="eastAsia"/>
          <w:rtl/>
        </w:rPr>
        <w:t>تحقيق</w:t>
      </w:r>
      <w:r w:rsidRPr="00591A13">
        <w:rPr>
          <w:rtl/>
        </w:rPr>
        <w:t xml:space="preserve">: </w:t>
      </w:r>
      <w:r w:rsidRPr="00591A13">
        <w:rPr>
          <w:rFonts w:hint="eastAsia"/>
          <w:rtl/>
        </w:rPr>
        <w:t>محمد</w:t>
      </w:r>
      <w:r w:rsidRPr="00591A13">
        <w:rPr>
          <w:rtl/>
        </w:rPr>
        <w:t xml:space="preserve"> </w:t>
      </w:r>
      <w:r w:rsidRPr="00591A13">
        <w:rPr>
          <w:rFonts w:hint="eastAsia"/>
          <w:rtl/>
        </w:rPr>
        <w:t>عبد</w:t>
      </w:r>
      <w:r w:rsidRPr="00591A13">
        <w:rPr>
          <w:rtl/>
        </w:rPr>
        <w:t xml:space="preserve"> </w:t>
      </w:r>
      <w:r w:rsidRPr="00591A13">
        <w:rPr>
          <w:rFonts w:hint="eastAsia"/>
          <w:rtl/>
        </w:rPr>
        <w:t>السلام</w:t>
      </w:r>
      <w:r w:rsidRPr="00591A13">
        <w:rPr>
          <w:rtl/>
        </w:rPr>
        <w:t xml:space="preserve"> </w:t>
      </w:r>
      <w:r w:rsidRPr="00591A13">
        <w:rPr>
          <w:rFonts w:hint="eastAsia"/>
          <w:rtl/>
        </w:rPr>
        <w:t>عبد</w:t>
      </w:r>
      <w:r w:rsidRPr="00591A13">
        <w:rPr>
          <w:rtl/>
        </w:rPr>
        <w:t xml:space="preserve"> </w:t>
      </w:r>
      <w:r w:rsidRPr="00591A13">
        <w:rPr>
          <w:rFonts w:hint="eastAsia"/>
          <w:rtl/>
        </w:rPr>
        <w:t>الشافي</w:t>
      </w:r>
      <w:r>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1993</w:t>
      </w:r>
      <w:r w:rsidRPr="00591A13">
        <w:rPr>
          <w:rFonts w:hint="eastAsia"/>
          <w:rtl/>
        </w:rPr>
        <w:t>م</w:t>
      </w:r>
      <w:r w:rsidRPr="00591A13">
        <w:rPr>
          <w:rtl/>
        </w:rPr>
        <w:t>.</w:t>
      </w:r>
    </w:p>
    <w:p w:rsidR="005F44B2" w:rsidRPr="00591A13" w:rsidRDefault="005F44B2" w:rsidP="00D1001A">
      <w:pPr>
        <w:pStyle w:val="Subtitle"/>
        <w:numPr>
          <w:ilvl w:val="0"/>
          <w:numId w:val="46"/>
        </w:numPr>
        <w:spacing w:line="259" w:lineRule="auto"/>
        <w:jc w:val="both"/>
      </w:pPr>
      <w:r w:rsidRPr="00591A13">
        <w:rPr>
          <w:rFonts w:hint="eastAsia"/>
          <w:rtl/>
        </w:rPr>
        <w:t>الغزالي،</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الغزالي</w:t>
      </w:r>
      <w:r w:rsidRPr="00591A13">
        <w:rPr>
          <w:rtl/>
        </w:rPr>
        <w:t xml:space="preserve"> </w:t>
      </w:r>
      <w:r w:rsidRPr="00591A13">
        <w:rPr>
          <w:rFonts w:hint="eastAsia"/>
          <w:rtl/>
        </w:rPr>
        <w:t>الطوسي</w:t>
      </w:r>
      <w:r w:rsidRPr="00591A13">
        <w:rPr>
          <w:rtl/>
        </w:rPr>
        <w:t xml:space="preserve"> ( </w:t>
      </w:r>
      <w:r w:rsidRPr="00591A13">
        <w:rPr>
          <w:rFonts w:hint="eastAsia"/>
          <w:rtl/>
        </w:rPr>
        <w:t>ت</w:t>
      </w:r>
      <w:r w:rsidRPr="00591A13">
        <w:rPr>
          <w:rtl/>
        </w:rPr>
        <w:t xml:space="preserve"> 505 </w:t>
      </w:r>
      <w:r w:rsidRPr="00591A13">
        <w:rPr>
          <w:rFonts w:hint="eastAsia"/>
          <w:rtl/>
        </w:rPr>
        <w:t>هـ</w:t>
      </w:r>
      <w:r w:rsidRPr="00591A13">
        <w:rPr>
          <w:rtl/>
        </w:rPr>
        <w:t>)</w:t>
      </w:r>
      <w:r w:rsidRPr="00591A13">
        <w:rPr>
          <w:rFonts w:hint="eastAsia"/>
          <w:rtl/>
        </w:rPr>
        <w:t>،</w:t>
      </w:r>
      <w:r w:rsidRPr="00591A13">
        <w:rPr>
          <w:rFonts w:hint="eastAsia"/>
          <w:b/>
          <w:bCs/>
          <w:rtl/>
        </w:rPr>
        <w:t>إحياء</w:t>
      </w:r>
      <w:r w:rsidRPr="00591A13">
        <w:rPr>
          <w:b/>
          <w:bCs/>
          <w:rtl/>
        </w:rPr>
        <w:t xml:space="preserve"> </w:t>
      </w:r>
      <w:r w:rsidRPr="00591A13">
        <w:rPr>
          <w:rFonts w:hint="eastAsia"/>
          <w:b/>
          <w:bCs/>
          <w:rtl/>
        </w:rPr>
        <w:t>علوم</w:t>
      </w:r>
      <w:r w:rsidRPr="00591A13">
        <w:rPr>
          <w:b/>
          <w:bCs/>
          <w:rtl/>
        </w:rPr>
        <w:t xml:space="preserve"> </w:t>
      </w:r>
      <w:r w:rsidRPr="00591A13">
        <w:rPr>
          <w:rFonts w:hint="eastAsia"/>
          <w:b/>
          <w:bCs/>
          <w:rtl/>
        </w:rPr>
        <w:t>الدين</w:t>
      </w:r>
      <w:r w:rsidRPr="00591A13">
        <w:rPr>
          <w:rFonts w:hint="eastAsia"/>
          <w:rtl/>
        </w:rPr>
        <w:t>،</w:t>
      </w:r>
      <w:r w:rsidRPr="00591A13">
        <w:rPr>
          <w:rtl/>
        </w:rPr>
        <w:t xml:space="preserve"> 2</w:t>
      </w:r>
      <w:r>
        <w:rPr>
          <w:rFonts w:hint="eastAsia"/>
          <w:rtl/>
        </w:rPr>
        <w:t>م،</w:t>
      </w:r>
      <w:r>
        <w:rPr>
          <w:rtl/>
        </w:rPr>
        <w:t xml:space="preserve"> </w:t>
      </w:r>
      <w:r>
        <w:rPr>
          <w:rFonts w:hint="eastAsia"/>
          <w:rtl/>
        </w:rPr>
        <w:t>دار</w:t>
      </w:r>
      <w:r>
        <w:rPr>
          <w:rtl/>
        </w:rPr>
        <w:t xml:space="preserve"> </w:t>
      </w:r>
      <w:r>
        <w:rPr>
          <w:rFonts w:hint="eastAsia"/>
          <w:rtl/>
        </w:rPr>
        <w:t>المعرفة</w:t>
      </w:r>
      <w:r>
        <w:rPr>
          <w:rtl/>
        </w:rPr>
        <w:t xml:space="preserve"> </w:t>
      </w:r>
      <w:r>
        <w:rPr>
          <w:rFonts w:hint="eastAsia"/>
          <w:rtl/>
        </w:rPr>
        <w:t>بيروت</w:t>
      </w:r>
      <w:r w:rsidRPr="00591A13">
        <w:rPr>
          <w:rtl/>
        </w:rPr>
        <w:t>.</w:t>
      </w:r>
    </w:p>
    <w:p w:rsidR="005F44B2" w:rsidRPr="00591A13" w:rsidRDefault="005F44B2" w:rsidP="00D1001A">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فرحون،</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w:t>
      </w:r>
      <w:r w:rsidRPr="00591A13">
        <w:rPr>
          <w:rFonts w:hint="eastAsia"/>
          <w:rtl/>
        </w:rPr>
        <w:t>ت</w:t>
      </w:r>
      <w:r w:rsidRPr="00591A13">
        <w:rPr>
          <w:rtl/>
        </w:rPr>
        <w:t xml:space="preserve"> 799 </w:t>
      </w:r>
      <w:r w:rsidRPr="00591A13">
        <w:rPr>
          <w:rFonts w:hint="eastAsia"/>
          <w:rtl/>
        </w:rPr>
        <w:t>هـ</w:t>
      </w:r>
      <w:r w:rsidRPr="00591A13">
        <w:rPr>
          <w:rtl/>
        </w:rPr>
        <w:t>)</w:t>
      </w:r>
      <w:r w:rsidRPr="00591A13">
        <w:rPr>
          <w:rFonts w:hint="eastAsia"/>
          <w:rtl/>
        </w:rPr>
        <w:t>،</w:t>
      </w:r>
      <w:r w:rsidRPr="00591A13">
        <w:rPr>
          <w:rFonts w:hint="eastAsia"/>
          <w:b/>
          <w:bCs/>
          <w:rtl/>
        </w:rPr>
        <w:t>تبصرة</w:t>
      </w:r>
      <w:r w:rsidRPr="00591A13">
        <w:rPr>
          <w:b/>
          <w:bCs/>
          <w:rtl/>
        </w:rPr>
        <w:t xml:space="preserve"> </w:t>
      </w:r>
      <w:r w:rsidRPr="00591A13">
        <w:rPr>
          <w:rFonts w:hint="eastAsia"/>
          <w:b/>
          <w:bCs/>
          <w:rtl/>
        </w:rPr>
        <w:t>الحكام</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أصول</w:t>
      </w:r>
      <w:r w:rsidRPr="00591A13">
        <w:rPr>
          <w:b/>
          <w:bCs/>
          <w:rtl/>
        </w:rPr>
        <w:t xml:space="preserve"> </w:t>
      </w:r>
      <w:r w:rsidRPr="00591A13">
        <w:rPr>
          <w:rFonts w:hint="eastAsia"/>
          <w:b/>
          <w:bCs/>
          <w:rtl/>
        </w:rPr>
        <w:t>الأقضية</w:t>
      </w:r>
      <w:r w:rsidRPr="00591A13">
        <w:rPr>
          <w:b/>
          <w:bCs/>
          <w:rtl/>
        </w:rPr>
        <w:t xml:space="preserve"> </w:t>
      </w:r>
      <w:r w:rsidRPr="00591A13">
        <w:rPr>
          <w:rFonts w:hint="eastAsia"/>
          <w:b/>
          <w:bCs/>
          <w:rtl/>
        </w:rPr>
        <w:t>ومناهج</w:t>
      </w:r>
      <w:r w:rsidRPr="00591A13">
        <w:rPr>
          <w:b/>
          <w:bCs/>
          <w:rtl/>
        </w:rPr>
        <w:t xml:space="preserve"> </w:t>
      </w:r>
      <w:r w:rsidRPr="00591A13">
        <w:rPr>
          <w:rFonts w:hint="eastAsia"/>
          <w:b/>
          <w:bCs/>
          <w:rtl/>
        </w:rPr>
        <w:t>الأحكام</w:t>
      </w:r>
      <w:r w:rsidRPr="00591A13">
        <w:rPr>
          <w:rFonts w:hint="eastAsia"/>
          <w:rtl/>
        </w:rPr>
        <w:t>،</w:t>
      </w:r>
      <w:r w:rsidRPr="00591A13">
        <w:rPr>
          <w:rtl/>
        </w:rPr>
        <w:t xml:space="preserve"> </w:t>
      </w:r>
      <w:r w:rsidRPr="00591A13">
        <w:rPr>
          <w:rFonts w:hint="eastAsia"/>
          <w:rtl/>
        </w:rPr>
        <w:t>طبعة</w:t>
      </w:r>
      <w:r w:rsidRPr="00591A13">
        <w:rPr>
          <w:rtl/>
        </w:rPr>
        <w:t xml:space="preserve"> </w:t>
      </w:r>
      <w:r w:rsidRPr="00591A13">
        <w:rPr>
          <w:rFonts w:hint="eastAsia"/>
          <w:rtl/>
        </w:rPr>
        <w:t>خاصة،</w:t>
      </w:r>
      <w:r w:rsidRPr="00591A13">
        <w:rPr>
          <w:rtl/>
        </w:rPr>
        <w:t xml:space="preserve"> 2</w:t>
      </w:r>
      <w:r w:rsidRPr="00591A13">
        <w:rPr>
          <w:rFonts w:hint="eastAsia"/>
          <w:rtl/>
        </w:rPr>
        <w:t>م،</w:t>
      </w:r>
      <w:r w:rsidRPr="00591A13">
        <w:rPr>
          <w:rtl/>
        </w:rPr>
        <w:t xml:space="preserve"> (</w:t>
      </w:r>
      <w:r w:rsidRPr="00591A13">
        <w:rPr>
          <w:rFonts w:hint="eastAsia"/>
          <w:rtl/>
        </w:rPr>
        <w:t>خرّج</w:t>
      </w:r>
      <w:r w:rsidRPr="00591A13">
        <w:rPr>
          <w:rtl/>
        </w:rPr>
        <w:t xml:space="preserve"> </w:t>
      </w:r>
      <w:r w:rsidRPr="00591A13">
        <w:rPr>
          <w:rFonts w:hint="eastAsia"/>
          <w:rtl/>
        </w:rPr>
        <w:t>أحاديثه</w:t>
      </w:r>
      <w:r w:rsidRPr="00591A13">
        <w:rPr>
          <w:rtl/>
        </w:rPr>
        <w:t xml:space="preserve"> </w:t>
      </w:r>
      <w:r w:rsidRPr="00591A13">
        <w:rPr>
          <w:rFonts w:hint="eastAsia"/>
          <w:rtl/>
        </w:rPr>
        <w:t>وعلّق</w:t>
      </w:r>
      <w:r w:rsidRPr="00591A13">
        <w:rPr>
          <w:rtl/>
        </w:rPr>
        <w:t xml:space="preserve"> </w:t>
      </w:r>
      <w:r w:rsidRPr="00591A13">
        <w:rPr>
          <w:rFonts w:hint="eastAsia"/>
          <w:rtl/>
        </w:rPr>
        <w:t>عليه</w:t>
      </w:r>
      <w:r w:rsidRPr="00591A13">
        <w:rPr>
          <w:rtl/>
        </w:rPr>
        <w:t xml:space="preserve"> </w:t>
      </w:r>
      <w:r w:rsidRPr="00591A13">
        <w:rPr>
          <w:rFonts w:hint="eastAsia"/>
          <w:rtl/>
        </w:rPr>
        <w:t>وكتب</w:t>
      </w:r>
      <w:r w:rsidRPr="00591A13">
        <w:rPr>
          <w:rtl/>
        </w:rPr>
        <w:t xml:space="preserve"> </w:t>
      </w:r>
      <w:r w:rsidRPr="00591A13">
        <w:rPr>
          <w:rFonts w:hint="eastAsia"/>
          <w:rtl/>
        </w:rPr>
        <w:t>حواشيه</w:t>
      </w:r>
      <w:r w:rsidRPr="00591A13">
        <w:rPr>
          <w:rtl/>
        </w:rPr>
        <w:t xml:space="preserve"> </w:t>
      </w:r>
      <w:r w:rsidRPr="00591A13">
        <w:rPr>
          <w:rFonts w:hint="eastAsia"/>
          <w:rtl/>
        </w:rPr>
        <w:t>جمال</w:t>
      </w:r>
      <w:r w:rsidRPr="00591A13">
        <w:rPr>
          <w:rtl/>
        </w:rPr>
        <w:t xml:space="preserve"> </w:t>
      </w:r>
      <w:r w:rsidRPr="00591A13">
        <w:rPr>
          <w:rFonts w:hint="eastAsia"/>
          <w:rtl/>
        </w:rPr>
        <w:t>عثلي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عالم</w:t>
      </w:r>
      <w:r w:rsidRPr="00591A13">
        <w:rPr>
          <w:rtl/>
        </w:rPr>
        <w:t xml:space="preserve"> </w:t>
      </w:r>
      <w:r w:rsidRPr="00591A13">
        <w:rPr>
          <w:rFonts w:hint="eastAsia"/>
          <w:rtl/>
        </w:rPr>
        <w:t>الكتب،</w:t>
      </w:r>
      <w:r w:rsidRPr="00591A13">
        <w:rPr>
          <w:rtl/>
        </w:rPr>
        <w:t xml:space="preserve"> </w:t>
      </w:r>
      <w:r w:rsidRPr="00591A13">
        <w:rPr>
          <w:rFonts w:hint="eastAsia"/>
          <w:rtl/>
        </w:rPr>
        <w:t>الرياض،</w:t>
      </w:r>
      <w:r w:rsidRPr="00591A13">
        <w:rPr>
          <w:rtl/>
        </w:rPr>
        <w:t xml:space="preserve"> 2003</w:t>
      </w:r>
      <w:r w:rsidRPr="00591A13">
        <w:rPr>
          <w:rFonts w:hint="eastAsia"/>
          <w:rtl/>
        </w:rPr>
        <w:t>م</w:t>
      </w:r>
      <w:r w:rsidRPr="00591A13">
        <w:rPr>
          <w:rtl/>
        </w:rPr>
        <w:t>.</w:t>
      </w:r>
    </w:p>
    <w:p w:rsidR="005F44B2" w:rsidRPr="00591A13" w:rsidRDefault="005F44B2" w:rsidP="00E67732">
      <w:pPr>
        <w:pStyle w:val="Subtitle"/>
        <w:numPr>
          <w:ilvl w:val="0"/>
          <w:numId w:val="46"/>
        </w:numPr>
        <w:spacing w:line="259" w:lineRule="auto"/>
        <w:jc w:val="both"/>
      </w:pPr>
      <w:r w:rsidRPr="00591A13">
        <w:rPr>
          <w:rFonts w:hint="eastAsia"/>
          <w:rtl/>
        </w:rPr>
        <w:t>الفرفور،</w:t>
      </w:r>
      <w:r w:rsidRPr="00591A13">
        <w:rPr>
          <w:rtl/>
        </w:rPr>
        <w:t xml:space="preserve"> </w:t>
      </w:r>
      <w:r w:rsidRPr="00591A13">
        <w:rPr>
          <w:rFonts w:hint="eastAsia"/>
          <w:rtl/>
        </w:rPr>
        <w:t>الدكتور</w:t>
      </w:r>
      <w:r w:rsidRPr="00591A13">
        <w:rPr>
          <w:rtl/>
        </w:rPr>
        <w:t xml:space="preserve"> </w:t>
      </w:r>
      <w:r w:rsidRPr="00591A13">
        <w:rPr>
          <w:rFonts w:hint="eastAsia"/>
          <w:rtl/>
        </w:rPr>
        <w:t>محمد</w:t>
      </w:r>
      <w:r w:rsidRPr="00591A13">
        <w:rPr>
          <w:rtl/>
        </w:rPr>
        <w:t xml:space="preserve"> </w:t>
      </w:r>
      <w:r w:rsidRPr="00591A13">
        <w:rPr>
          <w:rFonts w:hint="eastAsia"/>
          <w:rtl/>
        </w:rPr>
        <w:t>عبد</w:t>
      </w:r>
      <w:r w:rsidRPr="00591A13">
        <w:rPr>
          <w:rtl/>
        </w:rPr>
        <w:t xml:space="preserve"> </w:t>
      </w:r>
      <w:r w:rsidRPr="00591A13">
        <w:rPr>
          <w:rFonts w:hint="eastAsia"/>
          <w:rtl/>
        </w:rPr>
        <w:t>اللطيف</w:t>
      </w:r>
      <w:r w:rsidRPr="00591A13">
        <w:rPr>
          <w:rtl/>
        </w:rPr>
        <w:t xml:space="preserve"> </w:t>
      </w:r>
      <w:r w:rsidRPr="00591A13">
        <w:rPr>
          <w:rFonts w:hint="eastAsia"/>
          <w:rtl/>
        </w:rPr>
        <w:t>صالح</w:t>
      </w:r>
      <w:r w:rsidRPr="00591A13">
        <w:rPr>
          <w:rtl/>
        </w:rPr>
        <w:t xml:space="preserve"> </w:t>
      </w:r>
      <w:r w:rsidRPr="00591A13">
        <w:rPr>
          <w:rFonts w:hint="eastAsia"/>
          <w:rtl/>
        </w:rPr>
        <w:t>الفرفور</w:t>
      </w:r>
      <w:r>
        <w:rPr>
          <w:rtl/>
        </w:rPr>
        <w:t xml:space="preserve"> (</w:t>
      </w:r>
      <w:r w:rsidRPr="00591A13">
        <w:rPr>
          <w:rtl/>
        </w:rPr>
        <w:t>2001</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ابن</w:t>
      </w:r>
      <w:r w:rsidRPr="00591A13">
        <w:rPr>
          <w:b/>
          <w:bCs/>
          <w:rtl/>
        </w:rPr>
        <w:t xml:space="preserve"> </w:t>
      </w:r>
      <w:r w:rsidRPr="00591A13">
        <w:rPr>
          <w:rFonts w:hint="eastAsia"/>
          <w:b/>
          <w:bCs/>
          <w:rtl/>
        </w:rPr>
        <w:t>عابدين</w:t>
      </w:r>
      <w:r w:rsidRPr="00591A13">
        <w:rPr>
          <w:b/>
          <w:bCs/>
          <w:rtl/>
        </w:rPr>
        <w:t xml:space="preserve"> </w:t>
      </w:r>
      <w:r w:rsidRPr="00591A13">
        <w:rPr>
          <w:rFonts w:hint="eastAsia"/>
          <w:b/>
          <w:bCs/>
          <w:rtl/>
        </w:rPr>
        <w:t>وأثره</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فقه</w:t>
      </w:r>
      <w:r w:rsidRPr="00591A13">
        <w:rPr>
          <w:b/>
          <w:bCs/>
          <w:rtl/>
        </w:rPr>
        <w:t xml:space="preserve"> </w:t>
      </w:r>
      <w:r w:rsidRPr="00591A13">
        <w:rPr>
          <w:rFonts w:hint="eastAsia"/>
          <w:b/>
          <w:bCs/>
          <w:rtl/>
        </w:rPr>
        <w:t>الإسلامي</w:t>
      </w:r>
      <w:r w:rsidRPr="00591A13">
        <w:rPr>
          <w:b/>
          <w:bCs/>
          <w:rtl/>
        </w:rPr>
        <w:t xml:space="preserve"> </w:t>
      </w:r>
      <w:r w:rsidRPr="00591A13">
        <w:rPr>
          <w:rFonts w:hint="eastAsia"/>
          <w:b/>
          <w:bCs/>
          <w:rtl/>
        </w:rPr>
        <w:t>دراسة</w:t>
      </w:r>
      <w:r w:rsidRPr="00591A13">
        <w:rPr>
          <w:b/>
          <w:bCs/>
          <w:rtl/>
        </w:rPr>
        <w:t xml:space="preserve"> </w:t>
      </w:r>
      <w:r w:rsidRPr="00591A13">
        <w:rPr>
          <w:rFonts w:hint="eastAsia"/>
          <w:b/>
          <w:bCs/>
          <w:rtl/>
        </w:rPr>
        <w:t>مقارنة</w:t>
      </w:r>
      <w:r w:rsidRPr="00591A13">
        <w:rPr>
          <w:b/>
          <w:bCs/>
          <w:rtl/>
        </w:rPr>
        <w:t xml:space="preserve"> </w:t>
      </w:r>
      <w:r w:rsidRPr="00591A13">
        <w:rPr>
          <w:rFonts w:hint="eastAsia"/>
          <w:b/>
          <w:bCs/>
          <w:rtl/>
        </w:rPr>
        <w:t>بالقانون</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2</w:t>
      </w:r>
      <w:r w:rsidRPr="00591A13">
        <w:rPr>
          <w:rFonts w:hint="eastAsia"/>
          <w:rtl/>
        </w:rPr>
        <w:t>م،</w:t>
      </w:r>
      <w:r w:rsidRPr="00591A13">
        <w:rPr>
          <w:rtl/>
        </w:rPr>
        <w:t xml:space="preserve"> </w:t>
      </w:r>
      <w:r w:rsidRPr="00591A13">
        <w:rPr>
          <w:rFonts w:hint="eastAsia"/>
          <w:rtl/>
        </w:rPr>
        <w:t>دمشق</w:t>
      </w:r>
      <w:r>
        <w:rPr>
          <w:rFonts w:hint="eastAsia"/>
          <w:rtl/>
        </w:rPr>
        <w:t>،</w:t>
      </w:r>
      <w:r w:rsidRPr="00591A13">
        <w:rPr>
          <w:rFonts w:hint="eastAsia"/>
          <w:rtl/>
        </w:rPr>
        <w:t>دار</w:t>
      </w:r>
      <w:r w:rsidRPr="00591A13">
        <w:rPr>
          <w:rtl/>
        </w:rPr>
        <w:t xml:space="preserve"> </w:t>
      </w:r>
      <w:r w:rsidRPr="00591A13">
        <w:rPr>
          <w:rFonts w:hint="eastAsia"/>
          <w:rtl/>
        </w:rPr>
        <w:t>البشائر</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الفيومي،</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الفيومي</w:t>
      </w:r>
      <w:r w:rsidRPr="00591A13">
        <w:rPr>
          <w:rtl/>
        </w:rPr>
        <w:t xml:space="preserve"> </w:t>
      </w:r>
      <w:r w:rsidRPr="00591A13">
        <w:rPr>
          <w:rFonts w:hint="eastAsia"/>
          <w:rtl/>
        </w:rPr>
        <w:t>ثم</w:t>
      </w:r>
      <w:r w:rsidRPr="00591A13">
        <w:rPr>
          <w:rtl/>
        </w:rPr>
        <w:t xml:space="preserve"> </w:t>
      </w:r>
      <w:r w:rsidRPr="00591A13">
        <w:rPr>
          <w:rFonts w:hint="eastAsia"/>
          <w:rtl/>
        </w:rPr>
        <w:t>الحموي</w:t>
      </w:r>
      <w:r w:rsidRPr="00591A13">
        <w:rPr>
          <w:rtl/>
        </w:rPr>
        <w:t xml:space="preserve"> (</w:t>
      </w:r>
      <w:r>
        <w:rPr>
          <w:rFonts w:hint="eastAsia"/>
          <w:rtl/>
        </w:rPr>
        <w:t>ت</w:t>
      </w:r>
      <w:r w:rsidRPr="00591A13">
        <w:rPr>
          <w:rtl/>
        </w:rPr>
        <w:t xml:space="preserve"> 770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المصباح</w:t>
      </w:r>
      <w:r w:rsidRPr="00591A13">
        <w:rPr>
          <w:b/>
          <w:bCs/>
          <w:rtl/>
        </w:rPr>
        <w:t xml:space="preserve"> </w:t>
      </w:r>
      <w:r w:rsidRPr="00591A13">
        <w:rPr>
          <w:rFonts w:hint="eastAsia"/>
          <w:b/>
          <w:bCs/>
          <w:rtl/>
        </w:rPr>
        <w:t>المنير</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غريب</w:t>
      </w:r>
      <w:r w:rsidRPr="00591A13">
        <w:rPr>
          <w:b/>
          <w:bCs/>
          <w:rtl/>
        </w:rPr>
        <w:t xml:space="preserve"> </w:t>
      </w:r>
      <w:r w:rsidRPr="00591A13">
        <w:rPr>
          <w:rFonts w:hint="eastAsia"/>
          <w:b/>
          <w:bCs/>
          <w:rtl/>
        </w:rPr>
        <w:t>الشرح</w:t>
      </w:r>
      <w:r w:rsidRPr="00591A13">
        <w:rPr>
          <w:b/>
          <w:bCs/>
          <w:rtl/>
        </w:rPr>
        <w:t xml:space="preserve"> </w:t>
      </w:r>
      <w:r w:rsidRPr="00591A13">
        <w:rPr>
          <w:rFonts w:hint="eastAsia"/>
          <w:b/>
          <w:bCs/>
          <w:rtl/>
        </w:rPr>
        <w:t>الكبير</w:t>
      </w:r>
      <w:r w:rsidRPr="00591A13">
        <w:rPr>
          <w:rFonts w:hint="eastAsia"/>
          <w:rtl/>
        </w:rPr>
        <w:t>،</w:t>
      </w:r>
      <w:r w:rsidRPr="00591A13">
        <w:rPr>
          <w:rtl/>
        </w:rPr>
        <w:t xml:space="preserve"> 2</w:t>
      </w:r>
      <w:r w:rsidRPr="00591A13">
        <w:rPr>
          <w:rFonts w:hint="eastAsia"/>
          <w:rtl/>
        </w:rPr>
        <w:t>م،</w:t>
      </w:r>
      <w:r w:rsidRPr="00591A13">
        <w:rPr>
          <w:rtl/>
        </w:rPr>
        <w:t xml:space="preserve"> </w:t>
      </w:r>
      <w:r w:rsidRPr="00591A13">
        <w:rPr>
          <w:rFonts w:hint="eastAsia"/>
          <w:rtl/>
        </w:rPr>
        <w:t>المكتبة</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w:t>
      </w:r>
    </w:p>
    <w:p w:rsidR="005F44B2" w:rsidRPr="00591A13" w:rsidRDefault="005F44B2" w:rsidP="00D1001A">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قدامة،</w:t>
      </w:r>
      <w:r w:rsidRPr="00591A13">
        <w:rPr>
          <w:rtl/>
        </w:rPr>
        <w:t xml:space="preserve"> </w:t>
      </w:r>
      <w:r w:rsidRPr="00591A13">
        <w:rPr>
          <w:rFonts w:hint="eastAsia"/>
          <w:rtl/>
        </w:rPr>
        <w:t>أبو</w:t>
      </w:r>
      <w:r w:rsidRPr="00591A13">
        <w:rPr>
          <w:rtl/>
        </w:rPr>
        <w:t xml:space="preserve"> </w:t>
      </w:r>
      <w:r w:rsidRPr="00591A13">
        <w:rPr>
          <w:rFonts w:hint="eastAsia"/>
          <w:rtl/>
        </w:rPr>
        <w:t>محمد</w:t>
      </w:r>
      <w:r w:rsidRPr="00591A13">
        <w:rPr>
          <w:rtl/>
        </w:rPr>
        <w:t xml:space="preserve"> </w:t>
      </w:r>
      <w:r w:rsidRPr="00591A13">
        <w:rPr>
          <w:rFonts w:hint="eastAsia"/>
          <w:rtl/>
        </w:rPr>
        <w:t>موفق</w:t>
      </w:r>
      <w:r w:rsidRPr="00591A13">
        <w:rPr>
          <w:rtl/>
        </w:rPr>
        <w:t xml:space="preserve"> </w:t>
      </w:r>
      <w:r w:rsidRPr="00591A13">
        <w:rPr>
          <w:rFonts w:hint="eastAsia"/>
          <w:rtl/>
        </w:rPr>
        <w:t>الدين</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قدامة</w:t>
      </w:r>
      <w:r w:rsidRPr="00591A13">
        <w:rPr>
          <w:rtl/>
        </w:rPr>
        <w:t xml:space="preserve"> </w:t>
      </w:r>
      <w:r w:rsidRPr="00591A13">
        <w:rPr>
          <w:rFonts w:hint="eastAsia"/>
          <w:rtl/>
        </w:rPr>
        <w:t>الجماعيلي</w:t>
      </w:r>
      <w:r w:rsidRPr="00591A13">
        <w:rPr>
          <w:rtl/>
        </w:rPr>
        <w:t xml:space="preserve"> </w:t>
      </w:r>
      <w:r w:rsidRPr="00591A13">
        <w:rPr>
          <w:rFonts w:hint="eastAsia"/>
          <w:rtl/>
        </w:rPr>
        <w:t>المقدسي</w:t>
      </w:r>
      <w:r w:rsidRPr="00591A13">
        <w:rPr>
          <w:rtl/>
        </w:rPr>
        <w:t xml:space="preserve"> </w:t>
      </w:r>
      <w:r w:rsidRPr="00591A13">
        <w:rPr>
          <w:rFonts w:hint="eastAsia"/>
          <w:rtl/>
        </w:rPr>
        <w:t>ثم</w:t>
      </w:r>
      <w:r w:rsidRPr="00591A13">
        <w:rPr>
          <w:rtl/>
        </w:rPr>
        <w:t xml:space="preserve"> </w:t>
      </w:r>
      <w:r w:rsidRPr="00591A13">
        <w:rPr>
          <w:rFonts w:hint="eastAsia"/>
          <w:rtl/>
        </w:rPr>
        <w:t>الدمشقي</w:t>
      </w:r>
      <w:r w:rsidRPr="00591A13">
        <w:rPr>
          <w:rtl/>
        </w:rPr>
        <w:t xml:space="preserve"> </w:t>
      </w:r>
      <w:r w:rsidRPr="00591A13">
        <w:rPr>
          <w:rFonts w:hint="eastAsia"/>
          <w:rtl/>
        </w:rPr>
        <w:t>الحنبلي،</w:t>
      </w:r>
      <w:r w:rsidRPr="00591A13">
        <w:rPr>
          <w:rtl/>
        </w:rPr>
        <w:t xml:space="preserve"> </w:t>
      </w:r>
      <w:r w:rsidRPr="00591A13">
        <w:rPr>
          <w:rFonts w:hint="eastAsia"/>
          <w:rtl/>
        </w:rPr>
        <w:t>الشهير</w:t>
      </w:r>
      <w:r w:rsidRPr="00591A13">
        <w:rPr>
          <w:rtl/>
        </w:rPr>
        <w:t xml:space="preserve"> </w:t>
      </w:r>
      <w:r w:rsidRPr="00591A13">
        <w:rPr>
          <w:rFonts w:hint="eastAsia"/>
          <w:rtl/>
        </w:rPr>
        <w:t>بابن</w:t>
      </w:r>
      <w:r w:rsidRPr="00591A13">
        <w:rPr>
          <w:rtl/>
        </w:rPr>
        <w:t xml:space="preserve"> </w:t>
      </w:r>
      <w:r w:rsidRPr="00591A13">
        <w:rPr>
          <w:rFonts w:hint="eastAsia"/>
          <w:rtl/>
        </w:rPr>
        <w:t>قدامة</w:t>
      </w:r>
      <w:r w:rsidRPr="00591A13">
        <w:rPr>
          <w:rtl/>
        </w:rPr>
        <w:t xml:space="preserve"> </w:t>
      </w:r>
      <w:r w:rsidRPr="00591A13">
        <w:rPr>
          <w:rFonts w:hint="eastAsia"/>
          <w:rtl/>
        </w:rPr>
        <w:t>المقدسي</w:t>
      </w:r>
      <w:r w:rsidRPr="00591A13">
        <w:rPr>
          <w:rtl/>
        </w:rPr>
        <w:t xml:space="preserve"> (</w:t>
      </w:r>
      <w:r w:rsidRPr="00591A13">
        <w:rPr>
          <w:rFonts w:hint="eastAsia"/>
          <w:rtl/>
        </w:rPr>
        <w:t>ت</w:t>
      </w:r>
      <w:r w:rsidRPr="00591A13">
        <w:rPr>
          <w:rtl/>
        </w:rPr>
        <w:t xml:space="preserve"> 620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روضة</w:t>
      </w:r>
      <w:r w:rsidRPr="00591A13">
        <w:rPr>
          <w:b/>
          <w:bCs/>
          <w:rtl/>
        </w:rPr>
        <w:t xml:space="preserve"> </w:t>
      </w:r>
      <w:r w:rsidRPr="00591A13">
        <w:rPr>
          <w:rFonts w:hint="eastAsia"/>
          <w:b/>
          <w:bCs/>
          <w:rtl/>
        </w:rPr>
        <w:t>الناظر</w:t>
      </w:r>
      <w:r w:rsidRPr="00591A13">
        <w:rPr>
          <w:b/>
          <w:bCs/>
          <w:rtl/>
        </w:rPr>
        <w:t xml:space="preserve"> </w:t>
      </w:r>
      <w:r w:rsidRPr="00591A13">
        <w:rPr>
          <w:rFonts w:hint="eastAsia"/>
          <w:b/>
          <w:bCs/>
          <w:rtl/>
        </w:rPr>
        <w:t>وجنة</w:t>
      </w:r>
      <w:r w:rsidRPr="00591A13">
        <w:rPr>
          <w:b/>
          <w:bCs/>
          <w:rtl/>
        </w:rPr>
        <w:t xml:space="preserve"> </w:t>
      </w:r>
      <w:r w:rsidRPr="00591A13">
        <w:rPr>
          <w:rFonts w:hint="eastAsia"/>
          <w:b/>
          <w:bCs/>
          <w:rtl/>
        </w:rPr>
        <w:t>المناظر</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أصول</w:t>
      </w:r>
      <w:r w:rsidRPr="00591A13">
        <w:rPr>
          <w:b/>
          <w:bCs/>
          <w:rtl/>
        </w:rPr>
        <w:t xml:space="preserve"> </w:t>
      </w:r>
      <w:r w:rsidRPr="00591A13">
        <w:rPr>
          <w:rFonts w:hint="eastAsia"/>
          <w:b/>
          <w:bCs/>
          <w:rtl/>
        </w:rPr>
        <w:t>الفقه</w:t>
      </w:r>
      <w:r w:rsidRPr="00591A13">
        <w:rPr>
          <w:b/>
          <w:bCs/>
          <w:rtl/>
        </w:rPr>
        <w:t xml:space="preserve"> </w:t>
      </w:r>
      <w:r w:rsidRPr="00591A13">
        <w:rPr>
          <w:rFonts w:hint="eastAsia"/>
          <w:b/>
          <w:bCs/>
          <w:rtl/>
        </w:rPr>
        <w:t>على</w:t>
      </w:r>
      <w:r w:rsidRPr="00591A13">
        <w:rPr>
          <w:b/>
          <w:bCs/>
          <w:rtl/>
        </w:rPr>
        <w:t xml:space="preserve"> </w:t>
      </w:r>
      <w:r w:rsidRPr="00591A13">
        <w:rPr>
          <w:rFonts w:hint="eastAsia"/>
          <w:b/>
          <w:bCs/>
          <w:rtl/>
        </w:rPr>
        <w:t>مذهب</w:t>
      </w:r>
      <w:r w:rsidRPr="00591A13">
        <w:rPr>
          <w:b/>
          <w:bCs/>
          <w:rtl/>
        </w:rPr>
        <w:t xml:space="preserve"> </w:t>
      </w:r>
      <w:r w:rsidRPr="00591A13">
        <w:rPr>
          <w:rFonts w:hint="eastAsia"/>
          <w:b/>
          <w:bCs/>
          <w:rtl/>
        </w:rPr>
        <w:t>الإمام</w:t>
      </w:r>
      <w:r w:rsidRPr="00591A13">
        <w:rPr>
          <w:b/>
          <w:bCs/>
          <w:rtl/>
        </w:rPr>
        <w:t xml:space="preserve"> </w:t>
      </w:r>
      <w:r w:rsidRPr="00591A13">
        <w:rPr>
          <w:rFonts w:hint="eastAsia"/>
          <w:b/>
          <w:bCs/>
          <w:rtl/>
        </w:rPr>
        <w:t>أحمد</w:t>
      </w:r>
      <w:r w:rsidRPr="00591A13">
        <w:rPr>
          <w:b/>
          <w:bCs/>
          <w:rtl/>
        </w:rPr>
        <w:t xml:space="preserve"> </w:t>
      </w:r>
      <w:r w:rsidRPr="00591A13">
        <w:rPr>
          <w:rFonts w:hint="eastAsia"/>
          <w:b/>
          <w:bCs/>
          <w:rtl/>
        </w:rPr>
        <w:t>بن</w:t>
      </w:r>
      <w:r w:rsidRPr="00591A13">
        <w:rPr>
          <w:b/>
          <w:bCs/>
          <w:rtl/>
        </w:rPr>
        <w:t xml:space="preserve"> </w:t>
      </w:r>
      <w:r w:rsidRPr="00591A13">
        <w:rPr>
          <w:rFonts w:hint="eastAsia"/>
          <w:b/>
          <w:bCs/>
          <w:rtl/>
        </w:rPr>
        <w:t>حنبل</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3</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النملة</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مكتبة</w:t>
      </w:r>
      <w:r w:rsidRPr="00591A13">
        <w:rPr>
          <w:rtl/>
        </w:rPr>
        <w:t xml:space="preserve"> </w:t>
      </w:r>
      <w:r w:rsidRPr="00591A13">
        <w:rPr>
          <w:rFonts w:hint="eastAsia"/>
          <w:rtl/>
        </w:rPr>
        <w:t>الرشد،</w:t>
      </w:r>
      <w:r w:rsidRPr="00591A13">
        <w:rPr>
          <w:rtl/>
        </w:rPr>
        <w:t xml:space="preserve"> </w:t>
      </w:r>
      <w:r w:rsidRPr="00591A13">
        <w:rPr>
          <w:rFonts w:hint="eastAsia"/>
          <w:rtl/>
        </w:rPr>
        <w:t>الرياض،</w:t>
      </w:r>
      <w:r w:rsidRPr="00591A13">
        <w:rPr>
          <w:rtl/>
        </w:rPr>
        <w:t xml:space="preserve"> 1993</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قدامة،</w:t>
      </w:r>
      <w:r w:rsidRPr="00591A13">
        <w:rPr>
          <w:rtl/>
        </w:rPr>
        <w:t xml:space="preserve"> </w:t>
      </w:r>
      <w:r w:rsidRPr="00591A13">
        <w:rPr>
          <w:rFonts w:hint="eastAsia"/>
          <w:b/>
          <w:bCs/>
          <w:rtl/>
        </w:rPr>
        <w:t>المغني</w:t>
      </w:r>
      <w:r w:rsidRPr="00591A13">
        <w:rPr>
          <w:b/>
          <w:bCs/>
          <w:rtl/>
        </w:rPr>
        <w:t xml:space="preserve"> </w:t>
      </w:r>
      <w:r w:rsidRPr="00591A13">
        <w:rPr>
          <w:rFonts w:hint="eastAsia"/>
          <w:b/>
          <w:bCs/>
          <w:rtl/>
        </w:rPr>
        <w:t>لابن</w:t>
      </w:r>
      <w:r w:rsidRPr="00591A13">
        <w:rPr>
          <w:b/>
          <w:bCs/>
          <w:rtl/>
        </w:rPr>
        <w:t xml:space="preserve"> </w:t>
      </w:r>
      <w:r w:rsidRPr="00591A13">
        <w:rPr>
          <w:rFonts w:hint="eastAsia"/>
          <w:b/>
          <w:bCs/>
          <w:rtl/>
        </w:rPr>
        <w:t>قدامة</w:t>
      </w:r>
      <w:r>
        <w:rPr>
          <w:rFonts w:hint="eastAsia"/>
          <w:rtl/>
        </w:rPr>
        <w:t>،</w:t>
      </w:r>
      <w:r w:rsidRPr="00591A13">
        <w:rPr>
          <w:rtl/>
        </w:rPr>
        <w:t xml:space="preserve"> 10</w:t>
      </w:r>
      <w:r w:rsidRPr="00591A13">
        <w:rPr>
          <w:rFonts w:hint="eastAsia"/>
          <w:rtl/>
        </w:rPr>
        <w:t>م،</w:t>
      </w:r>
      <w:r w:rsidRPr="00591A13">
        <w:rPr>
          <w:rtl/>
        </w:rPr>
        <w:t xml:space="preserve"> </w:t>
      </w:r>
      <w:r w:rsidRPr="00591A13">
        <w:rPr>
          <w:rFonts w:hint="eastAsia"/>
          <w:rtl/>
        </w:rPr>
        <w:t>مكتبة</w:t>
      </w:r>
      <w:r w:rsidRPr="00591A13">
        <w:rPr>
          <w:rtl/>
        </w:rPr>
        <w:t xml:space="preserve"> </w:t>
      </w:r>
      <w:r w:rsidRPr="00591A13">
        <w:rPr>
          <w:rFonts w:hint="eastAsia"/>
          <w:rtl/>
        </w:rPr>
        <w:t>القاهرة،</w:t>
      </w:r>
      <w:r w:rsidRPr="00591A13">
        <w:rPr>
          <w:rtl/>
        </w:rPr>
        <w:t xml:space="preserve"> 1968</w:t>
      </w:r>
      <w:r w:rsidRPr="00591A13">
        <w:rPr>
          <w:rFonts w:hint="eastAsia"/>
          <w:rtl/>
        </w:rPr>
        <w:t>م</w:t>
      </w:r>
      <w:r w:rsidRPr="00591A13">
        <w:rPr>
          <w:rtl/>
        </w:rPr>
        <w:t>.</w:t>
      </w:r>
    </w:p>
    <w:p w:rsidR="005F44B2" w:rsidRPr="00591A13" w:rsidRDefault="005F44B2" w:rsidP="00B44448">
      <w:pPr>
        <w:pStyle w:val="Subtitle"/>
        <w:numPr>
          <w:ilvl w:val="0"/>
          <w:numId w:val="46"/>
        </w:numPr>
        <w:spacing w:line="259" w:lineRule="auto"/>
        <w:jc w:val="both"/>
      </w:pPr>
      <w:r w:rsidRPr="00591A13">
        <w:rPr>
          <w:rFonts w:hint="eastAsia"/>
          <w:rtl/>
        </w:rPr>
        <w:t>القرافي،</w:t>
      </w:r>
      <w:r w:rsidRPr="00591A13">
        <w:rPr>
          <w:rtl/>
        </w:rPr>
        <w:t xml:space="preserve"> </w:t>
      </w:r>
      <w:r w:rsidRPr="00591A13">
        <w:rPr>
          <w:rFonts w:hint="eastAsia"/>
          <w:rtl/>
        </w:rPr>
        <w:t>أبو</w:t>
      </w:r>
      <w:r w:rsidRPr="00591A13">
        <w:rPr>
          <w:rtl/>
        </w:rPr>
        <w:t xml:space="preserve"> </w:t>
      </w:r>
      <w:r w:rsidRPr="00591A13">
        <w:rPr>
          <w:rFonts w:hint="eastAsia"/>
          <w:rtl/>
        </w:rPr>
        <w:t>العباس</w:t>
      </w:r>
      <w:r w:rsidRPr="00591A13">
        <w:rPr>
          <w:rtl/>
        </w:rPr>
        <w:t xml:space="preserve"> </w:t>
      </w:r>
      <w:r w:rsidRPr="00591A13">
        <w:rPr>
          <w:rFonts w:hint="eastAsia"/>
          <w:rtl/>
        </w:rPr>
        <w:t>شهاب</w:t>
      </w:r>
      <w:r w:rsidRPr="00591A13">
        <w:rPr>
          <w:rtl/>
        </w:rPr>
        <w:t xml:space="preserve"> </w:t>
      </w:r>
      <w:r w:rsidRPr="00591A13">
        <w:rPr>
          <w:rFonts w:hint="eastAsia"/>
          <w:rtl/>
        </w:rPr>
        <w:t>الدين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إدريس</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المالكي</w:t>
      </w:r>
      <w:r w:rsidRPr="00591A13">
        <w:rPr>
          <w:rtl/>
        </w:rPr>
        <w:t xml:space="preserve"> </w:t>
      </w:r>
      <w:r w:rsidRPr="00591A13">
        <w:rPr>
          <w:rFonts w:hint="eastAsia"/>
          <w:rtl/>
        </w:rPr>
        <w:t>الشهير</w:t>
      </w:r>
      <w:r w:rsidRPr="00591A13">
        <w:rPr>
          <w:rtl/>
        </w:rPr>
        <w:t xml:space="preserve"> </w:t>
      </w:r>
      <w:r w:rsidRPr="00591A13">
        <w:rPr>
          <w:rFonts w:hint="eastAsia"/>
          <w:rtl/>
        </w:rPr>
        <w:t>بالقرافي</w:t>
      </w:r>
      <w:r w:rsidRPr="00591A13">
        <w:rPr>
          <w:rtl/>
        </w:rPr>
        <w:t xml:space="preserve"> (</w:t>
      </w:r>
      <w:r>
        <w:rPr>
          <w:rFonts w:hint="eastAsia"/>
          <w:rtl/>
        </w:rPr>
        <w:t>ت</w:t>
      </w:r>
      <w:r w:rsidRPr="00591A13">
        <w:rPr>
          <w:rtl/>
        </w:rPr>
        <w:t xml:space="preserve"> 684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الفروق</w:t>
      </w:r>
      <w:r w:rsidRPr="00591A13">
        <w:rPr>
          <w:b/>
          <w:bCs/>
          <w:rtl/>
        </w:rPr>
        <w:t xml:space="preserve"> = </w:t>
      </w:r>
      <w:r w:rsidRPr="00591A13">
        <w:rPr>
          <w:rFonts w:hint="eastAsia"/>
          <w:b/>
          <w:bCs/>
          <w:rtl/>
        </w:rPr>
        <w:t>أنوار</w:t>
      </w:r>
      <w:r w:rsidRPr="00591A13">
        <w:rPr>
          <w:b/>
          <w:bCs/>
          <w:rtl/>
        </w:rPr>
        <w:t xml:space="preserve"> </w:t>
      </w:r>
      <w:r w:rsidRPr="00591A13">
        <w:rPr>
          <w:rFonts w:hint="eastAsia"/>
          <w:b/>
          <w:bCs/>
          <w:rtl/>
        </w:rPr>
        <w:t>البروق</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أنواء</w:t>
      </w:r>
      <w:r w:rsidRPr="00591A13">
        <w:rPr>
          <w:b/>
          <w:bCs/>
          <w:rtl/>
        </w:rPr>
        <w:t xml:space="preserve"> </w:t>
      </w:r>
      <w:r w:rsidRPr="00591A13">
        <w:rPr>
          <w:rFonts w:hint="eastAsia"/>
          <w:b/>
          <w:bCs/>
          <w:rtl/>
        </w:rPr>
        <w:t>الفروق</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ضبطه</w:t>
      </w:r>
      <w:r w:rsidRPr="00591A13">
        <w:rPr>
          <w:rtl/>
        </w:rPr>
        <w:t xml:space="preserve"> </w:t>
      </w:r>
      <w:r w:rsidRPr="00591A13">
        <w:rPr>
          <w:rFonts w:hint="eastAsia"/>
          <w:rtl/>
        </w:rPr>
        <w:t>وصححه</w:t>
      </w:r>
      <w:r w:rsidRPr="00591A13">
        <w:rPr>
          <w:rtl/>
        </w:rPr>
        <w:t xml:space="preserve"> </w:t>
      </w:r>
      <w:r w:rsidRPr="00591A13">
        <w:rPr>
          <w:rFonts w:hint="eastAsia"/>
          <w:rtl/>
        </w:rPr>
        <w:t>خليل</w:t>
      </w:r>
      <w:r w:rsidRPr="00591A13">
        <w:rPr>
          <w:rtl/>
        </w:rPr>
        <w:t xml:space="preserve"> </w:t>
      </w:r>
      <w:r w:rsidRPr="00591A13">
        <w:rPr>
          <w:rFonts w:hint="eastAsia"/>
          <w:rtl/>
        </w:rPr>
        <w:t>المنصور</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1998</w:t>
      </w:r>
      <w:r w:rsidRPr="00591A13">
        <w:rPr>
          <w:rFonts w:hint="eastAsia"/>
          <w:rtl/>
        </w:rPr>
        <w:t>م</w:t>
      </w:r>
      <w:r w:rsidRPr="00591A13">
        <w:rPr>
          <w:rtl/>
        </w:rPr>
        <w:t>.</w:t>
      </w:r>
    </w:p>
    <w:p w:rsidR="005F44B2" w:rsidRPr="00591A13" w:rsidRDefault="005F44B2" w:rsidP="00861F59">
      <w:pPr>
        <w:pStyle w:val="Subtitle"/>
        <w:numPr>
          <w:ilvl w:val="0"/>
          <w:numId w:val="46"/>
        </w:numPr>
        <w:spacing w:line="259" w:lineRule="auto"/>
        <w:jc w:val="both"/>
      </w:pPr>
      <w:r w:rsidRPr="00591A13">
        <w:rPr>
          <w:rFonts w:hint="eastAsia"/>
          <w:rtl/>
        </w:rPr>
        <w:t>القرافي،</w:t>
      </w:r>
      <w:r w:rsidRPr="00591A13">
        <w:rPr>
          <w:rtl/>
        </w:rPr>
        <w:t xml:space="preserve"> </w:t>
      </w:r>
      <w:r w:rsidRPr="00591A13">
        <w:rPr>
          <w:rFonts w:hint="eastAsia"/>
          <w:rtl/>
        </w:rPr>
        <w:t>أبو</w:t>
      </w:r>
      <w:r w:rsidRPr="00591A13">
        <w:rPr>
          <w:rtl/>
        </w:rPr>
        <w:t xml:space="preserve"> </w:t>
      </w:r>
      <w:r w:rsidRPr="00591A13">
        <w:rPr>
          <w:rFonts w:hint="eastAsia"/>
          <w:rtl/>
        </w:rPr>
        <w:t>العباس</w:t>
      </w:r>
      <w:r w:rsidRPr="00591A13">
        <w:rPr>
          <w:rtl/>
        </w:rPr>
        <w:t xml:space="preserve"> </w:t>
      </w:r>
      <w:r w:rsidRPr="00591A13">
        <w:rPr>
          <w:rFonts w:hint="eastAsia"/>
          <w:rtl/>
        </w:rPr>
        <w:t>شهاب</w:t>
      </w:r>
      <w:r w:rsidRPr="00591A13">
        <w:rPr>
          <w:rtl/>
        </w:rPr>
        <w:t xml:space="preserve"> </w:t>
      </w:r>
      <w:r w:rsidRPr="00591A13">
        <w:rPr>
          <w:rFonts w:hint="eastAsia"/>
          <w:rtl/>
        </w:rPr>
        <w:t>الدين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إدريس</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المالكي</w:t>
      </w:r>
      <w:r w:rsidRPr="00591A13">
        <w:rPr>
          <w:rtl/>
        </w:rPr>
        <w:t xml:space="preserve"> </w:t>
      </w:r>
      <w:r w:rsidRPr="00591A13">
        <w:rPr>
          <w:rFonts w:hint="eastAsia"/>
          <w:rtl/>
        </w:rPr>
        <w:t>الشهير</w:t>
      </w:r>
      <w:r w:rsidRPr="00591A13">
        <w:rPr>
          <w:rtl/>
        </w:rPr>
        <w:t xml:space="preserve"> </w:t>
      </w:r>
      <w:r w:rsidRPr="00591A13">
        <w:rPr>
          <w:rFonts w:hint="eastAsia"/>
          <w:rtl/>
        </w:rPr>
        <w:t>بالقرافي</w:t>
      </w:r>
      <w:r w:rsidRPr="00591A13">
        <w:rPr>
          <w:rtl/>
        </w:rPr>
        <w:t xml:space="preserve"> (</w:t>
      </w:r>
      <w:r w:rsidRPr="00591A13">
        <w:rPr>
          <w:rFonts w:hint="eastAsia"/>
          <w:rtl/>
        </w:rPr>
        <w:t>ت</w:t>
      </w:r>
      <w:r w:rsidRPr="00591A13">
        <w:rPr>
          <w:rtl/>
        </w:rPr>
        <w:t xml:space="preserve"> 684</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الذخيرة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14</w:t>
      </w:r>
      <w:r w:rsidRPr="00591A13">
        <w:rPr>
          <w:rFonts w:hint="eastAsia"/>
          <w:rtl/>
        </w:rPr>
        <w:t>م،</w:t>
      </w:r>
      <w:r w:rsidRPr="00591A13">
        <w:rPr>
          <w:rtl/>
        </w:rPr>
        <w:t xml:space="preserve"> ( </w:t>
      </w:r>
      <w:r w:rsidRPr="00591A13">
        <w:rPr>
          <w:rFonts w:hint="eastAsia"/>
          <w:rtl/>
        </w:rPr>
        <w:t>تحقيق</w:t>
      </w:r>
      <w:r w:rsidRPr="00591A13">
        <w:rPr>
          <w:rtl/>
        </w:rPr>
        <w:t xml:space="preserve">: </w:t>
      </w:r>
      <w:r w:rsidRPr="00591A13">
        <w:rPr>
          <w:rFonts w:hint="eastAsia"/>
          <w:rtl/>
        </w:rPr>
        <w:t>محمد</w:t>
      </w:r>
      <w:r w:rsidRPr="00591A13">
        <w:rPr>
          <w:rtl/>
        </w:rPr>
        <w:t xml:space="preserve"> </w:t>
      </w:r>
      <w:r w:rsidRPr="00591A13">
        <w:rPr>
          <w:rFonts w:hint="eastAsia"/>
          <w:rtl/>
        </w:rPr>
        <w:t>حجي،</w:t>
      </w:r>
      <w:r w:rsidRPr="00591A13">
        <w:rPr>
          <w:rtl/>
        </w:rPr>
        <w:t xml:space="preserve"> </w:t>
      </w:r>
      <w:r w:rsidRPr="00591A13">
        <w:rPr>
          <w:rFonts w:hint="eastAsia"/>
          <w:rtl/>
        </w:rPr>
        <w:t>و</w:t>
      </w:r>
      <w:r w:rsidRPr="00591A13">
        <w:rPr>
          <w:rtl/>
        </w:rPr>
        <w:t xml:space="preserve"> </w:t>
      </w:r>
      <w:r w:rsidRPr="00591A13">
        <w:rPr>
          <w:rFonts w:hint="eastAsia"/>
          <w:rtl/>
        </w:rPr>
        <w:t>سعيد</w:t>
      </w:r>
      <w:r w:rsidRPr="00591A13">
        <w:rPr>
          <w:rtl/>
        </w:rPr>
        <w:t xml:space="preserve"> </w:t>
      </w:r>
      <w:r w:rsidRPr="00591A13">
        <w:rPr>
          <w:rFonts w:hint="eastAsia"/>
          <w:rtl/>
        </w:rPr>
        <w:t>أعراب،</w:t>
      </w:r>
      <w:r w:rsidRPr="00591A13">
        <w:rPr>
          <w:rtl/>
        </w:rPr>
        <w:t xml:space="preserve"> </w:t>
      </w:r>
      <w:r w:rsidRPr="00591A13">
        <w:rPr>
          <w:rFonts w:hint="eastAsia"/>
          <w:rtl/>
        </w:rPr>
        <w:t>و</w:t>
      </w:r>
      <w:r w:rsidRPr="00591A13">
        <w:rPr>
          <w:rtl/>
        </w:rPr>
        <w:t xml:space="preserve"> </w:t>
      </w:r>
      <w:r w:rsidRPr="00591A13">
        <w:rPr>
          <w:rFonts w:hint="eastAsia"/>
          <w:rtl/>
        </w:rPr>
        <w:t>محمد</w:t>
      </w:r>
      <w:r w:rsidRPr="00591A13">
        <w:rPr>
          <w:rtl/>
        </w:rPr>
        <w:t xml:space="preserve"> </w:t>
      </w:r>
      <w:r>
        <w:rPr>
          <w:rFonts w:hint="eastAsia"/>
          <w:rtl/>
        </w:rPr>
        <w:t>أ</w:t>
      </w:r>
      <w:r w:rsidRPr="00591A13">
        <w:rPr>
          <w:rFonts w:hint="eastAsia"/>
          <w:rtl/>
        </w:rPr>
        <w:t>بو</w:t>
      </w:r>
      <w:r w:rsidRPr="00591A13">
        <w:rPr>
          <w:rtl/>
        </w:rPr>
        <w:t xml:space="preserve"> </w:t>
      </w:r>
      <w:r w:rsidRPr="00591A13">
        <w:rPr>
          <w:rFonts w:hint="eastAsia"/>
          <w:rtl/>
        </w:rPr>
        <w:t>خبزة</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الغرب</w:t>
      </w:r>
      <w:r w:rsidRPr="00591A13">
        <w:rPr>
          <w:rtl/>
        </w:rPr>
        <w:t xml:space="preserve"> </w:t>
      </w:r>
      <w:r w:rsidRPr="00591A13">
        <w:rPr>
          <w:rFonts w:hint="eastAsia"/>
          <w:rtl/>
        </w:rPr>
        <w:t>الإسلامي،</w:t>
      </w:r>
      <w:r w:rsidRPr="00591A13">
        <w:rPr>
          <w:rtl/>
        </w:rPr>
        <w:t xml:space="preserve"> </w:t>
      </w:r>
      <w:r w:rsidRPr="00591A13">
        <w:rPr>
          <w:rFonts w:hint="eastAsia"/>
          <w:rtl/>
        </w:rPr>
        <w:t>بيروت،</w:t>
      </w:r>
      <w:r w:rsidRPr="00591A13">
        <w:rPr>
          <w:rtl/>
        </w:rPr>
        <w:t xml:space="preserve"> 1994</w:t>
      </w:r>
      <w:r w:rsidRPr="00591A13">
        <w:rPr>
          <w:rFonts w:hint="eastAsia"/>
          <w:rtl/>
        </w:rPr>
        <w:t>م</w:t>
      </w:r>
      <w:r w:rsidRPr="00591A13">
        <w:rPr>
          <w:rtl/>
        </w:rPr>
        <w:t>.</w:t>
      </w:r>
    </w:p>
    <w:p w:rsidR="005F44B2" w:rsidRPr="00591A13" w:rsidRDefault="005F44B2" w:rsidP="00861F59">
      <w:pPr>
        <w:pStyle w:val="Subtitle"/>
        <w:numPr>
          <w:ilvl w:val="0"/>
          <w:numId w:val="46"/>
        </w:numPr>
        <w:spacing w:line="259" w:lineRule="auto"/>
        <w:jc w:val="both"/>
      </w:pPr>
      <w:r w:rsidRPr="00591A13">
        <w:rPr>
          <w:rFonts w:hint="eastAsia"/>
          <w:rtl/>
        </w:rPr>
        <w:t>القرطبي،</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بكر</w:t>
      </w:r>
      <w:r w:rsidRPr="00591A13">
        <w:rPr>
          <w:rtl/>
        </w:rPr>
        <w:t xml:space="preserve"> </w:t>
      </w:r>
      <w:r w:rsidRPr="00591A13">
        <w:rPr>
          <w:rFonts w:hint="eastAsia"/>
          <w:rtl/>
        </w:rPr>
        <w:t>بن</w:t>
      </w:r>
      <w:r w:rsidRPr="00591A13">
        <w:rPr>
          <w:rtl/>
        </w:rPr>
        <w:t xml:space="preserve"> </w:t>
      </w:r>
      <w:r w:rsidRPr="00591A13">
        <w:rPr>
          <w:rFonts w:hint="eastAsia"/>
          <w:rtl/>
        </w:rPr>
        <w:t>فرح</w:t>
      </w:r>
      <w:r w:rsidRPr="00591A13">
        <w:rPr>
          <w:rtl/>
        </w:rPr>
        <w:t xml:space="preserve"> </w:t>
      </w:r>
      <w:r w:rsidRPr="00591A13">
        <w:rPr>
          <w:rFonts w:hint="eastAsia"/>
          <w:rtl/>
        </w:rPr>
        <w:t>الأنصاري</w:t>
      </w:r>
      <w:r w:rsidRPr="00591A13">
        <w:rPr>
          <w:rtl/>
        </w:rPr>
        <w:t xml:space="preserve"> </w:t>
      </w:r>
      <w:r w:rsidRPr="00591A13">
        <w:rPr>
          <w:rFonts w:hint="eastAsia"/>
          <w:rtl/>
        </w:rPr>
        <w:t>الخزرجي</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القرطبي</w:t>
      </w:r>
      <w:r w:rsidRPr="00591A13">
        <w:rPr>
          <w:rtl/>
        </w:rPr>
        <w:t xml:space="preserve"> (</w:t>
      </w:r>
      <w:r w:rsidRPr="00591A13">
        <w:rPr>
          <w:rFonts w:hint="eastAsia"/>
          <w:rtl/>
        </w:rPr>
        <w:t>ت</w:t>
      </w:r>
      <w:r w:rsidRPr="00591A13">
        <w:rPr>
          <w:rtl/>
        </w:rPr>
        <w:t xml:space="preserve"> 671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الجامع</w:t>
      </w:r>
      <w:r w:rsidRPr="00591A13">
        <w:rPr>
          <w:b/>
          <w:bCs/>
          <w:rtl/>
        </w:rPr>
        <w:t xml:space="preserve"> </w:t>
      </w:r>
      <w:r w:rsidRPr="00591A13">
        <w:rPr>
          <w:rFonts w:hint="eastAsia"/>
          <w:b/>
          <w:bCs/>
          <w:rtl/>
        </w:rPr>
        <w:t>لأحكام</w:t>
      </w:r>
      <w:r w:rsidRPr="00591A13">
        <w:rPr>
          <w:b/>
          <w:bCs/>
          <w:rtl/>
        </w:rPr>
        <w:t xml:space="preserve"> </w:t>
      </w:r>
      <w:r w:rsidRPr="00591A13">
        <w:rPr>
          <w:rFonts w:hint="eastAsia"/>
          <w:b/>
          <w:bCs/>
          <w:rtl/>
        </w:rPr>
        <w:t>القرآن</w:t>
      </w:r>
      <w:r w:rsidRPr="00591A13">
        <w:rPr>
          <w:b/>
          <w:bCs/>
          <w:rtl/>
        </w:rPr>
        <w:t xml:space="preserve"> (</w:t>
      </w:r>
      <w:r w:rsidRPr="00591A13">
        <w:rPr>
          <w:rFonts w:hint="eastAsia"/>
          <w:b/>
          <w:bCs/>
          <w:rtl/>
        </w:rPr>
        <w:t>تفسير</w:t>
      </w:r>
      <w:r w:rsidRPr="00591A13">
        <w:rPr>
          <w:b/>
          <w:bCs/>
          <w:rtl/>
        </w:rPr>
        <w:t xml:space="preserve"> </w:t>
      </w:r>
      <w:r w:rsidRPr="00591A13">
        <w:rPr>
          <w:rFonts w:hint="eastAsia"/>
          <w:b/>
          <w:bCs/>
          <w:rtl/>
        </w:rPr>
        <w:t>القرطبي</w:t>
      </w:r>
      <w:r w:rsidRPr="00591A13">
        <w:rPr>
          <w:b/>
          <w:bCs/>
          <w:rtl/>
        </w:rPr>
        <w:t>)</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20</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أحمد</w:t>
      </w:r>
      <w:r w:rsidRPr="00591A13">
        <w:rPr>
          <w:rtl/>
        </w:rPr>
        <w:t xml:space="preserve"> </w:t>
      </w:r>
      <w:r w:rsidRPr="00591A13">
        <w:rPr>
          <w:rFonts w:hint="eastAsia"/>
          <w:rtl/>
        </w:rPr>
        <w:t>البردوني</w:t>
      </w:r>
      <w:r w:rsidRPr="00591A13">
        <w:rPr>
          <w:rtl/>
        </w:rPr>
        <w:t xml:space="preserve"> </w:t>
      </w:r>
      <w:r w:rsidRPr="00591A13">
        <w:rPr>
          <w:rFonts w:hint="eastAsia"/>
          <w:rtl/>
        </w:rPr>
        <w:t>وإبراهيم</w:t>
      </w:r>
      <w:r w:rsidRPr="00591A13">
        <w:rPr>
          <w:rtl/>
        </w:rPr>
        <w:t xml:space="preserve"> </w:t>
      </w:r>
      <w:r w:rsidRPr="00591A13">
        <w:rPr>
          <w:rFonts w:hint="eastAsia"/>
          <w:rtl/>
        </w:rPr>
        <w:t>أطفيش</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المصرية،</w:t>
      </w:r>
      <w:r w:rsidRPr="00591A13">
        <w:rPr>
          <w:rtl/>
        </w:rPr>
        <w:t xml:space="preserve"> </w:t>
      </w:r>
      <w:r w:rsidRPr="00591A13">
        <w:rPr>
          <w:rFonts w:hint="eastAsia"/>
          <w:rtl/>
        </w:rPr>
        <w:t>القاهرة،</w:t>
      </w:r>
      <w:r w:rsidRPr="00591A13">
        <w:rPr>
          <w:rtl/>
        </w:rPr>
        <w:t xml:space="preserve"> 1964</w:t>
      </w:r>
      <w:r w:rsidRPr="00591A13">
        <w:rPr>
          <w:rFonts w:hint="eastAsia"/>
          <w:rtl/>
        </w:rPr>
        <w:t>م</w:t>
      </w:r>
      <w:r w:rsidRPr="00591A13">
        <w:rPr>
          <w:rtl/>
        </w:rPr>
        <w:t>.</w:t>
      </w:r>
    </w:p>
    <w:p w:rsidR="005F44B2" w:rsidRPr="00591A13" w:rsidRDefault="005F44B2" w:rsidP="00861F59">
      <w:pPr>
        <w:pStyle w:val="Subtitle"/>
        <w:numPr>
          <w:ilvl w:val="0"/>
          <w:numId w:val="46"/>
        </w:numPr>
        <w:spacing w:line="259" w:lineRule="auto"/>
        <w:jc w:val="both"/>
      </w:pPr>
      <w:r w:rsidRPr="00591A13">
        <w:rPr>
          <w:rFonts w:hint="eastAsia"/>
          <w:rtl/>
        </w:rPr>
        <w:t>القليوبي،</w:t>
      </w:r>
      <w:r w:rsidRPr="00591A13">
        <w:rPr>
          <w:rtl/>
        </w:rPr>
        <w:t xml:space="preserve"> </w:t>
      </w:r>
      <w:r w:rsidRPr="00591A13">
        <w:rPr>
          <w:rFonts w:hint="eastAsia"/>
          <w:rtl/>
        </w:rPr>
        <w:t>أحمد</w:t>
      </w:r>
      <w:r w:rsidRPr="00591A13">
        <w:rPr>
          <w:rtl/>
        </w:rPr>
        <w:t xml:space="preserve"> </w:t>
      </w:r>
      <w:r w:rsidRPr="00591A13">
        <w:rPr>
          <w:rFonts w:hint="eastAsia"/>
          <w:rtl/>
        </w:rPr>
        <w:t>سلامة</w:t>
      </w:r>
      <w:r w:rsidRPr="00591A13">
        <w:rPr>
          <w:rtl/>
        </w:rPr>
        <w:t xml:space="preserve"> </w:t>
      </w:r>
      <w:r w:rsidRPr="00591A13">
        <w:rPr>
          <w:rFonts w:hint="eastAsia"/>
          <w:rtl/>
        </w:rPr>
        <w:t>القليوبي</w:t>
      </w:r>
      <w:r w:rsidRPr="00591A13">
        <w:rPr>
          <w:rtl/>
        </w:rPr>
        <w:t xml:space="preserve"> (</w:t>
      </w:r>
      <w:r w:rsidRPr="00591A13">
        <w:rPr>
          <w:rFonts w:hint="eastAsia"/>
          <w:rtl/>
        </w:rPr>
        <w:t>ت</w:t>
      </w:r>
      <w:r w:rsidRPr="00591A13">
        <w:rPr>
          <w:rtl/>
        </w:rPr>
        <w:t xml:space="preserve"> 1069</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rtl/>
        </w:rPr>
        <w:t>و</w:t>
      </w:r>
      <w:r w:rsidRPr="00591A13">
        <w:rPr>
          <w:rtl/>
        </w:rPr>
        <w:t xml:space="preserve"> </w:t>
      </w:r>
      <w:r w:rsidRPr="00591A13">
        <w:rPr>
          <w:rFonts w:hint="eastAsia"/>
          <w:rtl/>
        </w:rPr>
        <w:t>عميرة،</w:t>
      </w:r>
      <w:r w:rsidRPr="00591A13">
        <w:rPr>
          <w:rtl/>
        </w:rPr>
        <w:t xml:space="preserve"> </w:t>
      </w:r>
      <w:r w:rsidRPr="00591A13">
        <w:rPr>
          <w:rFonts w:hint="eastAsia"/>
          <w:rtl/>
        </w:rPr>
        <w:t>أحمد</w:t>
      </w:r>
      <w:r w:rsidRPr="00591A13">
        <w:rPr>
          <w:rtl/>
        </w:rPr>
        <w:t xml:space="preserve"> </w:t>
      </w:r>
      <w:r w:rsidRPr="00591A13">
        <w:rPr>
          <w:rFonts w:hint="eastAsia"/>
          <w:rtl/>
        </w:rPr>
        <w:t>البرلسي</w:t>
      </w:r>
      <w:r w:rsidRPr="00591A13">
        <w:rPr>
          <w:rtl/>
        </w:rPr>
        <w:t xml:space="preserve"> </w:t>
      </w:r>
      <w:r w:rsidRPr="00591A13">
        <w:rPr>
          <w:rFonts w:hint="eastAsia"/>
          <w:rtl/>
        </w:rPr>
        <w:t>عميرة</w:t>
      </w:r>
      <w:r w:rsidRPr="00591A13">
        <w:rPr>
          <w:rtl/>
        </w:rPr>
        <w:t xml:space="preserve"> (</w:t>
      </w:r>
      <w:r w:rsidRPr="00591A13">
        <w:rPr>
          <w:rFonts w:hint="eastAsia"/>
          <w:rtl/>
        </w:rPr>
        <w:t>ت</w:t>
      </w:r>
      <w:r w:rsidRPr="00591A13">
        <w:rPr>
          <w:rtl/>
        </w:rPr>
        <w:t xml:space="preserve"> 957</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حاشيتا</w:t>
      </w:r>
      <w:r w:rsidRPr="00591A13">
        <w:rPr>
          <w:b/>
          <w:bCs/>
          <w:rtl/>
        </w:rPr>
        <w:t xml:space="preserve"> </w:t>
      </w:r>
      <w:r w:rsidRPr="00591A13">
        <w:rPr>
          <w:rFonts w:hint="eastAsia"/>
          <w:b/>
          <w:bCs/>
          <w:rtl/>
        </w:rPr>
        <w:t>قليوبي</w:t>
      </w:r>
      <w:r w:rsidRPr="00591A13">
        <w:rPr>
          <w:b/>
          <w:bCs/>
          <w:rtl/>
        </w:rPr>
        <w:t xml:space="preserve"> </w:t>
      </w:r>
      <w:r w:rsidRPr="00591A13">
        <w:rPr>
          <w:rFonts w:hint="eastAsia"/>
          <w:b/>
          <w:bCs/>
          <w:rtl/>
        </w:rPr>
        <w:t>وعميرة</w:t>
      </w:r>
      <w:r>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w:t>
      </w:r>
      <w:r w:rsidRPr="00591A13">
        <w:rPr>
          <w:rFonts w:hint="eastAsia"/>
          <w:rtl/>
        </w:rPr>
        <w:t>بيروت،</w:t>
      </w:r>
      <w:r w:rsidRPr="00591A13">
        <w:rPr>
          <w:rtl/>
        </w:rPr>
        <w:t xml:space="preserve"> 1995</w:t>
      </w:r>
      <w:r w:rsidRPr="00591A13">
        <w:rPr>
          <w:rFonts w:hint="eastAsia"/>
          <w:rtl/>
        </w:rPr>
        <w:t>م</w:t>
      </w:r>
      <w:r w:rsidRPr="00591A13">
        <w:rPr>
          <w:rtl/>
        </w:rPr>
        <w:t>.</w:t>
      </w:r>
    </w:p>
    <w:p w:rsidR="005F44B2" w:rsidRPr="00591A13" w:rsidRDefault="005F44B2" w:rsidP="00861F59">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القيم،</w:t>
      </w:r>
      <w:r w:rsidRPr="00591A13">
        <w:rPr>
          <w:rtl/>
        </w:rPr>
        <w:t xml:space="preserve"> </w:t>
      </w:r>
      <w:r w:rsidRPr="00591A13">
        <w:rPr>
          <w:rFonts w:hint="eastAsia"/>
          <w:b/>
          <w:bCs/>
          <w:rtl/>
        </w:rPr>
        <w:t>إعلام</w:t>
      </w:r>
      <w:r w:rsidRPr="00591A13">
        <w:rPr>
          <w:b/>
          <w:bCs/>
          <w:rtl/>
        </w:rPr>
        <w:t xml:space="preserve"> </w:t>
      </w:r>
      <w:r w:rsidRPr="00591A13">
        <w:rPr>
          <w:rFonts w:hint="eastAsia"/>
          <w:b/>
          <w:bCs/>
          <w:rtl/>
        </w:rPr>
        <w:t>الموقعين</w:t>
      </w:r>
      <w:r w:rsidRPr="00591A13">
        <w:rPr>
          <w:b/>
          <w:bCs/>
          <w:rtl/>
        </w:rPr>
        <w:t xml:space="preserve"> </w:t>
      </w:r>
      <w:r w:rsidRPr="00591A13">
        <w:rPr>
          <w:rFonts w:hint="eastAsia"/>
          <w:b/>
          <w:bCs/>
          <w:rtl/>
        </w:rPr>
        <w:t>عن</w:t>
      </w:r>
      <w:r w:rsidRPr="00591A13">
        <w:rPr>
          <w:b/>
          <w:bCs/>
          <w:rtl/>
        </w:rPr>
        <w:t xml:space="preserve"> </w:t>
      </w:r>
      <w:r w:rsidRPr="00591A13">
        <w:rPr>
          <w:rFonts w:hint="eastAsia"/>
          <w:b/>
          <w:bCs/>
          <w:rtl/>
        </w:rPr>
        <w:t>رب</w:t>
      </w:r>
      <w:r w:rsidRPr="00591A13">
        <w:rPr>
          <w:b/>
          <w:bCs/>
          <w:rtl/>
        </w:rPr>
        <w:t xml:space="preserve"> </w:t>
      </w:r>
      <w:r w:rsidRPr="00591A13">
        <w:rPr>
          <w:rFonts w:hint="eastAsia"/>
          <w:b/>
          <w:bCs/>
          <w:rtl/>
        </w:rPr>
        <w:t>العالمين</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محمد</w:t>
      </w:r>
      <w:r w:rsidRPr="00591A13">
        <w:rPr>
          <w:rtl/>
        </w:rPr>
        <w:t xml:space="preserve"> </w:t>
      </w:r>
      <w:r w:rsidRPr="00591A13">
        <w:rPr>
          <w:rFonts w:hint="eastAsia"/>
          <w:rtl/>
        </w:rPr>
        <w:t>عبد</w:t>
      </w:r>
      <w:r w:rsidRPr="00591A13">
        <w:rPr>
          <w:rtl/>
        </w:rPr>
        <w:t xml:space="preserve"> </w:t>
      </w:r>
      <w:r w:rsidRPr="00591A13">
        <w:rPr>
          <w:rFonts w:hint="eastAsia"/>
          <w:rtl/>
        </w:rPr>
        <w:t>السلام</w:t>
      </w:r>
      <w:r w:rsidRPr="00591A13">
        <w:rPr>
          <w:rtl/>
        </w:rPr>
        <w:t xml:space="preserve"> </w:t>
      </w:r>
      <w:r w:rsidRPr="00591A13">
        <w:rPr>
          <w:rFonts w:hint="eastAsia"/>
          <w:rtl/>
        </w:rPr>
        <w:t>إبراهيم</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1991</w:t>
      </w:r>
      <w:r w:rsidRPr="00591A13">
        <w:rPr>
          <w:rFonts w:hint="eastAsia"/>
          <w:rtl/>
        </w:rPr>
        <w:t>م</w:t>
      </w:r>
      <w:r w:rsidRPr="00591A13">
        <w:rPr>
          <w:rtl/>
        </w:rPr>
        <w:t>.</w:t>
      </w:r>
    </w:p>
    <w:p w:rsidR="005F44B2" w:rsidRPr="00591A13" w:rsidRDefault="005F44B2" w:rsidP="0038415E">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القيم،</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بكر</w:t>
      </w:r>
      <w:r w:rsidRPr="00591A13">
        <w:rPr>
          <w:rtl/>
        </w:rPr>
        <w:t xml:space="preserve"> </w:t>
      </w:r>
      <w:r w:rsidRPr="00591A13">
        <w:rPr>
          <w:rFonts w:hint="eastAsia"/>
          <w:rtl/>
        </w:rPr>
        <w:t>بن</w:t>
      </w:r>
      <w:r w:rsidRPr="00591A13">
        <w:rPr>
          <w:rtl/>
        </w:rPr>
        <w:t xml:space="preserve"> </w:t>
      </w:r>
      <w:r w:rsidRPr="00591A13">
        <w:rPr>
          <w:rFonts w:hint="eastAsia"/>
          <w:rtl/>
        </w:rPr>
        <w:t>أيوب</w:t>
      </w:r>
      <w:r w:rsidRPr="00591A13">
        <w:rPr>
          <w:rtl/>
        </w:rPr>
        <w:t xml:space="preserve"> </w:t>
      </w:r>
      <w:r w:rsidRPr="00591A13">
        <w:rPr>
          <w:rFonts w:hint="eastAsia"/>
          <w:rtl/>
        </w:rPr>
        <w:t>بن</w:t>
      </w:r>
      <w:r w:rsidRPr="00591A13">
        <w:rPr>
          <w:rtl/>
        </w:rPr>
        <w:t xml:space="preserve"> </w:t>
      </w:r>
      <w:r w:rsidRPr="00591A13">
        <w:rPr>
          <w:rFonts w:hint="eastAsia"/>
          <w:rtl/>
        </w:rPr>
        <w:t>سعد</w:t>
      </w:r>
      <w:r w:rsidRPr="00591A13">
        <w:rPr>
          <w:rtl/>
        </w:rPr>
        <w:t xml:space="preserve"> </w:t>
      </w:r>
      <w:r w:rsidRPr="00591A13">
        <w:rPr>
          <w:rFonts w:hint="eastAsia"/>
          <w:rtl/>
        </w:rPr>
        <w:t>شمس</w:t>
      </w:r>
      <w:r w:rsidRPr="00591A13">
        <w:rPr>
          <w:rtl/>
        </w:rPr>
        <w:t xml:space="preserve"> </w:t>
      </w:r>
      <w:r w:rsidRPr="00591A13">
        <w:rPr>
          <w:rFonts w:hint="eastAsia"/>
          <w:rtl/>
        </w:rPr>
        <w:t>الدين</w:t>
      </w:r>
      <w:r w:rsidRPr="00591A13">
        <w:rPr>
          <w:rtl/>
        </w:rPr>
        <w:t xml:space="preserve"> </w:t>
      </w:r>
      <w:r w:rsidRPr="00591A13">
        <w:rPr>
          <w:rFonts w:hint="eastAsia"/>
          <w:rtl/>
        </w:rPr>
        <w:t>ابن</w:t>
      </w:r>
      <w:r w:rsidRPr="00591A13">
        <w:rPr>
          <w:rtl/>
        </w:rPr>
        <w:t xml:space="preserve"> </w:t>
      </w:r>
      <w:r w:rsidRPr="00591A13">
        <w:rPr>
          <w:rFonts w:hint="eastAsia"/>
          <w:rtl/>
        </w:rPr>
        <w:t>قيم</w:t>
      </w:r>
      <w:r w:rsidRPr="00591A13">
        <w:rPr>
          <w:rtl/>
        </w:rPr>
        <w:t xml:space="preserve"> </w:t>
      </w:r>
      <w:r w:rsidRPr="00591A13">
        <w:rPr>
          <w:rFonts w:hint="eastAsia"/>
          <w:rtl/>
        </w:rPr>
        <w:t>الجوزية</w:t>
      </w:r>
      <w:r w:rsidRPr="00591A13">
        <w:rPr>
          <w:rtl/>
        </w:rPr>
        <w:t xml:space="preserve"> (</w:t>
      </w:r>
      <w:r w:rsidRPr="00591A13">
        <w:rPr>
          <w:rFonts w:hint="eastAsia"/>
          <w:rtl/>
        </w:rPr>
        <w:t>ت</w:t>
      </w:r>
      <w:r w:rsidRPr="00591A13">
        <w:rPr>
          <w:rtl/>
        </w:rPr>
        <w:t xml:space="preserve"> 751</w:t>
      </w:r>
      <w:r w:rsidRPr="00591A13">
        <w:rPr>
          <w:rFonts w:hint="eastAsia"/>
          <w:rtl/>
        </w:rPr>
        <w:t>هـ</w:t>
      </w:r>
      <w:r w:rsidRPr="00591A13">
        <w:rPr>
          <w:rtl/>
        </w:rPr>
        <w:t>)</w:t>
      </w:r>
      <w:r w:rsidRPr="00591A13">
        <w:rPr>
          <w:rFonts w:hint="eastAsia"/>
          <w:b/>
          <w:bCs/>
          <w:rtl/>
        </w:rPr>
        <w:t>الطرق</w:t>
      </w:r>
      <w:r w:rsidRPr="00591A13">
        <w:rPr>
          <w:b/>
          <w:bCs/>
          <w:rtl/>
        </w:rPr>
        <w:t xml:space="preserve"> </w:t>
      </w:r>
      <w:r w:rsidRPr="00591A13">
        <w:rPr>
          <w:rFonts w:hint="eastAsia"/>
          <w:b/>
          <w:bCs/>
          <w:rtl/>
        </w:rPr>
        <w:t>الحكمية</w:t>
      </w:r>
      <w:r w:rsidRPr="00591A13">
        <w:rPr>
          <w:rFonts w:hint="eastAsia"/>
          <w:rtl/>
        </w:rPr>
        <w:t>،</w:t>
      </w:r>
      <w:r w:rsidRPr="00591A13">
        <w:rPr>
          <w:rtl/>
        </w:rPr>
        <w:t xml:space="preserve"> </w:t>
      </w:r>
      <w:r>
        <w:rPr>
          <w:rtl/>
        </w:rPr>
        <w:t>(</w:t>
      </w:r>
      <w:r w:rsidRPr="00591A13">
        <w:rPr>
          <w:rFonts w:hint="eastAsia"/>
          <w:rtl/>
        </w:rPr>
        <w:t>تحقيق</w:t>
      </w:r>
      <w:r w:rsidRPr="00591A13">
        <w:rPr>
          <w:rtl/>
        </w:rPr>
        <w:t xml:space="preserve"> </w:t>
      </w:r>
      <w:r w:rsidRPr="00591A13">
        <w:rPr>
          <w:rFonts w:hint="eastAsia"/>
          <w:rtl/>
        </w:rPr>
        <w:t>نايف</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الحمد</w:t>
      </w:r>
      <w:r>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عالم</w:t>
      </w:r>
      <w:r w:rsidRPr="00591A13">
        <w:rPr>
          <w:rtl/>
        </w:rPr>
        <w:t xml:space="preserve"> </w:t>
      </w:r>
      <w:r w:rsidRPr="00591A13">
        <w:rPr>
          <w:rFonts w:hint="eastAsia"/>
          <w:rtl/>
        </w:rPr>
        <w:t>الفوائد،</w:t>
      </w:r>
      <w:r w:rsidRPr="00591A13">
        <w:rPr>
          <w:rtl/>
        </w:rPr>
        <w:t xml:space="preserve"> </w:t>
      </w:r>
      <w:r w:rsidRPr="00591A13">
        <w:rPr>
          <w:rFonts w:hint="eastAsia"/>
          <w:rtl/>
        </w:rPr>
        <w:t>جدة</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الكاساني،</w:t>
      </w:r>
      <w:r w:rsidRPr="00591A13">
        <w:rPr>
          <w:rtl/>
        </w:rPr>
        <w:t xml:space="preserve"> </w:t>
      </w:r>
      <w:r w:rsidRPr="00591A13">
        <w:rPr>
          <w:rFonts w:hint="eastAsia"/>
          <w:rtl/>
        </w:rPr>
        <w:t>علاء</w:t>
      </w:r>
      <w:r w:rsidRPr="00591A13">
        <w:rPr>
          <w:rtl/>
        </w:rPr>
        <w:t xml:space="preserve"> </w:t>
      </w:r>
      <w:r w:rsidRPr="00591A13">
        <w:rPr>
          <w:rFonts w:hint="eastAsia"/>
          <w:rtl/>
        </w:rPr>
        <w:t>الدين،</w:t>
      </w:r>
      <w:r w:rsidRPr="00591A13">
        <w:rPr>
          <w:rtl/>
        </w:rPr>
        <w:t xml:space="preserve"> </w:t>
      </w:r>
      <w:r w:rsidRPr="00591A13">
        <w:rPr>
          <w:rFonts w:hint="eastAsia"/>
          <w:rtl/>
        </w:rPr>
        <w:t>أبو</w:t>
      </w:r>
      <w:r w:rsidRPr="00591A13">
        <w:rPr>
          <w:rtl/>
        </w:rPr>
        <w:t xml:space="preserve"> </w:t>
      </w:r>
      <w:r w:rsidRPr="00591A13">
        <w:rPr>
          <w:rFonts w:hint="eastAsia"/>
          <w:rtl/>
        </w:rPr>
        <w:t>بكر</w:t>
      </w:r>
      <w:r w:rsidRPr="00591A13">
        <w:rPr>
          <w:rtl/>
        </w:rPr>
        <w:t xml:space="preserve"> </w:t>
      </w:r>
      <w:r w:rsidRPr="00591A13">
        <w:rPr>
          <w:rFonts w:hint="eastAsia"/>
          <w:rtl/>
        </w:rPr>
        <w:t>بن</w:t>
      </w:r>
      <w:r w:rsidRPr="00591A13">
        <w:rPr>
          <w:rtl/>
        </w:rPr>
        <w:t xml:space="preserve"> </w:t>
      </w:r>
      <w:r w:rsidRPr="00591A13">
        <w:rPr>
          <w:rFonts w:hint="eastAsia"/>
          <w:rtl/>
        </w:rPr>
        <w:t>مسعود</w:t>
      </w:r>
      <w:r w:rsidRPr="00591A13">
        <w:rPr>
          <w:rtl/>
        </w:rPr>
        <w:t xml:space="preserve"> </w:t>
      </w:r>
      <w:r w:rsidRPr="00591A13">
        <w:rPr>
          <w:rFonts w:hint="eastAsia"/>
          <w:rtl/>
        </w:rPr>
        <w:t>بن</w:t>
      </w:r>
      <w:r w:rsidRPr="00591A13">
        <w:rPr>
          <w:rtl/>
        </w:rPr>
        <w:t xml:space="preserve"> </w:t>
      </w:r>
      <w:r w:rsidRPr="00591A13">
        <w:rPr>
          <w:rFonts w:hint="eastAsia"/>
          <w:rtl/>
        </w:rPr>
        <w:t>أحمد</w:t>
      </w:r>
      <w:r w:rsidRPr="00591A13">
        <w:rPr>
          <w:rtl/>
        </w:rPr>
        <w:t xml:space="preserve"> </w:t>
      </w:r>
      <w:r w:rsidRPr="00591A13">
        <w:rPr>
          <w:rFonts w:hint="eastAsia"/>
          <w:rtl/>
        </w:rPr>
        <w:t>الكاساني</w:t>
      </w:r>
      <w:r w:rsidRPr="00591A13">
        <w:rPr>
          <w:rtl/>
        </w:rPr>
        <w:t xml:space="preserve"> </w:t>
      </w:r>
      <w:r w:rsidRPr="00591A13">
        <w:rPr>
          <w:rFonts w:hint="eastAsia"/>
          <w:rtl/>
        </w:rPr>
        <w:t>الحنفي</w:t>
      </w:r>
      <w:r w:rsidRPr="00591A13">
        <w:rPr>
          <w:rtl/>
        </w:rPr>
        <w:t xml:space="preserve"> (</w:t>
      </w:r>
      <w:r w:rsidRPr="00591A13">
        <w:rPr>
          <w:rFonts w:hint="eastAsia"/>
          <w:rtl/>
        </w:rPr>
        <w:t>ت</w:t>
      </w:r>
      <w:r w:rsidRPr="00591A13">
        <w:rPr>
          <w:rtl/>
        </w:rPr>
        <w:t xml:space="preserve"> 587</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بدائع</w:t>
      </w:r>
      <w:r w:rsidRPr="00591A13">
        <w:rPr>
          <w:b/>
          <w:bCs/>
          <w:rtl/>
        </w:rPr>
        <w:t xml:space="preserve"> </w:t>
      </w:r>
      <w:r w:rsidRPr="00591A13">
        <w:rPr>
          <w:rFonts w:hint="eastAsia"/>
          <w:b/>
          <w:bCs/>
          <w:rtl/>
        </w:rPr>
        <w:t>الصنائع</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ترتيب</w:t>
      </w:r>
      <w:r w:rsidRPr="00591A13">
        <w:rPr>
          <w:b/>
          <w:bCs/>
          <w:rtl/>
        </w:rPr>
        <w:t xml:space="preserve"> </w:t>
      </w:r>
      <w:r w:rsidRPr="00591A13">
        <w:rPr>
          <w:rFonts w:hint="eastAsia"/>
          <w:b/>
          <w:bCs/>
          <w:rtl/>
        </w:rPr>
        <w:t>الشرائع</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7</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1406</w:t>
      </w:r>
      <w:r w:rsidRPr="00591A13">
        <w:rPr>
          <w:rFonts w:hint="eastAsia"/>
          <w:rtl/>
        </w:rPr>
        <w:t>هـ</w:t>
      </w:r>
      <w:r w:rsidRPr="00591A13">
        <w:rPr>
          <w:rtl/>
        </w:rPr>
        <w:t xml:space="preserve"> / 1986</w:t>
      </w:r>
      <w:r w:rsidRPr="00591A13">
        <w:rPr>
          <w:rFonts w:hint="eastAsia"/>
          <w:rtl/>
        </w:rPr>
        <w:t>م</w:t>
      </w:r>
      <w:r w:rsidRPr="00591A13">
        <w:rPr>
          <w:rtl/>
        </w:rPr>
        <w:t>.</w:t>
      </w:r>
    </w:p>
    <w:p w:rsidR="005F44B2" w:rsidRPr="00591A13" w:rsidRDefault="005F44B2" w:rsidP="00676315">
      <w:pPr>
        <w:pStyle w:val="Subtitle"/>
        <w:numPr>
          <w:ilvl w:val="0"/>
          <w:numId w:val="46"/>
        </w:numPr>
        <w:spacing w:line="259" w:lineRule="auto"/>
        <w:jc w:val="both"/>
      </w:pPr>
      <w:r w:rsidRPr="00591A13">
        <w:rPr>
          <w:rFonts w:hint="eastAsia"/>
          <w:rtl/>
        </w:rPr>
        <w:t>الكتاني،</w:t>
      </w:r>
      <w:r w:rsidRPr="00591A13">
        <w:rPr>
          <w:rtl/>
        </w:rPr>
        <w:t xml:space="preserve"> </w:t>
      </w:r>
      <w:r w:rsidRPr="00591A13">
        <w:rPr>
          <w:rFonts w:hint="eastAsia"/>
          <w:rtl/>
        </w:rPr>
        <w:t>محمد</w:t>
      </w:r>
      <w:r w:rsidRPr="00591A13">
        <w:rPr>
          <w:rtl/>
        </w:rPr>
        <w:t xml:space="preserve"> </w:t>
      </w:r>
      <w:r w:rsidRPr="00591A13">
        <w:rPr>
          <w:rFonts w:hint="eastAsia"/>
          <w:rtl/>
        </w:rPr>
        <w:t>عَبْد</w:t>
      </w:r>
      <w:r w:rsidRPr="00591A13">
        <w:rPr>
          <w:rtl/>
        </w:rPr>
        <w:t xml:space="preserve"> </w:t>
      </w:r>
      <w:r w:rsidRPr="00591A13">
        <w:rPr>
          <w:rFonts w:hint="eastAsia"/>
          <w:rtl/>
        </w:rPr>
        <w:t>الحَيّ</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الكبير</w:t>
      </w:r>
      <w:r w:rsidRPr="00591A13">
        <w:rPr>
          <w:rtl/>
        </w:rPr>
        <w:t xml:space="preserve"> </w:t>
      </w:r>
      <w:r w:rsidRPr="00591A13">
        <w:rPr>
          <w:rFonts w:hint="eastAsia"/>
          <w:rtl/>
        </w:rPr>
        <w:t>ابن</w:t>
      </w:r>
      <w:r w:rsidRPr="00591A13">
        <w:rPr>
          <w:rtl/>
        </w:rPr>
        <w:t xml:space="preserve"> </w:t>
      </w:r>
      <w:r w:rsidRPr="00591A13">
        <w:rPr>
          <w:rFonts w:hint="eastAsia"/>
          <w:rtl/>
        </w:rPr>
        <w:t>محمد</w:t>
      </w:r>
      <w:r w:rsidRPr="00591A13">
        <w:rPr>
          <w:rtl/>
        </w:rPr>
        <w:t xml:space="preserve"> </w:t>
      </w:r>
      <w:r w:rsidRPr="00591A13">
        <w:rPr>
          <w:rFonts w:hint="eastAsia"/>
          <w:rtl/>
        </w:rPr>
        <w:t>الحسني</w:t>
      </w:r>
      <w:r w:rsidRPr="00591A13">
        <w:rPr>
          <w:rtl/>
        </w:rPr>
        <w:t xml:space="preserve"> </w:t>
      </w:r>
      <w:r w:rsidRPr="00591A13">
        <w:rPr>
          <w:rFonts w:hint="eastAsia"/>
          <w:rtl/>
        </w:rPr>
        <w:t>الإدريسي،</w:t>
      </w:r>
      <w:r w:rsidRPr="00591A13">
        <w:rPr>
          <w:rtl/>
        </w:rPr>
        <w:t xml:space="preserve"> </w:t>
      </w:r>
      <w:r w:rsidRPr="00591A13">
        <w:rPr>
          <w:rFonts w:hint="eastAsia"/>
          <w:rtl/>
        </w:rPr>
        <w:t>المعروف</w:t>
      </w:r>
      <w:r w:rsidRPr="00591A13">
        <w:rPr>
          <w:rtl/>
        </w:rPr>
        <w:t xml:space="preserve"> </w:t>
      </w:r>
      <w:r w:rsidRPr="00591A13">
        <w:rPr>
          <w:rFonts w:hint="eastAsia"/>
          <w:rtl/>
        </w:rPr>
        <w:t>ب</w:t>
      </w:r>
      <w:r>
        <w:rPr>
          <w:rFonts w:hint="eastAsia"/>
          <w:rtl/>
        </w:rPr>
        <w:t>عبد</w:t>
      </w:r>
      <w:r>
        <w:rPr>
          <w:rtl/>
        </w:rPr>
        <w:t xml:space="preserve"> </w:t>
      </w:r>
      <w:r>
        <w:rPr>
          <w:rFonts w:hint="eastAsia"/>
          <w:rtl/>
        </w:rPr>
        <w:t>الحي</w:t>
      </w:r>
      <w:r>
        <w:rPr>
          <w:rtl/>
        </w:rPr>
        <w:t xml:space="preserve"> </w:t>
      </w:r>
      <w:r>
        <w:rPr>
          <w:rFonts w:hint="eastAsia"/>
          <w:rtl/>
        </w:rPr>
        <w:t>الكتاني</w:t>
      </w:r>
      <w:r>
        <w:rPr>
          <w:rtl/>
        </w:rPr>
        <w:t xml:space="preserve"> (</w:t>
      </w:r>
      <w:r w:rsidRPr="00591A13">
        <w:rPr>
          <w:rtl/>
        </w:rPr>
        <w:t>1982</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فهرس</w:t>
      </w:r>
      <w:r w:rsidRPr="00591A13">
        <w:rPr>
          <w:b/>
          <w:bCs/>
          <w:rtl/>
        </w:rPr>
        <w:t xml:space="preserve"> </w:t>
      </w:r>
      <w:r w:rsidRPr="00591A13">
        <w:rPr>
          <w:rFonts w:hint="eastAsia"/>
          <w:b/>
          <w:bCs/>
          <w:rtl/>
        </w:rPr>
        <w:t>الفهارس</w:t>
      </w:r>
      <w:r w:rsidRPr="00591A13">
        <w:rPr>
          <w:b/>
          <w:bCs/>
          <w:rtl/>
        </w:rPr>
        <w:t xml:space="preserve"> </w:t>
      </w:r>
      <w:r w:rsidRPr="00591A13">
        <w:rPr>
          <w:rFonts w:hint="eastAsia"/>
          <w:b/>
          <w:bCs/>
          <w:rtl/>
        </w:rPr>
        <w:t>والأثبات</w:t>
      </w:r>
      <w:r w:rsidRPr="00591A13">
        <w:rPr>
          <w:b/>
          <w:bCs/>
          <w:rtl/>
        </w:rPr>
        <w:t xml:space="preserve"> </w:t>
      </w:r>
      <w:r w:rsidRPr="00591A13">
        <w:rPr>
          <w:rFonts w:hint="eastAsia"/>
          <w:b/>
          <w:bCs/>
          <w:rtl/>
        </w:rPr>
        <w:t>ومعجم</w:t>
      </w:r>
      <w:r w:rsidRPr="00591A13">
        <w:rPr>
          <w:b/>
          <w:bCs/>
          <w:rtl/>
        </w:rPr>
        <w:t xml:space="preserve"> </w:t>
      </w:r>
      <w:r w:rsidRPr="00591A13">
        <w:rPr>
          <w:rFonts w:hint="eastAsia"/>
          <w:b/>
          <w:bCs/>
          <w:rtl/>
        </w:rPr>
        <w:t>المعاجم</w:t>
      </w:r>
      <w:r w:rsidRPr="00591A13">
        <w:rPr>
          <w:b/>
          <w:bCs/>
          <w:rtl/>
        </w:rPr>
        <w:t xml:space="preserve"> </w:t>
      </w:r>
      <w:r w:rsidRPr="00591A13">
        <w:rPr>
          <w:rFonts w:hint="eastAsia"/>
          <w:b/>
          <w:bCs/>
          <w:rtl/>
        </w:rPr>
        <w:t>والمشيخات</w:t>
      </w:r>
      <w:r w:rsidRPr="00591A13">
        <w:rPr>
          <w:b/>
          <w:bCs/>
          <w:rtl/>
        </w:rPr>
        <w:t xml:space="preserve"> </w:t>
      </w:r>
      <w:r w:rsidRPr="00591A13">
        <w:rPr>
          <w:rFonts w:hint="eastAsia"/>
          <w:b/>
          <w:bCs/>
          <w:rtl/>
        </w:rPr>
        <w:t>والمسلسلات</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2</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إحسان</w:t>
      </w:r>
      <w:r w:rsidRPr="00591A13">
        <w:rPr>
          <w:rtl/>
        </w:rPr>
        <w:t xml:space="preserve"> </w:t>
      </w:r>
      <w:r w:rsidRPr="00591A13">
        <w:rPr>
          <w:rFonts w:hint="eastAsia"/>
          <w:rtl/>
        </w:rPr>
        <w:t>عباس</w:t>
      </w:r>
      <w:r w:rsidRPr="00591A13">
        <w:rPr>
          <w:rtl/>
        </w:rPr>
        <w:t>)</w:t>
      </w:r>
      <w:r w:rsidRPr="00591A13">
        <w:rPr>
          <w:rFonts w:hint="eastAsia"/>
          <w:rtl/>
        </w:rPr>
        <w:t>،بيروت،دار</w:t>
      </w:r>
      <w:r w:rsidRPr="00591A13">
        <w:rPr>
          <w:rtl/>
        </w:rPr>
        <w:t xml:space="preserve"> </w:t>
      </w:r>
      <w:r w:rsidRPr="00591A13">
        <w:rPr>
          <w:rFonts w:hint="eastAsia"/>
          <w:rtl/>
        </w:rPr>
        <w:t>الغرب</w:t>
      </w:r>
      <w:r w:rsidRPr="00591A13">
        <w:rPr>
          <w:rtl/>
        </w:rPr>
        <w:t xml:space="preserve"> </w:t>
      </w:r>
      <w:r w:rsidRPr="00591A13">
        <w:rPr>
          <w:rFonts w:hint="eastAsia"/>
          <w:rtl/>
        </w:rPr>
        <w:t>الإسلامي</w:t>
      </w:r>
      <w:r w:rsidRPr="00591A13">
        <w:rPr>
          <w:rtl/>
        </w:rPr>
        <w:t>.</w:t>
      </w:r>
    </w:p>
    <w:p w:rsidR="005F44B2" w:rsidRDefault="005F44B2" w:rsidP="00676315">
      <w:pPr>
        <w:pStyle w:val="Subtitle"/>
        <w:numPr>
          <w:ilvl w:val="0"/>
          <w:numId w:val="46"/>
        </w:numPr>
        <w:spacing w:line="259" w:lineRule="auto"/>
        <w:jc w:val="both"/>
      </w:pPr>
      <w:r>
        <w:rPr>
          <w:rFonts w:hint="eastAsia"/>
          <w:rtl/>
        </w:rPr>
        <w:t>كحالة،</w:t>
      </w:r>
      <w:r>
        <w:rPr>
          <w:rtl/>
        </w:rPr>
        <w:t xml:space="preserve"> </w:t>
      </w:r>
      <w:r w:rsidRPr="003269BC">
        <w:rPr>
          <w:rFonts w:hint="eastAsia"/>
          <w:rtl/>
        </w:rPr>
        <w:t>عمر</w:t>
      </w:r>
      <w:r w:rsidRPr="003269BC">
        <w:rPr>
          <w:rtl/>
        </w:rPr>
        <w:t xml:space="preserve"> </w:t>
      </w:r>
      <w:r w:rsidRPr="003269BC">
        <w:rPr>
          <w:rFonts w:hint="eastAsia"/>
          <w:rtl/>
        </w:rPr>
        <w:t>بن</w:t>
      </w:r>
      <w:r w:rsidRPr="003269BC">
        <w:rPr>
          <w:rtl/>
        </w:rPr>
        <w:t xml:space="preserve"> </w:t>
      </w:r>
      <w:r w:rsidRPr="003269BC">
        <w:rPr>
          <w:rFonts w:hint="eastAsia"/>
          <w:rtl/>
        </w:rPr>
        <w:t>رضا</w:t>
      </w:r>
      <w:r w:rsidRPr="003269BC">
        <w:rPr>
          <w:rtl/>
        </w:rPr>
        <w:t xml:space="preserve"> </w:t>
      </w:r>
      <w:r w:rsidRPr="003269BC">
        <w:rPr>
          <w:rFonts w:hint="eastAsia"/>
          <w:rtl/>
        </w:rPr>
        <w:t>بن</w:t>
      </w:r>
      <w:r w:rsidRPr="003269BC">
        <w:rPr>
          <w:rtl/>
        </w:rPr>
        <w:t xml:space="preserve"> </w:t>
      </w:r>
      <w:r w:rsidRPr="003269BC">
        <w:rPr>
          <w:rFonts w:hint="eastAsia"/>
          <w:rtl/>
        </w:rPr>
        <w:t>محمد</w:t>
      </w:r>
      <w:r w:rsidRPr="003269BC">
        <w:rPr>
          <w:rtl/>
        </w:rPr>
        <w:t xml:space="preserve"> </w:t>
      </w:r>
      <w:r>
        <w:rPr>
          <w:rFonts w:hint="eastAsia"/>
          <w:rtl/>
        </w:rPr>
        <w:t>راغب</w:t>
      </w:r>
      <w:r>
        <w:rPr>
          <w:rtl/>
        </w:rPr>
        <w:t xml:space="preserve"> </w:t>
      </w:r>
      <w:r>
        <w:rPr>
          <w:rFonts w:hint="eastAsia"/>
          <w:rtl/>
        </w:rPr>
        <w:t>بن</w:t>
      </w:r>
      <w:r>
        <w:rPr>
          <w:rtl/>
        </w:rPr>
        <w:t xml:space="preserve"> </w:t>
      </w:r>
      <w:r>
        <w:rPr>
          <w:rFonts w:hint="eastAsia"/>
          <w:rtl/>
        </w:rPr>
        <w:t>عبد</w:t>
      </w:r>
      <w:r>
        <w:rPr>
          <w:rtl/>
        </w:rPr>
        <w:t xml:space="preserve"> </w:t>
      </w:r>
      <w:r>
        <w:rPr>
          <w:rFonts w:hint="eastAsia"/>
          <w:rtl/>
        </w:rPr>
        <w:t>الغني</w:t>
      </w:r>
      <w:r>
        <w:rPr>
          <w:rtl/>
        </w:rPr>
        <w:t xml:space="preserve"> </w:t>
      </w:r>
      <w:r>
        <w:rPr>
          <w:rFonts w:hint="eastAsia"/>
          <w:rtl/>
        </w:rPr>
        <w:t>كحالة</w:t>
      </w:r>
      <w:r>
        <w:rPr>
          <w:rtl/>
        </w:rPr>
        <w:t xml:space="preserve"> </w:t>
      </w:r>
      <w:r>
        <w:rPr>
          <w:rFonts w:hint="eastAsia"/>
          <w:rtl/>
        </w:rPr>
        <w:t>الدمشق،</w:t>
      </w:r>
      <w:r>
        <w:rPr>
          <w:rtl/>
        </w:rPr>
        <w:t xml:space="preserve"> </w:t>
      </w:r>
      <w:r w:rsidRPr="003269BC">
        <w:rPr>
          <w:rFonts w:hint="eastAsia"/>
          <w:b/>
          <w:bCs/>
          <w:rtl/>
        </w:rPr>
        <w:t>معجم</w:t>
      </w:r>
      <w:r w:rsidRPr="003269BC">
        <w:rPr>
          <w:b/>
          <w:bCs/>
          <w:rtl/>
        </w:rPr>
        <w:t xml:space="preserve"> </w:t>
      </w:r>
      <w:r w:rsidRPr="003269BC">
        <w:rPr>
          <w:rFonts w:hint="eastAsia"/>
          <w:b/>
          <w:bCs/>
          <w:rtl/>
        </w:rPr>
        <w:t>المؤلفين</w:t>
      </w:r>
      <w:r>
        <w:rPr>
          <w:rFonts w:hint="eastAsia"/>
          <w:rtl/>
        </w:rPr>
        <w:t>،</w:t>
      </w:r>
      <w:r>
        <w:rPr>
          <w:rtl/>
        </w:rPr>
        <w:t xml:space="preserve"> 13</w:t>
      </w:r>
      <w:r>
        <w:rPr>
          <w:rFonts w:hint="eastAsia"/>
          <w:rtl/>
        </w:rPr>
        <w:t>م،</w:t>
      </w:r>
      <w:r>
        <w:rPr>
          <w:rtl/>
        </w:rPr>
        <w:t xml:space="preserve"> </w:t>
      </w:r>
      <w:r>
        <w:rPr>
          <w:rFonts w:hint="eastAsia"/>
          <w:rtl/>
        </w:rPr>
        <w:t>بيروت،</w:t>
      </w:r>
      <w:r w:rsidRPr="003269BC">
        <w:rPr>
          <w:rFonts w:hint="eastAsia"/>
          <w:rtl/>
        </w:rPr>
        <w:t>دار</w:t>
      </w:r>
      <w:r w:rsidRPr="003269BC">
        <w:rPr>
          <w:rtl/>
        </w:rPr>
        <w:t xml:space="preserve"> </w:t>
      </w:r>
      <w:r w:rsidRPr="003269BC">
        <w:rPr>
          <w:rFonts w:hint="eastAsia"/>
          <w:rtl/>
        </w:rPr>
        <w:t>إحياء</w:t>
      </w:r>
      <w:r w:rsidRPr="003269BC">
        <w:rPr>
          <w:rtl/>
        </w:rPr>
        <w:t xml:space="preserve"> </w:t>
      </w:r>
      <w:r w:rsidRPr="003269BC">
        <w:rPr>
          <w:rFonts w:hint="eastAsia"/>
          <w:rtl/>
        </w:rPr>
        <w:t>التراث</w:t>
      </w:r>
      <w:r w:rsidRPr="003269BC">
        <w:rPr>
          <w:rtl/>
        </w:rPr>
        <w:t xml:space="preserve"> </w:t>
      </w:r>
      <w:r w:rsidRPr="003269BC">
        <w:rPr>
          <w:rFonts w:hint="eastAsia"/>
          <w:rtl/>
        </w:rPr>
        <w:t>العربي</w:t>
      </w:r>
      <w:r>
        <w:rPr>
          <w:rtl/>
        </w:rPr>
        <w:t>.</w:t>
      </w:r>
    </w:p>
    <w:p w:rsidR="005F44B2" w:rsidRPr="00591A13" w:rsidRDefault="005F44B2" w:rsidP="00676315">
      <w:pPr>
        <w:pStyle w:val="Subtitle"/>
        <w:numPr>
          <w:ilvl w:val="0"/>
          <w:numId w:val="46"/>
        </w:numPr>
        <w:spacing w:line="259" w:lineRule="auto"/>
        <w:jc w:val="both"/>
      </w:pPr>
      <w:r w:rsidRPr="00591A13">
        <w:rPr>
          <w:rFonts w:hint="eastAsia"/>
          <w:rtl/>
        </w:rPr>
        <w:t>الكيلاني،</w:t>
      </w:r>
      <w:r w:rsidRPr="00591A13">
        <w:rPr>
          <w:rtl/>
        </w:rPr>
        <w:t xml:space="preserve"> </w:t>
      </w:r>
      <w:r w:rsidRPr="00591A13">
        <w:rPr>
          <w:rFonts w:hint="eastAsia"/>
          <w:rtl/>
        </w:rPr>
        <w:t>عبدالله</w:t>
      </w:r>
      <w:r w:rsidRPr="00591A13">
        <w:rPr>
          <w:rtl/>
        </w:rPr>
        <w:t xml:space="preserve"> </w:t>
      </w:r>
      <w:r w:rsidRPr="00591A13">
        <w:rPr>
          <w:rFonts w:hint="eastAsia"/>
          <w:rtl/>
        </w:rPr>
        <w:t>إبراهيم</w:t>
      </w:r>
      <w:r w:rsidRPr="00591A13">
        <w:rPr>
          <w:rtl/>
        </w:rPr>
        <w:t xml:space="preserve"> </w:t>
      </w:r>
      <w:r w:rsidRPr="00591A13">
        <w:rPr>
          <w:rFonts w:hint="eastAsia"/>
          <w:rtl/>
        </w:rPr>
        <w:t>زيد</w:t>
      </w:r>
      <w:r>
        <w:rPr>
          <w:rtl/>
        </w:rPr>
        <w:t xml:space="preserve"> (</w:t>
      </w:r>
      <w:r w:rsidRPr="00591A13">
        <w:rPr>
          <w:rtl/>
        </w:rPr>
        <w:t>2009</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السياسة</w:t>
      </w:r>
      <w:r w:rsidRPr="00591A13">
        <w:rPr>
          <w:b/>
          <w:bCs/>
          <w:rtl/>
        </w:rPr>
        <w:t xml:space="preserve"> </w:t>
      </w:r>
      <w:r w:rsidRPr="00591A13">
        <w:rPr>
          <w:rFonts w:hint="eastAsia"/>
          <w:b/>
          <w:bCs/>
          <w:rtl/>
        </w:rPr>
        <w:t>الشرعية</w:t>
      </w:r>
      <w:r w:rsidRPr="00591A13">
        <w:rPr>
          <w:b/>
          <w:bCs/>
          <w:rtl/>
        </w:rPr>
        <w:t xml:space="preserve"> </w:t>
      </w:r>
      <w:r w:rsidRPr="00591A13">
        <w:rPr>
          <w:rFonts w:hint="eastAsia"/>
          <w:b/>
          <w:bCs/>
          <w:rtl/>
        </w:rPr>
        <w:t>مدخل</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تجديد</w:t>
      </w:r>
      <w:r w:rsidRPr="00591A13">
        <w:rPr>
          <w:b/>
          <w:bCs/>
          <w:rtl/>
        </w:rPr>
        <w:t xml:space="preserve"> </w:t>
      </w:r>
      <w:r w:rsidRPr="00591A13">
        <w:rPr>
          <w:rFonts w:hint="eastAsia"/>
          <w:b/>
          <w:bCs/>
          <w:rtl/>
        </w:rPr>
        <w:t>الخطاب</w:t>
      </w:r>
      <w:r w:rsidRPr="00591A13">
        <w:rPr>
          <w:b/>
          <w:bCs/>
          <w:rtl/>
        </w:rPr>
        <w:t xml:space="preserve"> </w:t>
      </w:r>
      <w:r w:rsidRPr="00591A13">
        <w:rPr>
          <w:rFonts w:hint="eastAsia"/>
          <w:b/>
          <w:bCs/>
          <w:rtl/>
        </w:rPr>
        <w:t>الإسلامي</w:t>
      </w:r>
      <w:r w:rsidRPr="00591A13">
        <w:rPr>
          <w:rFonts w:hint="eastAsia"/>
          <w:rtl/>
        </w:rPr>
        <w:t>،</w:t>
      </w:r>
      <w:r w:rsidRPr="00591A13">
        <w:rPr>
          <w:rtl/>
        </w:rPr>
        <w:t xml:space="preserve"> </w:t>
      </w:r>
      <w:r w:rsidRPr="00591A13">
        <w:rPr>
          <w:rFonts w:hint="eastAsia"/>
          <w:rtl/>
        </w:rPr>
        <w:t>عمان</w:t>
      </w:r>
      <w:r>
        <w:rPr>
          <w:rFonts w:hint="eastAsia"/>
          <w:rtl/>
        </w:rPr>
        <w:t>،دار</w:t>
      </w:r>
      <w:r>
        <w:rPr>
          <w:rtl/>
        </w:rPr>
        <w:t xml:space="preserve"> </w:t>
      </w:r>
      <w:r>
        <w:rPr>
          <w:rFonts w:hint="eastAsia"/>
          <w:rtl/>
        </w:rPr>
        <w:t>الفرقان</w:t>
      </w:r>
      <w:r w:rsidRPr="00591A13">
        <w:rPr>
          <w:rtl/>
        </w:rPr>
        <w:t>.</w:t>
      </w:r>
    </w:p>
    <w:p w:rsidR="005F44B2" w:rsidRDefault="005F44B2" w:rsidP="00904375">
      <w:pPr>
        <w:pStyle w:val="Subtitle"/>
        <w:numPr>
          <w:ilvl w:val="0"/>
          <w:numId w:val="46"/>
        </w:numPr>
        <w:spacing w:line="259" w:lineRule="auto"/>
        <w:jc w:val="both"/>
      </w:pPr>
      <w:r w:rsidRPr="00904375">
        <w:rPr>
          <w:rFonts w:hint="eastAsia"/>
          <w:rtl/>
        </w:rPr>
        <w:t>كيلاني،</w:t>
      </w:r>
      <w:r w:rsidRPr="00904375">
        <w:rPr>
          <w:rtl/>
        </w:rPr>
        <w:t xml:space="preserve"> </w:t>
      </w:r>
      <w:r w:rsidRPr="00904375">
        <w:rPr>
          <w:rFonts w:hint="eastAsia"/>
          <w:rtl/>
        </w:rPr>
        <w:t>عبد</w:t>
      </w:r>
      <w:r w:rsidRPr="00904375">
        <w:rPr>
          <w:rtl/>
        </w:rPr>
        <w:t xml:space="preserve"> </w:t>
      </w:r>
      <w:r w:rsidRPr="00904375">
        <w:rPr>
          <w:rFonts w:hint="eastAsia"/>
          <w:rtl/>
        </w:rPr>
        <w:t>الرحمن،</w:t>
      </w:r>
      <w:r w:rsidRPr="00904375">
        <w:rPr>
          <w:rtl/>
        </w:rPr>
        <w:t xml:space="preserve"> </w:t>
      </w:r>
      <w:r w:rsidRPr="00904375">
        <w:rPr>
          <w:rFonts w:hint="eastAsia"/>
          <w:b/>
          <w:bCs/>
          <w:rtl/>
        </w:rPr>
        <w:t>التطبيق</w:t>
      </w:r>
      <w:r w:rsidRPr="00904375">
        <w:rPr>
          <w:b/>
          <w:bCs/>
          <w:rtl/>
        </w:rPr>
        <w:t xml:space="preserve"> </w:t>
      </w:r>
      <w:r w:rsidRPr="00904375">
        <w:rPr>
          <w:rFonts w:hint="eastAsia"/>
          <w:b/>
          <w:bCs/>
          <w:rtl/>
        </w:rPr>
        <w:t>المقاصدي</w:t>
      </w:r>
      <w:r w:rsidRPr="00904375">
        <w:rPr>
          <w:b/>
          <w:bCs/>
          <w:rtl/>
        </w:rPr>
        <w:t xml:space="preserve"> </w:t>
      </w:r>
      <w:r w:rsidRPr="00904375">
        <w:rPr>
          <w:rFonts w:hint="eastAsia"/>
          <w:b/>
          <w:bCs/>
          <w:rtl/>
        </w:rPr>
        <w:t>للأحكام</w:t>
      </w:r>
      <w:r w:rsidRPr="00904375">
        <w:rPr>
          <w:b/>
          <w:bCs/>
          <w:rtl/>
        </w:rPr>
        <w:t xml:space="preserve"> </w:t>
      </w:r>
      <w:r w:rsidRPr="00904375">
        <w:rPr>
          <w:rFonts w:hint="eastAsia"/>
          <w:b/>
          <w:bCs/>
          <w:rtl/>
        </w:rPr>
        <w:t>الشرعية</w:t>
      </w:r>
      <w:r w:rsidRPr="00904375">
        <w:rPr>
          <w:b/>
          <w:bCs/>
          <w:rtl/>
        </w:rPr>
        <w:t xml:space="preserve"> </w:t>
      </w:r>
      <w:r w:rsidRPr="00904375">
        <w:rPr>
          <w:rFonts w:hint="eastAsia"/>
          <w:b/>
          <w:bCs/>
          <w:rtl/>
        </w:rPr>
        <w:t>حقيقته</w:t>
      </w:r>
      <w:r w:rsidRPr="00904375">
        <w:rPr>
          <w:b/>
          <w:bCs/>
          <w:rtl/>
        </w:rPr>
        <w:t xml:space="preserve">- </w:t>
      </w:r>
      <w:r w:rsidRPr="00904375">
        <w:rPr>
          <w:rFonts w:hint="eastAsia"/>
          <w:b/>
          <w:bCs/>
          <w:rtl/>
        </w:rPr>
        <w:t>حجيته</w:t>
      </w:r>
      <w:r w:rsidRPr="00904375">
        <w:rPr>
          <w:b/>
          <w:bCs/>
          <w:rtl/>
        </w:rPr>
        <w:t xml:space="preserve">- </w:t>
      </w:r>
      <w:r w:rsidRPr="00904375">
        <w:rPr>
          <w:rFonts w:hint="eastAsia"/>
          <w:b/>
          <w:bCs/>
          <w:rtl/>
        </w:rPr>
        <w:t>مرتكزاته</w:t>
      </w:r>
      <w:r>
        <w:rPr>
          <w:rFonts w:hint="eastAsia"/>
          <w:rtl/>
        </w:rPr>
        <w:t>،</w:t>
      </w:r>
      <w:r>
        <w:rPr>
          <w:rtl/>
        </w:rPr>
        <w:t xml:space="preserve"> </w:t>
      </w:r>
      <w:r>
        <w:rPr>
          <w:rFonts w:hint="eastAsia"/>
          <w:rtl/>
        </w:rPr>
        <w:t>منشور</w:t>
      </w:r>
      <w:r>
        <w:rPr>
          <w:rtl/>
        </w:rPr>
        <w:t xml:space="preserve"> </w:t>
      </w:r>
      <w:r>
        <w:rPr>
          <w:rFonts w:hint="eastAsia"/>
          <w:rtl/>
        </w:rPr>
        <w:t>المجلة</w:t>
      </w:r>
      <w:r>
        <w:rPr>
          <w:rtl/>
        </w:rPr>
        <w:t xml:space="preserve"> </w:t>
      </w:r>
      <w:r>
        <w:rPr>
          <w:rFonts w:hint="eastAsia"/>
          <w:rtl/>
        </w:rPr>
        <w:t>الأردنيةف</w:t>
      </w:r>
      <w:r w:rsidRPr="00904375">
        <w:rPr>
          <w:rFonts w:hint="eastAsia"/>
          <w:rtl/>
        </w:rPr>
        <w:t>ي</w:t>
      </w:r>
      <w:r w:rsidRPr="00904375">
        <w:rPr>
          <w:rtl/>
        </w:rPr>
        <w:t xml:space="preserve"> </w:t>
      </w:r>
      <w:r w:rsidRPr="00904375">
        <w:rPr>
          <w:rFonts w:hint="eastAsia"/>
          <w:rtl/>
        </w:rPr>
        <w:t>الدراسات</w:t>
      </w:r>
      <w:r w:rsidRPr="00904375">
        <w:rPr>
          <w:rtl/>
        </w:rPr>
        <w:t xml:space="preserve"> </w:t>
      </w:r>
      <w:r w:rsidRPr="00904375">
        <w:rPr>
          <w:rFonts w:hint="eastAsia"/>
          <w:rtl/>
        </w:rPr>
        <w:t>الإسلامية،</w:t>
      </w:r>
      <w:r w:rsidRPr="00904375">
        <w:rPr>
          <w:rtl/>
        </w:rPr>
        <w:t xml:space="preserve"> </w:t>
      </w:r>
      <w:r w:rsidRPr="00904375">
        <w:rPr>
          <w:rFonts w:hint="eastAsia"/>
          <w:rtl/>
        </w:rPr>
        <w:t>قسم</w:t>
      </w:r>
      <w:r w:rsidRPr="00904375">
        <w:rPr>
          <w:rtl/>
        </w:rPr>
        <w:t xml:space="preserve"> </w:t>
      </w:r>
      <w:r w:rsidRPr="00904375">
        <w:rPr>
          <w:rFonts w:hint="eastAsia"/>
          <w:rtl/>
        </w:rPr>
        <w:t>فقه</w:t>
      </w:r>
      <w:r w:rsidRPr="00904375">
        <w:rPr>
          <w:rtl/>
        </w:rPr>
        <w:t xml:space="preserve"> </w:t>
      </w:r>
      <w:r w:rsidRPr="00904375">
        <w:rPr>
          <w:rFonts w:hint="eastAsia"/>
          <w:rtl/>
        </w:rPr>
        <w:t>وأصوله،</w:t>
      </w:r>
      <w:r w:rsidRPr="00904375">
        <w:rPr>
          <w:rtl/>
        </w:rPr>
        <w:t xml:space="preserve"> </w:t>
      </w:r>
      <w:r w:rsidRPr="00904375">
        <w:rPr>
          <w:rFonts w:hint="eastAsia"/>
          <w:rtl/>
        </w:rPr>
        <w:t>كلية</w:t>
      </w:r>
      <w:r w:rsidRPr="00904375">
        <w:rPr>
          <w:rtl/>
        </w:rPr>
        <w:t xml:space="preserve"> </w:t>
      </w:r>
      <w:r w:rsidRPr="00904375">
        <w:rPr>
          <w:rFonts w:hint="eastAsia"/>
          <w:rtl/>
        </w:rPr>
        <w:t>الشريعة،</w:t>
      </w:r>
      <w:r w:rsidRPr="00904375">
        <w:rPr>
          <w:rtl/>
        </w:rPr>
        <w:t xml:space="preserve"> </w:t>
      </w:r>
      <w:r w:rsidRPr="00904375">
        <w:rPr>
          <w:rFonts w:hint="eastAsia"/>
          <w:rtl/>
        </w:rPr>
        <w:t>الجامعة</w:t>
      </w:r>
      <w:r w:rsidRPr="00904375">
        <w:rPr>
          <w:rtl/>
        </w:rPr>
        <w:t xml:space="preserve"> </w:t>
      </w:r>
      <w:r w:rsidRPr="00904375">
        <w:rPr>
          <w:rFonts w:hint="eastAsia"/>
          <w:rtl/>
        </w:rPr>
        <w:t>الأردنية</w:t>
      </w:r>
      <w:r w:rsidRPr="00904375">
        <w:rPr>
          <w:rtl/>
        </w:rPr>
        <w:t>.</w:t>
      </w:r>
    </w:p>
    <w:p w:rsidR="005F44B2" w:rsidRPr="00591A13" w:rsidRDefault="005F44B2" w:rsidP="005C61F9">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ماجة،</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يزيد</w:t>
      </w:r>
      <w:r w:rsidRPr="00591A13">
        <w:rPr>
          <w:rtl/>
        </w:rPr>
        <w:t xml:space="preserve"> </w:t>
      </w:r>
      <w:r w:rsidRPr="00591A13">
        <w:rPr>
          <w:rFonts w:hint="eastAsia"/>
          <w:rtl/>
        </w:rPr>
        <w:t>القزويني</w:t>
      </w:r>
      <w:r w:rsidRPr="00591A13">
        <w:rPr>
          <w:rtl/>
        </w:rPr>
        <w:t>(</w:t>
      </w:r>
      <w:r w:rsidRPr="00591A13">
        <w:rPr>
          <w:rFonts w:hint="eastAsia"/>
          <w:rtl/>
        </w:rPr>
        <w:t>ت</w:t>
      </w:r>
      <w:r w:rsidRPr="00591A13">
        <w:rPr>
          <w:rtl/>
        </w:rPr>
        <w:t xml:space="preserve"> 273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سنن</w:t>
      </w:r>
      <w:r w:rsidRPr="00591A13">
        <w:rPr>
          <w:b/>
          <w:bCs/>
          <w:rtl/>
        </w:rPr>
        <w:t xml:space="preserve"> </w:t>
      </w:r>
      <w:r w:rsidRPr="00591A13">
        <w:rPr>
          <w:rFonts w:hint="eastAsia"/>
          <w:b/>
          <w:bCs/>
          <w:rtl/>
        </w:rPr>
        <w:t>ابن</w:t>
      </w:r>
      <w:r w:rsidRPr="00591A13">
        <w:rPr>
          <w:b/>
          <w:bCs/>
          <w:rtl/>
        </w:rPr>
        <w:t xml:space="preserve"> </w:t>
      </w:r>
      <w:r w:rsidRPr="00591A13">
        <w:rPr>
          <w:rFonts w:hint="eastAsia"/>
          <w:b/>
          <w:bCs/>
          <w:rtl/>
        </w:rPr>
        <w:t>ماجة</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حقّقه</w:t>
      </w:r>
      <w:r w:rsidRPr="00591A13">
        <w:rPr>
          <w:rtl/>
        </w:rPr>
        <w:t xml:space="preserve"> </w:t>
      </w:r>
      <w:r w:rsidRPr="00591A13">
        <w:rPr>
          <w:rFonts w:hint="eastAsia"/>
          <w:rtl/>
        </w:rPr>
        <w:t>وخرّج</w:t>
      </w:r>
      <w:r w:rsidRPr="00591A13">
        <w:rPr>
          <w:rtl/>
        </w:rPr>
        <w:t xml:space="preserve"> </w:t>
      </w:r>
      <w:r w:rsidRPr="00591A13">
        <w:rPr>
          <w:rFonts w:hint="eastAsia"/>
          <w:rtl/>
        </w:rPr>
        <w:t>أحادثه</w:t>
      </w:r>
      <w:r w:rsidRPr="00591A13">
        <w:rPr>
          <w:rtl/>
        </w:rPr>
        <w:t xml:space="preserve"> </w:t>
      </w:r>
      <w:r w:rsidRPr="00591A13">
        <w:rPr>
          <w:rFonts w:hint="eastAsia"/>
          <w:rtl/>
        </w:rPr>
        <w:t>وعلّق</w:t>
      </w:r>
      <w:r w:rsidRPr="00591A13">
        <w:rPr>
          <w:rtl/>
        </w:rPr>
        <w:t xml:space="preserve"> </w:t>
      </w:r>
      <w:r w:rsidRPr="00591A13">
        <w:rPr>
          <w:rFonts w:hint="eastAsia"/>
          <w:rtl/>
        </w:rPr>
        <w:t>عليه</w:t>
      </w:r>
      <w:r w:rsidRPr="00591A13">
        <w:rPr>
          <w:rtl/>
        </w:rPr>
        <w:t xml:space="preserve"> </w:t>
      </w:r>
      <w:r w:rsidRPr="00591A13">
        <w:rPr>
          <w:rFonts w:hint="eastAsia"/>
          <w:rtl/>
        </w:rPr>
        <w:t>الدكتور</w:t>
      </w:r>
      <w:r w:rsidRPr="00591A13">
        <w:rPr>
          <w:rtl/>
        </w:rPr>
        <w:t xml:space="preserve"> </w:t>
      </w:r>
      <w:r w:rsidRPr="00591A13">
        <w:rPr>
          <w:rFonts w:hint="eastAsia"/>
          <w:rtl/>
        </w:rPr>
        <w:t>بشّار</w:t>
      </w:r>
      <w:r w:rsidRPr="00591A13">
        <w:rPr>
          <w:rtl/>
        </w:rPr>
        <w:t xml:space="preserve"> </w:t>
      </w:r>
      <w:r w:rsidRPr="00591A13">
        <w:rPr>
          <w:rFonts w:hint="eastAsia"/>
          <w:rtl/>
        </w:rPr>
        <w:t>عوّاد</w:t>
      </w:r>
      <w:r w:rsidRPr="00591A13">
        <w:rPr>
          <w:rtl/>
        </w:rPr>
        <w:t xml:space="preserve"> </w:t>
      </w:r>
      <w:r w:rsidRPr="00591A13">
        <w:rPr>
          <w:rFonts w:hint="eastAsia"/>
          <w:rtl/>
        </w:rPr>
        <w:t>معروف</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الجيل،</w:t>
      </w:r>
      <w:r w:rsidRPr="00591A13">
        <w:rPr>
          <w:rtl/>
        </w:rPr>
        <w:t xml:space="preserve"> </w:t>
      </w:r>
      <w:r w:rsidRPr="00591A13">
        <w:rPr>
          <w:rFonts w:hint="eastAsia"/>
          <w:rtl/>
        </w:rPr>
        <w:t>بيروت،</w:t>
      </w:r>
      <w:r w:rsidRPr="00591A13">
        <w:rPr>
          <w:rtl/>
        </w:rPr>
        <w:t xml:space="preserve"> 1998</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الماوردي،</w:t>
      </w:r>
      <w:r w:rsidRPr="00591A13">
        <w:rPr>
          <w:rtl/>
        </w:rPr>
        <w:t xml:space="preserve"> </w:t>
      </w:r>
      <w:r w:rsidRPr="00591A13">
        <w:rPr>
          <w:rFonts w:hint="eastAsia"/>
          <w:rtl/>
        </w:rPr>
        <w:t>ابو</w:t>
      </w:r>
      <w:r w:rsidRPr="00591A13">
        <w:rPr>
          <w:rtl/>
        </w:rPr>
        <w:t xml:space="preserve"> </w:t>
      </w:r>
      <w:r w:rsidRPr="00591A13">
        <w:rPr>
          <w:rFonts w:hint="eastAsia"/>
          <w:rtl/>
        </w:rPr>
        <w:t>الحسن</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حبيب</w:t>
      </w:r>
      <w:r w:rsidRPr="00591A13">
        <w:rPr>
          <w:rtl/>
        </w:rPr>
        <w:t xml:space="preserve"> </w:t>
      </w:r>
      <w:r w:rsidRPr="00591A13">
        <w:rPr>
          <w:rFonts w:hint="eastAsia"/>
          <w:rtl/>
        </w:rPr>
        <w:t>البصري</w:t>
      </w:r>
      <w:r w:rsidRPr="00591A13">
        <w:rPr>
          <w:rtl/>
        </w:rPr>
        <w:t xml:space="preserve"> </w:t>
      </w:r>
      <w:r w:rsidRPr="00591A13">
        <w:rPr>
          <w:rFonts w:hint="eastAsia"/>
          <w:rtl/>
        </w:rPr>
        <w:t>البغدادي،</w:t>
      </w:r>
      <w:r w:rsidRPr="00591A13">
        <w:rPr>
          <w:rtl/>
        </w:rPr>
        <w:t xml:space="preserve"> </w:t>
      </w:r>
      <w:r w:rsidRPr="00591A13">
        <w:rPr>
          <w:rFonts w:hint="eastAsia"/>
          <w:rtl/>
        </w:rPr>
        <w:t>الشهير</w:t>
      </w:r>
      <w:r w:rsidRPr="00591A13">
        <w:rPr>
          <w:rtl/>
        </w:rPr>
        <w:t xml:space="preserve"> </w:t>
      </w:r>
      <w:r w:rsidRPr="00591A13">
        <w:rPr>
          <w:rFonts w:hint="eastAsia"/>
          <w:rtl/>
        </w:rPr>
        <w:t>بالماوردي</w:t>
      </w:r>
      <w:r w:rsidRPr="00591A13">
        <w:rPr>
          <w:rtl/>
        </w:rPr>
        <w:t xml:space="preserve"> (</w:t>
      </w:r>
      <w:r w:rsidRPr="00591A13">
        <w:rPr>
          <w:rFonts w:hint="eastAsia"/>
          <w:rtl/>
        </w:rPr>
        <w:t>ت</w:t>
      </w:r>
      <w:r w:rsidRPr="00591A13">
        <w:rPr>
          <w:rtl/>
        </w:rPr>
        <w:t xml:space="preserve"> 450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الحاوي</w:t>
      </w:r>
      <w:r w:rsidRPr="00591A13">
        <w:rPr>
          <w:b/>
          <w:bCs/>
          <w:rtl/>
        </w:rPr>
        <w:t xml:space="preserve"> </w:t>
      </w:r>
      <w:r w:rsidRPr="00591A13">
        <w:rPr>
          <w:rFonts w:hint="eastAsia"/>
          <w:b/>
          <w:bCs/>
          <w:rtl/>
        </w:rPr>
        <w:t>الكبير</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فقه</w:t>
      </w:r>
      <w:r w:rsidRPr="00591A13">
        <w:rPr>
          <w:b/>
          <w:bCs/>
          <w:rtl/>
        </w:rPr>
        <w:t xml:space="preserve"> </w:t>
      </w:r>
      <w:r w:rsidRPr="00591A13">
        <w:rPr>
          <w:rFonts w:hint="eastAsia"/>
          <w:b/>
          <w:bCs/>
          <w:rtl/>
        </w:rPr>
        <w:t>مذهب</w:t>
      </w:r>
      <w:r w:rsidRPr="00591A13">
        <w:rPr>
          <w:b/>
          <w:bCs/>
          <w:rtl/>
        </w:rPr>
        <w:t xml:space="preserve"> </w:t>
      </w:r>
      <w:r w:rsidRPr="00591A13">
        <w:rPr>
          <w:rFonts w:hint="eastAsia"/>
          <w:b/>
          <w:bCs/>
          <w:rtl/>
        </w:rPr>
        <w:t>الإمام</w:t>
      </w:r>
      <w:r w:rsidRPr="00591A13">
        <w:rPr>
          <w:b/>
          <w:bCs/>
          <w:rtl/>
        </w:rPr>
        <w:t xml:space="preserve"> </w:t>
      </w:r>
      <w:r w:rsidRPr="00591A13">
        <w:rPr>
          <w:rFonts w:hint="eastAsia"/>
          <w:b/>
          <w:bCs/>
          <w:rtl/>
        </w:rPr>
        <w:t>الشافعي</w:t>
      </w:r>
      <w:r w:rsidRPr="00591A13">
        <w:rPr>
          <w:b/>
          <w:bCs/>
          <w:rtl/>
        </w:rPr>
        <w:t xml:space="preserve"> </w:t>
      </w:r>
      <w:r w:rsidRPr="00591A13">
        <w:rPr>
          <w:rFonts w:hint="eastAsia"/>
          <w:b/>
          <w:bCs/>
          <w:rtl/>
        </w:rPr>
        <w:t>وهو</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مختصر</w:t>
      </w:r>
      <w:r w:rsidRPr="00591A13">
        <w:rPr>
          <w:b/>
          <w:bCs/>
          <w:rtl/>
        </w:rPr>
        <w:t xml:space="preserve"> </w:t>
      </w:r>
      <w:r w:rsidRPr="00591A13">
        <w:rPr>
          <w:rFonts w:hint="eastAsia"/>
          <w:b/>
          <w:bCs/>
          <w:rtl/>
        </w:rPr>
        <w:t>المزني</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19</w:t>
      </w:r>
      <w:r w:rsidRPr="00591A13">
        <w:rPr>
          <w:rFonts w:hint="eastAsia"/>
          <w:rtl/>
        </w:rPr>
        <w:t>م،</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 xml:space="preserve"> 1419 </w:t>
      </w:r>
      <w:r w:rsidRPr="00591A13">
        <w:rPr>
          <w:rFonts w:hint="eastAsia"/>
          <w:rtl/>
        </w:rPr>
        <w:t>هـ</w:t>
      </w:r>
      <w:r w:rsidRPr="00591A13">
        <w:rPr>
          <w:rtl/>
        </w:rPr>
        <w:t xml:space="preserve"> /1999 </w:t>
      </w:r>
      <w:r w:rsidRPr="00591A13">
        <w:rPr>
          <w:rFonts w:hint="eastAsia"/>
          <w:rtl/>
        </w:rPr>
        <w:t>م</w:t>
      </w:r>
      <w:r w:rsidRPr="00591A13">
        <w:rPr>
          <w:rtl/>
        </w:rPr>
        <w:t>.</w:t>
      </w:r>
    </w:p>
    <w:p w:rsidR="005F44B2" w:rsidRPr="00591A13" w:rsidRDefault="005F44B2" w:rsidP="005211DB">
      <w:pPr>
        <w:pStyle w:val="Subtitle"/>
        <w:numPr>
          <w:ilvl w:val="0"/>
          <w:numId w:val="46"/>
        </w:numPr>
        <w:spacing w:line="259" w:lineRule="auto"/>
        <w:jc w:val="both"/>
      </w:pPr>
      <w:r w:rsidRPr="00591A13">
        <w:rPr>
          <w:rFonts w:hint="eastAsia"/>
          <w:rtl/>
        </w:rPr>
        <w:t>مجمع</w:t>
      </w:r>
      <w:r w:rsidRPr="00591A13">
        <w:rPr>
          <w:rtl/>
        </w:rPr>
        <w:t xml:space="preserve"> </w:t>
      </w:r>
      <w:r w:rsidRPr="00591A13">
        <w:rPr>
          <w:rFonts w:hint="eastAsia"/>
          <w:rtl/>
        </w:rPr>
        <w:t>اللغة</w:t>
      </w:r>
      <w:r w:rsidRPr="00591A13">
        <w:rPr>
          <w:rtl/>
        </w:rPr>
        <w:t xml:space="preserve"> </w:t>
      </w:r>
      <w:r w:rsidRPr="00591A13">
        <w:rPr>
          <w:rFonts w:hint="eastAsia"/>
          <w:rtl/>
        </w:rPr>
        <w:t>العربية</w:t>
      </w:r>
      <w:r w:rsidRPr="00591A13">
        <w:rPr>
          <w:rtl/>
        </w:rPr>
        <w:t xml:space="preserve"> </w:t>
      </w:r>
      <w:r w:rsidRPr="00591A13">
        <w:rPr>
          <w:rFonts w:hint="eastAsia"/>
          <w:rtl/>
        </w:rPr>
        <w:t>بالقاهرة</w:t>
      </w:r>
      <w:r w:rsidRPr="00591A13">
        <w:rPr>
          <w:rtl/>
        </w:rPr>
        <w:t>(</w:t>
      </w:r>
      <w:r w:rsidRPr="00591A13">
        <w:rPr>
          <w:rFonts w:hint="eastAsia"/>
          <w:rtl/>
        </w:rPr>
        <w:t>إبراهيم</w:t>
      </w:r>
      <w:r w:rsidRPr="00591A13">
        <w:rPr>
          <w:rtl/>
        </w:rPr>
        <w:t xml:space="preserve"> </w:t>
      </w:r>
      <w:r w:rsidRPr="00591A13">
        <w:rPr>
          <w:rFonts w:hint="eastAsia"/>
          <w:rtl/>
        </w:rPr>
        <w:t>مصطفى،</w:t>
      </w:r>
      <w:r w:rsidRPr="00591A13">
        <w:rPr>
          <w:rtl/>
        </w:rPr>
        <w:t xml:space="preserve"> </w:t>
      </w:r>
      <w:r w:rsidRPr="00591A13">
        <w:rPr>
          <w:rFonts w:hint="eastAsia"/>
          <w:rtl/>
        </w:rPr>
        <w:t>أحمد</w:t>
      </w:r>
      <w:r w:rsidRPr="00591A13">
        <w:rPr>
          <w:rtl/>
        </w:rPr>
        <w:t xml:space="preserve"> </w:t>
      </w:r>
      <w:r w:rsidRPr="00591A13">
        <w:rPr>
          <w:rFonts w:hint="eastAsia"/>
          <w:rtl/>
        </w:rPr>
        <w:t>الزيات،</w:t>
      </w:r>
      <w:r w:rsidRPr="00591A13">
        <w:rPr>
          <w:rtl/>
        </w:rPr>
        <w:t xml:space="preserve"> </w:t>
      </w:r>
      <w:r w:rsidRPr="00591A13">
        <w:rPr>
          <w:rFonts w:hint="eastAsia"/>
          <w:rtl/>
        </w:rPr>
        <w:t>حامد</w:t>
      </w:r>
      <w:r w:rsidRPr="00591A13">
        <w:rPr>
          <w:rtl/>
        </w:rPr>
        <w:t xml:space="preserve"> </w:t>
      </w:r>
      <w:r w:rsidRPr="00591A13">
        <w:rPr>
          <w:rFonts w:hint="eastAsia"/>
          <w:rtl/>
        </w:rPr>
        <w:t>عبد</w:t>
      </w:r>
      <w:r w:rsidRPr="00591A13">
        <w:rPr>
          <w:rtl/>
        </w:rPr>
        <w:t xml:space="preserve"> </w:t>
      </w:r>
      <w:r w:rsidRPr="00591A13">
        <w:rPr>
          <w:rFonts w:hint="eastAsia"/>
          <w:rtl/>
        </w:rPr>
        <w:t>القادر،</w:t>
      </w:r>
      <w:r w:rsidRPr="00591A13">
        <w:rPr>
          <w:rtl/>
        </w:rPr>
        <w:t xml:space="preserve"> </w:t>
      </w:r>
      <w:r w:rsidRPr="00591A13">
        <w:rPr>
          <w:rFonts w:hint="eastAsia"/>
          <w:rtl/>
        </w:rPr>
        <w:t>محمد</w:t>
      </w:r>
      <w:r w:rsidRPr="00591A13">
        <w:rPr>
          <w:rtl/>
        </w:rPr>
        <w:t xml:space="preserve"> </w:t>
      </w:r>
      <w:r w:rsidRPr="00591A13">
        <w:rPr>
          <w:rFonts w:hint="eastAsia"/>
          <w:rtl/>
        </w:rPr>
        <w:t>النجار</w:t>
      </w:r>
      <w:r w:rsidRPr="00591A13">
        <w:rPr>
          <w:rtl/>
        </w:rPr>
        <w:t>)</w:t>
      </w:r>
      <w:r>
        <w:rPr>
          <w:rtl/>
        </w:rPr>
        <w:t>(</w:t>
      </w:r>
      <w:r w:rsidRPr="00591A13">
        <w:rPr>
          <w:rtl/>
        </w:rPr>
        <w:t>2004</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المعجم</w:t>
      </w:r>
      <w:r w:rsidRPr="00591A13">
        <w:rPr>
          <w:b/>
          <w:bCs/>
          <w:rtl/>
        </w:rPr>
        <w:t xml:space="preserve"> </w:t>
      </w:r>
      <w:r w:rsidRPr="00591A13">
        <w:rPr>
          <w:rFonts w:hint="eastAsia"/>
          <w:b/>
          <w:bCs/>
          <w:rtl/>
        </w:rPr>
        <w:t>الوسيط</w:t>
      </w:r>
      <w:r w:rsidRPr="00591A13">
        <w:rPr>
          <w:rFonts w:hint="eastAsia"/>
          <w:rtl/>
        </w:rPr>
        <w:t>،</w:t>
      </w:r>
      <w:r w:rsidRPr="00591A13">
        <w:rPr>
          <w:rtl/>
        </w:rPr>
        <w:t xml:space="preserve"> </w:t>
      </w:r>
      <w:r w:rsidRPr="00591A13">
        <w:rPr>
          <w:rFonts w:hint="eastAsia"/>
          <w:rtl/>
        </w:rPr>
        <w:t>ط</w:t>
      </w:r>
      <w:r w:rsidRPr="00591A13">
        <w:rPr>
          <w:rtl/>
        </w:rPr>
        <w:t>4</w:t>
      </w:r>
      <w:r w:rsidRPr="00591A13">
        <w:rPr>
          <w:rFonts w:hint="eastAsia"/>
          <w:rtl/>
        </w:rPr>
        <w:t>،</w:t>
      </w:r>
      <w:r w:rsidRPr="00591A13">
        <w:rPr>
          <w:rtl/>
        </w:rPr>
        <w:t xml:space="preserve"> </w:t>
      </w:r>
      <w:r w:rsidRPr="00591A13">
        <w:rPr>
          <w:rFonts w:hint="eastAsia"/>
          <w:rtl/>
        </w:rPr>
        <w:t>مكتبة</w:t>
      </w:r>
      <w:r w:rsidRPr="00591A13">
        <w:rPr>
          <w:rtl/>
        </w:rPr>
        <w:t xml:space="preserve"> </w:t>
      </w:r>
      <w:r w:rsidRPr="00591A13">
        <w:rPr>
          <w:rFonts w:hint="eastAsia"/>
          <w:rtl/>
        </w:rPr>
        <w:t>الشروق</w:t>
      </w:r>
      <w:r w:rsidRPr="00591A13">
        <w:rPr>
          <w:rtl/>
        </w:rPr>
        <w:t xml:space="preserve"> </w:t>
      </w:r>
      <w:r w:rsidRPr="00591A13">
        <w:rPr>
          <w:rFonts w:hint="eastAsia"/>
          <w:rtl/>
        </w:rPr>
        <w:t>الدولية،</w:t>
      </w:r>
      <w:r w:rsidRPr="00591A13">
        <w:rPr>
          <w:rtl/>
        </w:rPr>
        <w:t>.</w:t>
      </w:r>
    </w:p>
    <w:p w:rsidR="005F44B2" w:rsidRPr="00591A13" w:rsidRDefault="005F44B2" w:rsidP="005211DB">
      <w:pPr>
        <w:pStyle w:val="Subtitle"/>
        <w:numPr>
          <w:ilvl w:val="0"/>
          <w:numId w:val="46"/>
        </w:numPr>
        <w:spacing w:line="259" w:lineRule="auto"/>
        <w:jc w:val="both"/>
      </w:pPr>
      <w:r w:rsidRPr="00591A13">
        <w:rPr>
          <w:rFonts w:hint="eastAsia"/>
          <w:rtl/>
        </w:rPr>
        <w:t>المحامي،</w:t>
      </w:r>
      <w:r w:rsidRPr="00591A13">
        <w:rPr>
          <w:rtl/>
        </w:rPr>
        <w:t xml:space="preserve"> </w:t>
      </w:r>
      <w:r w:rsidRPr="00591A13">
        <w:rPr>
          <w:rFonts w:hint="eastAsia"/>
          <w:rtl/>
        </w:rPr>
        <w:t>محمد</w:t>
      </w:r>
      <w:r w:rsidRPr="00591A13">
        <w:rPr>
          <w:rtl/>
        </w:rPr>
        <w:t xml:space="preserve"> </w:t>
      </w:r>
      <w:r w:rsidRPr="00591A13">
        <w:rPr>
          <w:rFonts w:hint="eastAsia"/>
          <w:rtl/>
        </w:rPr>
        <w:t>ف</w:t>
      </w:r>
      <w:r>
        <w:rPr>
          <w:rFonts w:hint="eastAsia"/>
          <w:rtl/>
        </w:rPr>
        <w:t>ريد</w:t>
      </w:r>
      <w:r>
        <w:rPr>
          <w:rtl/>
        </w:rPr>
        <w:t xml:space="preserve"> (</w:t>
      </w:r>
      <w:r>
        <w:rPr>
          <w:rFonts w:hint="eastAsia"/>
          <w:rtl/>
        </w:rPr>
        <w:t>بك</w:t>
      </w:r>
      <w:r>
        <w:rPr>
          <w:rtl/>
        </w:rPr>
        <w:t xml:space="preserve">) </w:t>
      </w:r>
      <w:r>
        <w:rPr>
          <w:rFonts w:hint="eastAsia"/>
          <w:rtl/>
        </w:rPr>
        <w:t>ابن</w:t>
      </w:r>
      <w:r>
        <w:rPr>
          <w:rtl/>
        </w:rPr>
        <w:t xml:space="preserve"> </w:t>
      </w:r>
      <w:r>
        <w:rPr>
          <w:rFonts w:hint="eastAsia"/>
          <w:rtl/>
        </w:rPr>
        <w:t>أحمد</w:t>
      </w:r>
      <w:r>
        <w:rPr>
          <w:rtl/>
        </w:rPr>
        <w:t xml:space="preserve"> </w:t>
      </w:r>
      <w:r>
        <w:rPr>
          <w:rFonts w:hint="eastAsia"/>
          <w:rtl/>
        </w:rPr>
        <w:t>فريد</w:t>
      </w:r>
      <w:r>
        <w:rPr>
          <w:rtl/>
        </w:rPr>
        <w:t xml:space="preserve"> (</w:t>
      </w:r>
      <w:r>
        <w:rPr>
          <w:rFonts w:hint="eastAsia"/>
          <w:rtl/>
        </w:rPr>
        <w:t>باشا</w:t>
      </w:r>
      <w:r>
        <w:rPr>
          <w:rtl/>
        </w:rPr>
        <w:t>) (</w:t>
      </w:r>
      <w:r w:rsidRPr="00591A13">
        <w:rPr>
          <w:rtl/>
        </w:rPr>
        <w:t>1981</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تاريخ</w:t>
      </w:r>
      <w:r w:rsidRPr="00591A13">
        <w:rPr>
          <w:b/>
          <w:bCs/>
          <w:rtl/>
        </w:rPr>
        <w:t xml:space="preserve"> </w:t>
      </w:r>
      <w:r w:rsidRPr="00591A13">
        <w:rPr>
          <w:rFonts w:hint="eastAsia"/>
          <w:b/>
          <w:bCs/>
          <w:rtl/>
        </w:rPr>
        <w:t>الدولة</w:t>
      </w:r>
      <w:r w:rsidRPr="00591A13">
        <w:rPr>
          <w:b/>
          <w:bCs/>
          <w:rtl/>
        </w:rPr>
        <w:t xml:space="preserve"> </w:t>
      </w:r>
      <w:r w:rsidRPr="00591A13">
        <w:rPr>
          <w:rFonts w:hint="eastAsia"/>
          <w:b/>
          <w:bCs/>
          <w:rtl/>
        </w:rPr>
        <w:t>العلية</w:t>
      </w:r>
      <w:r w:rsidRPr="00591A13">
        <w:rPr>
          <w:b/>
          <w:bCs/>
          <w:rtl/>
        </w:rPr>
        <w:t xml:space="preserve"> </w:t>
      </w:r>
      <w:r w:rsidRPr="00591A13">
        <w:rPr>
          <w:rFonts w:hint="eastAsia"/>
          <w:b/>
          <w:bCs/>
          <w:rtl/>
        </w:rPr>
        <w:t>العثمانية،</w:t>
      </w:r>
      <w:r w:rsidRPr="00591A13">
        <w:rPr>
          <w:rtl/>
        </w:rPr>
        <w:t xml:space="preserve"> </w:t>
      </w:r>
      <w:r w:rsidRPr="00591A13">
        <w:rPr>
          <w:rFonts w:hint="eastAsia"/>
          <w:rtl/>
        </w:rPr>
        <w:t>ط</w:t>
      </w:r>
      <w:r w:rsidRPr="00591A13">
        <w:rPr>
          <w:rtl/>
        </w:rPr>
        <w:t>1</w:t>
      </w:r>
      <w:r w:rsidRPr="00591A13">
        <w:rPr>
          <w:rFonts w:hint="eastAsia"/>
          <w:rtl/>
        </w:rPr>
        <w:t>،</w:t>
      </w:r>
      <w:r w:rsidRPr="00591A13">
        <w:rPr>
          <w:b/>
          <w:bCs/>
          <w:rtl/>
        </w:rPr>
        <w:t xml:space="preserve"> (</w:t>
      </w:r>
      <w:r w:rsidRPr="00591A13">
        <w:rPr>
          <w:rFonts w:hint="eastAsia"/>
          <w:rtl/>
        </w:rPr>
        <w:t>المحقق</w:t>
      </w:r>
      <w:r w:rsidRPr="00591A13">
        <w:rPr>
          <w:rtl/>
        </w:rPr>
        <w:t xml:space="preserve">: </w:t>
      </w:r>
      <w:r w:rsidRPr="00591A13">
        <w:rPr>
          <w:rFonts w:hint="eastAsia"/>
          <w:rtl/>
        </w:rPr>
        <w:t>إحسان</w:t>
      </w:r>
      <w:r w:rsidRPr="00591A13">
        <w:rPr>
          <w:rtl/>
        </w:rPr>
        <w:t xml:space="preserve"> </w:t>
      </w:r>
      <w:r w:rsidRPr="00591A13">
        <w:rPr>
          <w:rFonts w:hint="eastAsia"/>
          <w:rtl/>
        </w:rPr>
        <w:t>حقي</w:t>
      </w:r>
      <w:r w:rsidRPr="00591A13">
        <w:rPr>
          <w:rtl/>
        </w:rPr>
        <w:t>)</w:t>
      </w:r>
      <w:r w:rsidRPr="00591A13">
        <w:rPr>
          <w:rFonts w:hint="eastAsia"/>
          <w:rtl/>
        </w:rPr>
        <w:t>،</w:t>
      </w:r>
      <w:r w:rsidRPr="00591A13">
        <w:rPr>
          <w:rtl/>
        </w:rPr>
        <w:t xml:space="preserve"> </w:t>
      </w:r>
      <w:r w:rsidRPr="00591A13">
        <w:rPr>
          <w:rFonts w:hint="eastAsia"/>
          <w:rtl/>
        </w:rPr>
        <w:t>بيروت</w:t>
      </w:r>
      <w:r>
        <w:rPr>
          <w:rFonts w:hint="eastAsia"/>
          <w:rtl/>
        </w:rPr>
        <w:t>،دار</w:t>
      </w:r>
      <w:r>
        <w:rPr>
          <w:rtl/>
        </w:rPr>
        <w:t xml:space="preserve"> </w:t>
      </w:r>
      <w:r>
        <w:rPr>
          <w:rFonts w:hint="eastAsia"/>
          <w:rtl/>
        </w:rPr>
        <w:t>النفائس</w:t>
      </w:r>
      <w:r w:rsidRPr="00591A13">
        <w:rPr>
          <w:rtl/>
        </w:rPr>
        <w:t>.</w:t>
      </w:r>
    </w:p>
    <w:p w:rsidR="005F44B2" w:rsidRPr="00591A13" w:rsidRDefault="005F44B2" w:rsidP="004E5100">
      <w:pPr>
        <w:pStyle w:val="Subtitle"/>
        <w:numPr>
          <w:ilvl w:val="0"/>
          <w:numId w:val="46"/>
        </w:numPr>
        <w:spacing w:line="259" w:lineRule="auto"/>
        <w:jc w:val="both"/>
      </w:pP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فرامرز</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الشهير</w:t>
      </w:r>
      <w:r w:rsidRPr="00591A13">
        <w:rPr>
          <w:rtl/>
        </w:rPr>
        <w:t xml:space="preserve"> </w:t>
      </w:r>
      <w:r w:rsidRPr="00591A13">
        <w:rPr>
          <w:rFonts w:hint="eastAsia"/>
          <w:rtl/>
        </w:rPr>
        <w:t>بملا</w:t>
      </w:r>
      <w:r w:rsidRPr="00591A13">
        <w:rPr>
          <w:rtl/>
        </w:rPr>
        <w:t xml:space="preserve"> - </w:t>
      </w:r>
      <w:r w:rsidRPr="00591A13">
        <w:rPr>
          <w:rFonts w:hint="eastAsia"/>
          <w:rtl/>
        </w:rPr>
        <w:t>أو</w:t>
      </w:r>
      <w:r w:rsidRPr="00591A13">
        <w:rPr>
          <w:rtl/>
        </w:rPr>
        <w:t xml:space="preserve"> </w:t>
      </w:r>
      <w:r w:rsidRPr="00591A13">
        <w:rPr>
          <w:rFonts w:hint="eastAsia"/>
          <w:rtl/>
        </w:rPr>
        <w:t>منلا</w:t>
      </w:r>
      <w:r w:rsidRPr="00591A13">
        <w:rPr>
          <w:rtl/>
        </w:rPr>
        <w:t xml:space="preserve"> </w:t>
      </w:r>
      <w:r w:rsidRPr="00591A13">
        <w:rPr>
          <w:rFonts w:hint="eastAsia"/>
          <w:rtl/>
        </w:rPr>
        <w:t>أو</w:t>
      </w:r>
      <w:r w:rsidRPr="00591A13">
        <w:rPr>
          <w:rtl/>
        </w:rPr>
        <w:t xml:space="preserve"> </w:t>
      </w:r>
      <w:r w:rsidRPr="00591A13">
        <w:rPr>
          <w:rFonts w:hint="eastAsia"/>
          <w:rtl/>
        </w:rPr>
        <w:t>المولىخسرو</w:t>
      </w:r>
      <w:r w:rsidRPr="00591A13">
        <w:rPr>
          <w:rtl/>
        </w:rPr>
        <w:t xml:space="preserve"> (</w:t>
      </w:r>
      <w:r w:rsidRPr="00591A13">
        <w:rPr>
          <w:rFonts w:hint="eastAsia"/>
          <w:rtl/>
        </w:rPr>
        <w:t>ت</w:t>
      </w:r>
      <w:r w:rsidRPr="00591A13">
        <w:rPr>
          <w:rtl/>
        </w:rPr>
        <w:t>885</w:t>
      </w:r>
      <w:r w:rsidRPr="00591A13">
        <w:rPr>
          <w:rFonts w:hint="eastAsia"/>
          <w:rtl/>
        </w:rPr>
        <w:t>هـ</w:t>
      </w:r>
      <w:r w:rsidRPr="00591A13">
        <w:rPr>
          <w:rtl/>
        </w:rPr>
        <w:t>)</w:t>
      </w:r>
      <w:r w:rsidRPr="00591A13">
        <w:rPr>
          <w:rFonts w:hint="eastAsia"/>
          <w:rtl/>
        </w:rPr>
        <w:t>،</w:t>
      </w:r>
      <w:r w:rsidRPr="00591A13">
        <w:rPr>
          <w:rFonts w:hint="eastAsia"/>
          <w:b/>
          <w:bCs/>
          <w:rtl/>
        </w:rPr>
        <w:t>درر</w:t>
      </w:r>
      <w:r w:rsidRPr="00591A13">
        <w:rPr>
          <w:b/>
          <w:bCs/>
          <w:rtl/>
        </w:rPr>
        <w:t xml:space="preserve"> </w:t>
      </w:r>
      <w:r w:rsidRPr="00591A13">
        <w:rPr>
          <w:rFonts w:hint="eastAsia"/>
          <w:b/>
          <w:bCs/>
          <w:rtl/>
        </w:rPr>
        <w:t>الحكام</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غرر</w:t>
      </w:r>
      <w:r w:rsidRPr="00591A13">
        <w:rPr>
          <w:b/>
          <w:bCs/>
          <w:rtl/>
        </w:rPr>
        <w:t xml:space="preserve"> </w:t>
      </w:r>
      <w:r w:rsidRPr="00591A13">
        <w:rPr>
          <w:rFonts w:hint="eastAsia"/>
          <w:b/>
          <w:bCs/>
          <w:rtl/>
        </w:rPr>
        <w:t>الأحكام</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إحياء</w:t>
      </w:r>
      <w:r w:rsidRPr="00591A13">
        <w:rPr>
          <w:rtl/>
        </w:rPr>
        <w:t xml:space="preserve"> </w:t>
      </w:r>
      <w:r w:rsidRPr="00591A13">
        <w:rPr>
          <w:rFonts w:hint="eastAsia"/>
          <w:rtl/>
        </w:rPr>
        <w:t>الكتب</w:t>
      </w:r>
      <w:r w:rsidRPr="00591A13">
        <w:rPr>
          <w:rtl/>
        </w:rPr>
        <w:t xml:space="preserve"> </w:t>
      </w:r>
      <w:r w:rsidRPr="00591A13">
        <w:rPr>
          <w:rFonts w:hint="eastAsia"/>
          <w:rtl/>
        </w:rPr>
        <w:t>العربية</w:t>
      </w:r>
      <w:r w:rsidRPr="00591A13">
        <w:rPr>
          <w:rtl/>
        </w:rPr>
        <w:t>.</w:t>
      </w:r>
    </w:p>
    <w:p w:rsidR="005F44B2" w:rsidRPr="00591A13" w:rsidRDefault="005F44B2" w:rsidP="00DE691C">
      <w:pPr>
        <w:pStyle w:val="Subtitle"/>
        <w:numPr>
          <w:ilvl w:val="0"/>
          <w:numId w:val="46"/>
        </w:numPr>
        <w:spacing w:line="259" w:lineRule="auto"/>
        <w:jc w:val="both"/>
      </w:pPr>
      <w:r w:rsidRPr="00591A13">
        <w:rPr>
          <w:rFonts w:hint="eastAsia"/>
          <w:rtl/>
        </w:rPr>
        <w:t>محمصاني،</w:t>
      </w:r>
      <w:r w:rsidRPr="00591A13">
        <w:rPr>
          <w:rtl/>
        </w:rPr>
        <w:t xml:space="preserve"> </w:t>
      </w:r>
      <w:r w:rsidRPr="00591A13">
        <w:rPr>
          <w:rFonts w:hint="eastAsia"/>
          <w:rtl/>
        </w:rPr>
        <w:t>صبحي</w:t>
      </w:r>
      <w:r w:rsidRPr="00591A13">
        <w:rPr>
          <w:rtl/>
        </w:rPr>
        <w:t xml:space="preserve"> </w:t>
      </w:r>
      <w:r w:rsidRPr="00591A13">
        <w:rPr>
          <w:rFonts w:hint="eastAsia"/>
          <w:rtl/>
        </w:rPr>
        <w:t>رجب</w:t>
      </w:r>
      <w:r>
        <w:rPr>
          <w:rtl/>
        </w:rPr>
        <w:t xml:space="preserve"> (</w:t>
      </w:r>
      <w:r w:rsidRPr="00591A13">
        <w:rPr>
          <w:rtl/>
        </w:rPr>
        <w:t>1952</w:t>
      </w:r>
      <w:r w:rsidRPr="00591A13">
        <w:rPr>
          <w:rFonts w:hint="eastAsia"/>
          <w:rtl/>
        </w:rPr>
        <w:t>م</w:t>
      </w:r>
      <w:r>
        <w:rPr>
          <w:rtl/>
        </w:rPr>
        <w:t>)</w:t>
      </w:r>
      <w:r w:rsidRPr="00591A13">
        <w:rPr>
          <w:rFonts w:hint="eastAsia"/>
          <w:rtl/>
        </w:rPr>
        <w:t>،</w:t>
      </w:r>
      <w:r w:rsidRPr="00591A13">
        <w:rPr>
          <w:rtl/>
        </w:rPr>
        <w:t xml:space="preserve"> </w:t>
      </w:r>
      <w:r w:rsidRPr="00591A13">
        <w:rPr>
          <w:rFonts w:hint="eastAsia"/>
          <w:b/>
          <w:bCs/>
          <w:rtl/>
        </w:rPr>
        <w:t>فلسفة</w:t>
      </w:r>
      <w:r w:rsidRPr="00591A13">
        <w:rPr>
          <w:b/>
          <w:bCs/>
          <w:rtl/>
        </w:rPr>
        <w:t xml:space="preserve"> </w:t>
      </w:r>
      <w:r w:rsidRPr="00591A13">
        <w:rPr>
          <w:rFonts w:hint="eastAsia"/>
          <w:b/>
          <w:bCs/>
          <w:rtl/>
        </w:rPr>
        <w:t>التشريع</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الإسلام</w:t>
      </w:r>
      <w:r w:rsidRPr="00591A13">
        <w:rPr>
          <w:rFonts w:hint="eastAsia"/>
          <w:rtl/>
        </w:rPr>
        <w:t>،</w:t>
      </w:r>
      <w:r w:rsidRPr="00591A13">
        <w:rPr>
          <w:rtl/>
        </w:rPr>
        <w:t xml:space="preserve"> </w:t>
      </w:r>
      <w:r w:rsidRPr="00591A13">
        <w:rPr>
          <w:rFonts w:hint="eastAsia"/>
          <w:rtl/>
        </w:rPr>
        <w:t>ط</w:t>
      </w:r>
      <w:r w:rsidRPr="00591A13">
        <w:rPr>
          <w:rtl/>
        </w:rPr>
        <w:t>3</w:t>
      </w:r>
      <w:r w:rsidRPr="00591A13">
        <w:rPr>
          <w:rFonts w:hint="eastAsia"/>
          <w:rtl/>
        </w:rPr>
        <w:t>،</w:t>
      </w:r>
      <w:r w:rsidRPr="00591A13">
        <w:rPr>
          <w:rtl/>
        </w:rPr>
        <w:t xml:space="preserve"> </w:t>
      </w:r>
      <w:r w:rsidRPr="00591A13">
        <w:rPr>
          <w:rFonts w:hint="eastAsia"/>
          <w:rtl/>
        </w:rPr>
        <w:t>بيروت</w:t>
      </w:r>
      <w:r>
        <w:rPr>
          <w:rFonts w:hint="eastAsia"/>
          <w:rtl/>
        </w:rPr>
        <w:t>،دار</w:t>
      </w:r>
      <w:r>
        <w:rPr>
          <w:rtl/>
        </w:rPr>
        <w:t xml:space="preserve"> </w:t>
      </w:r>
      <w:r>
        <w:rPr>
          <w:rFonts w:hint="eastAsia"/>
          <w:rtl/>
        </w:rPr>
        <w:t>الكشّاف</w:t>
      </w:r>
      <w:r w:rsidRPr="00591A13">
        <w:rPr>
          <w:rtl/>
        </w:rPr>
        <w:t>.</w:t>
      </w:r>
    </w:p>
    <w:p w:rsidR="005F44B2" w:rsidRPr="00591A13" w:rsidRDefault="005F44B2" w:rsidP="005B5FC9">
      <w:pPr>
        <w:pStyle w:val="Subtitle"/>
        <w:numPr>
          <w:ilvl w:val="0"/>
          <w:numId w:val="46"/>
        </w:numPr>
        <w:spacing w:line="259" w:lineRule="auto"/>
        <w:jc w:val="both"/>
      </w:pPr>
      <w:r w:rsidRPr="00591A13">
        <w:rPr>
          <w:rFonts w:hint="eastAsia"/>
          <w:rtl/>
        </w:rPr>
        <w:t>المرغيناني،</w:t>
      </w:r>
      <w:r w:rsidRPr="00591A13">
        <w:rPr>
          <w:rtl/>
        </w:rPr>
        <w:t xml:space="preserve"> </w:t>
      </w:r>
      <w:r w:rsidRPr="00591A13">
        <w:rPr>
          <w:rFonts w:hint="eastAsia"/>
          <w:rtl/>
        </w:rPr>
        <w:t>علي</w:t>
      </w:r>
      <w:r w:rsidRPr="00591A13">
        <w:rPr>
          <w:rtl/>
        </w:rPr>
        <w:t xml:space="preserve"> </w:t>
      </w:r>
      <w:r w:rsidRPr="00591A13">
        <w:rPr>
          <w:rFonts w:hint="eastAsia"/>
          <w:rtl/>
        </w:rPr>
        <w:t>بن</w:t>
      </w:r>
      <w:r w:rsidRPr="00591A13">
        <w:rPr>
          <w:rtl/>
        </w:rPr>
        <w:t xml:space="preserve"> </w:t>
      </w:r>
      <w:r w:rsidRPr="00591A13">
        <w:rPr>
          <w:rFonts w:hint="eastAsia"/>
          <w:rtl/>
        </w:rPr>
        <w:t>أبي</w:t>
      </w:r>
      <w:r w:rsidRPr="00591A13">
        <w:rPr>
          <w:rtl/>
        </w:rPr>
        <w:t xml:space="preserve"> </w:t>
      </w:r>
      <w:r w:rsidRPr="00591A13">
        <w:rPr>
          <w:rFonts w:hint="eastAsia"/>
          <w:rtl/>
        </w:rPr>
        <w:t>بكر</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الجليل</w:t>
      </w:r>
      <w:r w:rsidRPr="00591A13">
        <w:rPr>
          <w:rtl/>
        </w:rPr>
        <w:t xml:space="preserve"> </w:t>
      </w:r>
      <w:r w:rsidRPr="00591A13">
        <w:rPr>
          <w:rFonts w:hint="eastAsia"/>
          <w:rtl/>
        </w:rPr>
        <w:t>الفرغاني</w:t>
      </w:r>
      <w:r w:rsidRPr="00591A13">
        <w:rPr>
          <w:rtl/>
        </w:rPr>
        <w:t xml:space="preserve"> </w:t>
      </w:r>
      <w:r w:rsidRPr="00591A13">
        <w:rPr>
          <w:rFonts w:hint="eastAsia"/>
          <w:rtl/>
        </w:rPr>
        <w:t>المرغيناني،</w:t>
      </w:r>
      <w:r w:rsidRPr="00591A13">
        <w:rPr>
          <w:rtl/>
        </w:rPr>
        <w:t xml:space="preserve"> </w:t>
      </w:r>
      <w:r w:rsidRPr="00591A13">
        <w:rPr>
          <w:rFonts w:hint="eastAsia"/>
          <w:rtl/>
        </w:rPr>
        <w:t>أبو</w:t>
      </w:r>
      <w:r w:rsidRPr="00591A13">
        <w:rPr>
          <w:rtl/>
        </w:rPr>
        <w:t xml:space="preserve"> </w:t>
      </w:r>
      <w:r w:rsidRPr="00591A13">
        <w:rPr>
          <w:rFonts w:hint="eastAsia"/>
          <w:rtl/>
        </w:rPr>
        <w:t>الحسن</w:t>
      </w:r>
      <w:r w:rsidRPr="00591A13">
        <w:rPr>
          <w:rtl/>
        </w:rPr>
        <w:t xml:space="preserve"> </w:t>
      </w:r>
      <w:r w:rsidRPr="00591A13">
        <w:rPr>
          <w:rFonts w:hint="eastAsia"/>
          <w:rtl/>
        </w:rPr>
        <w:t>برهان</w:t>
      </w:r>
      <w:r w:rsidRPr="00591A13">
        <w:rPr>
          <w:rtl/>
        </w:rPr>
        <w:t xml:space="preserve"> </w:t>
      </w:r>
      <w:r w:rsidRPr="00591A13">
        <w:rPr>
          <w:rFonts w:hint="eastAsia"/>
          <w:rtl/>
        </w:rPr>
        <w:t>الدين</w:t>
      </w:r>
      <w:r w:rsidRPr="00591A13">
        <w:rPr>
          <w:rtl/>
        </w:rPr>
        <w:t xml:space="preserve"> (</w:t>
      </w:r>
      <w:r w:rsidRPr="00591A13">
        <w:rPr>
          <w:rFonts w:hint="eastAsia"/>
          <w:rtl/>
        </w:rPr>
        <w:t>ت</w:t>
      </w:r>
      <w:r w:rsidRPr="00591A13">
        <w:rPr>
          <w:rtl/>
        </w:rPr>
        <w:t xml:space="preserve"> 593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الهداية</w:t>
      </w:r>
      <w:r w:rsidRPr="00591A13">
        <w:rPr>
          <w:b/>
          <w:bCs/>
          <w:rtl/>
        </w:rPr>
        <w:t xml:space="preserve"> </w:t>
      </w:r>
      <w:r w:rsidRPr="00591A13">
        <w:rPr>
          <w:rFonts w:hint="eastAsia"/>
          <w:b/>
          <w:bCs/>
          <w:rtl/>
        </w:rPr>
        <w:t>في</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بداية</w:t>
      </w:r>
      <w:r w:rsidRPr="00591A13">
        <w:rPr>
          <w:b/>
          <w:bCs/>
          <w:rtl/>
        </w:rPr>
        <w:t xml:space="preserve"> </w:t>
      </w:r>
      <w:r w:rsidRPr="00591A13">
        <w:rPr>
          <w:rFonts w:hint="eastAsia"/>
          <w:b/>
          <w:bCs/>
          <w:rtl/>
        </w:rPr>
        <w:t>المبتدي</w:t>
      </w:r>
      <w:r w:rsidRPr="00591A13">
        <w:rPr>
          <w:rFonts w:hint="eastAsia"/>
          <w:rtl/>
        </w:rPr>
        <w:t>،ط</w:t>
      </w:r>
      <w:r w:rsidRPr="00591A13">
        <w:rPr>
          <w:rtl/>
        </w:rPr>
        <w:t>1</w:t>
      </w:r>
      <w:r w:rsidRPr="00591A13">
        <w:rPr>
          <w:rFonts w:hint="eastAsia"/>
          <w:rtl/>
        </w:rPr>
        <w:t>،</w:t>
      </w:r>
      <w:r w:rsidRPr="00591A13">
        <w:rPr>
          <w:rtl/>
        </w:rPr>
        <w:t xml:space="preserve"> 4</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طلال</w:t>
      </w:r>
      <w:r w:rsidRPr="00591A13">
        <w:rPr>
          <w:rtl/>
        </w:rPr>
        <w:t xml:space="preserve"> </w:t>
      </w:r>
      <w:r w:rsidRPr="00591A13">
        <w:rPr>
          <w:rFonts w:hint="eastAsia"/>
          <w:rtl/>
        </w:rPr>
        <w:t>يوسف</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احياء</w:t>
      </w:r>
      <w:r w:rsidRPr="00591A13">
        <w:rPr>
          <w:rtl/>
        </w:rPr>
        <w:t xml:space="preserve"> </w:t>
      </w:r>
      <w:r w:rsidRPr="00591A13">
        <w:rPr>
          <w:rFonts w:hint="eastAsia"/>
          <w:rtl/>
        </w:rPr>
        <w:t>التراث</w:t>
      </w:r>
      <w:r w:rsidRPr="00591A13">
        <w:rPr>
          <w:rtl/>
        </w:rPr>
        <w:t xml:space="preserve"> </w:t>
      </w:r>
      <w:r w:rsidRPr="00591A13">
        <w:rPr>
          <w:rFonts w:hint="eastAsia"/>
          <w:rtl/>
        </w:rPr>
        <w:t>العربي،</w:t>
      </w:r>
      <w:r w:rsidRPr="00591A13">
        <w:rPr>
          <w:rtl/>
        </w:rPr>
        <w:t xml:space="preserve"> </w:t>
      </w:r>
      <w:r w:rsidRPr="00591A13">
        <w:rPr>
          <w:rFonts w:hint="eastAsia"/>
          <w:rtl/>
        </w:rPr>
        <w:t>بيروت،</w:t>
      </w:r>
      <w:r w:rsidRPr="00591A13">
        <w:rPr>
          <w:rtl/>
        </w:rPr>
        <w:t xml:space="preserve"> 1245</w:t>
      </w:r>
      <w:r w:rsidRPr="00591A13">
        <w:rPr>
          <w:rFonts w:hint="eastAsia"/>
          <w:rtl/>
        </w:rPr>
        <w:t>ه</w:t>
      </w:r>
      <w:r w:rsidRPr="00591A13">
        <w:t>‍</w:t>
      </w:r>
      <w:r w:rsidRPr="00591A13">
        <w:rPr>
          <w:rtl/>
        </w:rPr>
        <w:t>/2004</w:t>
      </w:r>
      <w:r w:rsidRPr="00591A13">
        <w:rPr>
          <w:rFonts w:hint="eastAsia"/>
          <w:rtl/>
        </w:rPr>
        <w:t>م</w:t>
      </w:r>
      <w:r w:rsidRPr="00591A13">
        <w:rPr>
          <w:rtl/>
        </w:rPr>
        <w:t>.</w:t>
      </w:r>
    </w:p>
    <w:p w:rsidR="005F44B2" w:rsidRPr="00591A13" w:rsidRDefault="005F44B2" w:rsidP="005B5FC9">
      <w:pPr>
        <w:pStyle w:val="Subtitle"/>
        <w:numPr>
          <w:ilvl w:val="0"/>
          <w:numId w:val="46"/>
        </w:numPr>
        <w:spacing w:line="259" w:lineRule="auto"/>
        <w:jc w:val="both"/>
      </w:pPr>
      <w:r w:rsidRPr="00591A13">
        <w:rPr>
          <w:rFonts w:hint="eastAsia"/>
          <w:rtl/>
        </w:rPr>
        <w:t>مسلم،</w:t>
      </w:r>
      <w:r w:rsidRPr="00591A13">
        <w:rPr>
          <w:rtl/>
        </w:rPr>
        <w:t xml:space="preserve"> </w:t>
      </w:r>
      <w:r w:rsidRPr="00591A13">
        <w:rPr>
          <w:rFonts w:hint="eastAsia"/>
          <w:rtl/>
        </w:rPr>
        <w:t>مسلم</w:t>
      </w:r>
      <w:r w:rsidRPr="00591A13">
        <w:rPr>
          <w:rtl/>
        </w:rPr>
        <w:t xml:space="preserve"> </w:t>
      </w:r>
      <w:r w:rsidRPr="00591A13">
        <w:rPr>
          <w:rFonts w:hint="eastAsia"/>
          <w:rtl/>
        </w:rPr>
        <w:t>بن</w:t>
      </w:r>
      <w:r w:rsidRPr="00591A13">
        <w:rPr>
          <w:rtl/>
        </w:rPr>
        <w:t xml:space="preserve"> </w:t>
      </w:r>
      <w:r w:rsidRPr="00591A13">
        <w:rPr>
          <w:rFonts w:hint="eastAsia"/>
          <w:rtl/>
        </w:rPr>
        <w:t>الحجاج</w:t>
      </w:r>
      <w:r w:rsidRPr="00591A13">
        <w:rPr>
          <w:rtl/>
        </w:rPr>
        <w:t xml:space="preserve"> </w:t>
      </w:r>
      <w:r w:rsidRPr="00591A13">
        <w:rPr>
          <w:rFonts w:hint="eastAsia"/>
          <w:rtl/>
        </w:rPr>
        <w:t>أبو</w:t>
      </w:r>
      <w:r w:rsidRPr="00591A13">
        <w:rPr>
          <w:rtl/>
        </w:rPr>
        <w:t xml:space="preserve"> </w:t>
      </w:r>
      <w:r w:rsidRPr="00591A13">
        <w:rPr>
          <w:rFonts w:hint="eastAsia"/>
          <w:rtl/>
        </w:rPr>
        <w:t>الحسن</w:t>
      </w:r>
      <w:r w:rsidRPr="00591A13">
        <w:rPr>
          <w:rtl/>
        </w:rPr>
        <w:t xml:space="preserve"> </w:t>
      </w:r>
      <w:r w:rsidRPr="00591A13">
        <w:rPr>
          <w:rFonts w:hint="eastAsia"/>
          <w:rtl/>
        </w:rPr>
        <w:t>القشيري</w:t>
      </w:r>
      <w:r w:rsidRPr="00591A13">
        <w:rPr>
          <w:rtl/>
        </w:rPr>
        <w:t xml:space="preserve"> </w:t>
      </w:r>
      <w:r w:rsidRPr="00591A13">
        <w:rPr>
          <w:rFonts w:hint="eastAsia"/>
          <w:rtl/>
        </w:rPr>
        <w:t>النيسابوري</w:t>
      </w:r>
      <w:r w:rsidRPr="00591A13">
        <w:rPr>
          <w:rtl/>
        </w:rPr>
        <w:t xml:space="preserve"> (</w:t>
      </w:r>
      <w:r w:rsidRPr="00591A13">
        <w:rPr>
          <w:rFonts w:hint="eastAsia"/>
          <w:rtl/>
        </w:rPr>
        <w:t>ت</w:t>
      </w:r>
      <w:r w:rsidRPr="00591A13">
        <w:rPr>
          <w:rtl/>
        </w:rPr>
        <w:t xml:space="preserve"> 261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المسند</w:t>
      </w:r>
      <w:r w:rsidRPr="00591A13">
        <w:rPr>
          <w:b/>
          <w:bCs/>
          <w:rtl/>
        </w:rPr>
        <w:t xml:space="preserve"> </w:t>
      </w:r>
      <w:r w:rsidRPr="00591A13">
        <w:rPr>
          <w:rFonts w:hint="eastAsia"/>
          <w:b/>
          <w:bCs/>
          <w:rtl/>
        </w:rPr>
        <w:t>الصحيح</w:t>
      </w:r>
      <w:r w:rsidRPr="00591A13">
        <w:rPr>
          <w:b/>
          <w:bCs/>
          <w:rtl/>
        </w:rPr>
        <w:t xml:space="preserve"> </w:t>
      </w:r>
      <w:r w:rsidRPr="00591A13">
        <w:rPr>
          <w:rFonts w:hint="eastAsia"/>
          <w:b/>
          <w:bCs/>
          <w:rtl/>
        </w:rPr>
        <w:t>المختصر</w:t>
      </w:r>
      <w:r w:rsidRPr="00591A13">
        <w:rPr>
          <w:b/>
          <w:bCs/>
          <w:rtl/>
        </w:rPr>
        <w:t xml:space="preserve"> </w:t>
      </w:r>
      <w:r w:rsidRPr="00591A13">
        <w:rPr>
          <w:rFonts w:hint="eastAsia"/>
          <w:b/>
          <w:bCs/>
          <w:rtl/>
        </w:rPr>
        <w:t>بنقل</w:t>
      </w:r>
      <w:r w:rsidRPr="00591A13">
        <w:rPr>
          <w:b/>
          <w:bCs/>
          <w:rtl/>
        </w:rPr>
        <w:t xml:space="preserve"> </w:t>
      </w:r>
      <w:r w:rsidRPr="00591A13">
        <w:rPr>
          <w:rFonts w:hint="eastAsia"/>
          <w:b/>
          <w:bCs/>
          <w:rtl/>
        </w:rPr>
        <w:t>العدل</w:t>
      </w:r>
      <w:r w:rsidRPr="00591A13">
        <w:rPr>
          <w:b/>
          <w:bCs/>
          <w:rtl/>
        </w:rPr>
        <w:t xml:space="preserve"> </w:t>
      </w:r>
      <w:r w:rsidRPr="00591A13">
        <w:rPr>
          <w:rFonts w:hint="eastAsia"/>
          <w:b/>
          <w:bCs/>
          <w:rtl/>
        </w:rPr>
        <w:t>عن</w:t>
      </w:r>
      <w:r w:rsidRPr="00591A13">
        <w:rPr>
          <w:b/>
          <w:bCs/>
          <w:rtl/>
        </w:rPr>
        <w:t xml:space="preserve"> </w:t>
      </w:r>
      <w:r w:rsidRPr="00591A13">
        <w:rPr>
          <w:rFonts w:hint="eastAsia"/>
          <w:b/>
          <w:bCs/>
          <w:rtl/>
        </w:rPr>
        <w:t>العدل</w:t>
      </w:r>
      <w:r w:rsidRPr="00591A13">
        <w:rPr>
          <w:b/>
          <w:bCs/>
          <w:rtl/>
        </w:rPr>
        <w:t xml:space="preserve"> </w:t>
      </w:r>
      <w:r w:rsidRPr="00591A13">
        <w:rPr>
          <w:rFonts w:hint="eastAsia"/>
          <w:b/>
          <w:bCs/>
          <w:rtl/>
        </w:rPr>
        <w:t>إلى</w:t>
      </w:r>
      <w:r w:rsidRPr="00591A13">
        <w:rPr>
          <w:b/>
          <w:bCs/>
          <w:rtl/>
        </w:rPr>
        <w:t xml:space="preserve"> </w:t>
      </w:r>
      <w:r w:rsidRPr="00591A13">
        <w:rPr>
          <w:rFonts w:hint="eastAsia"/>
          <w:b/>
          <w:bCs/>
          <w:rtl/>
        </w:rPr>
        <w:t>رسول</w:t>
      </w:r>
      <w:r w:rsidRPr="00591A13">
        <w:rPr>
          <w:b/>
          <w:bCs/>
          <w:rtl/>
        </w:rPr>
        <w:t xml:space="preserve"> </w:t>
      </w:r>
      <w:r w:rsidRPr="00591A13">
        <w:rPr>
          <w:rFonts w:hint="eastAsia"/>
          <w:b/>
          <w:bCs/>
          <w:rtl/>
        </w:rPr>
        <w:t>الله</w:t>
      </w:r>
      <w:r w:rsidRPr="00591A13">
        <w:rPr>
          <w:b/>
          <w:bCs/>
          <w:rtl/>
        </w:rPr>
        <w:t xml:space="preserve"> </w:t>
      </w:r>
      <w:r w:rsidRPr="00591A13">
        <w:rPr>
          <w:rFonts w:hint="eastAsia"/>
          <w:b/>
          <w:bCs/>
          <w:rtl/>
        </w:rPr>
        <w:t>صلى</w:t>
      </w:r>
      <w:r w:rsidRPr="00591A13">
        <w:rPr>
          <w:b/>
          <w:bCs/>
          <w:rtl/>
        </w:rPr>
        <w:t xml:space="preserve"> </w:t>
      </w:r>
      <w:r w:rsidRPr="00591A13">
        <w:rPr>
          <w:rFonts w:hint="eastAsia"/>
          <w:b/>
          <w:bCs/>
          <w:rtl/>
        </w:rPr>
        <w:t>الله</w:t>
      </w:r>
      <w:r w:rsidRPr="00591A13">
        <w:rPr>
          <w:b/>
          <w:bCs/>
          <w:rtl/>
        </w:rPr>
        <w:t xml:space="preserve"> </w:t>
      </w:r>
      <w:r w:rsidRPr="00591A13">
        <w:rPr>
          <w:rFonts w:hint="eastAsia"/>
          <w:b/>
          <w:bCs/>
          <w:rtl/>
        </w:rPr>
        <w:t>عليه</w:t>
      </w:r>
      <w:r w:rsidRPr="00591A13">
        <w:rPr>
          <w:b/>
          <w:bCs/>
          <w:rtl/>
        </w:rPr>
        <w:t xml:space="preserve"> </w:t>
      </w:r>
      <w:r w:rsidRPr="00591A13">
        <w:rPr>
          <w:rFonts w:hint="eastAsia"/>
          <w:b/>
          <w:bCs/>
          <w:rtl/>
        </w:rPr>
        <w:t>وسلم</w:t>
      </w:r>
      <w:r w:rsidRPr="00591A13">
        <w:rPr>
          <w:b/>
          <w:bCs/>
          <w:rtl/>
        </w:rPr>
        <w:t xml:space="preserve"> (</w:t>
      </w:r>
      <w:r w:rsidRPr="00591A13">
        <w:rPr>
          <w:rFonts w:hint="eastAsia"/>
          <w:b/>
          <w:bCs/>
          <w:rtl/>
        </w:rPr>
        <w:t>صحيح</w:t>
      </w:r>
      <w:r w:rsidRPr="00591A13">
        <w:rPr>
          <w:b/>
          <w:bCs/>
          <w:rtl/>
        </w:rPr>
        <w:t xml:space="preserve"> </w:t>
      </w:r>
      <w:r w:rsidRPr="00591A13">
        <w:rPr>
          <w:rFonts w:hint="eastAsia"/>
          <w:b/>
          <w:bCs/>
          <w:rtl/>
        </w:rPr>
        <w:t>مسلم</w:t>
      </w:r>
      <w:r w:rsidRPr="00591A13">
        <w:rPr>
          <w:b/>
          <w:bCs/>
          <w:rtl/>
        </w:rPr>
        <w:t>)</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المحقق</w:t>
      </w:r>
      <w:r w:rsidRPr="00591A13">
        <w:rPr>
          <w:rtl/>
        </w:rPr>
        <w:t xml:space="preserve">: </w:t>
      </w:r>
      <w:r w:rsidRPr="00591A13">
        <w:rPr>
          <w:rFonts w:hint="eastAsia"/>
          <w:rtl/>
        </w:rPr>
        <w:t>محمد</w:t>
      </w:r>
      <w:r w:rsidRPr="00591A13">
        <w:rPr>
          <w:rtl/>
        </w:rPr>
        <w:t xml:space="preserve"> </w:t>
      </w:r>
      <w:r w:rsidRPr="00591A13">
        <w:rPr>
          <w:rFonts w:hint="eastAsia"/>
          <w:rtl/>
        </w:rPr>
        <w:t>فؤاد</w:t>
      </w:r>
      <w:r w:rsidRPr="00591A13">
        <w:rPr>
          <w:rtl/>
        </w:rPr>
        <w:t xml:space="preserve"> </w:t>
      </w:r>
      <w:r w:rsidRPr="00591A13">
        <w:rPr>
          <w:rFonts w:hint="eastAsia"/>
          <w:rtl/>
        </w:rPr>
        <w:t>عبد</w:t>
      </w:r>
      <w:r w:rsidRPr="00591A13">
        <w:rPr>
          <w:rtl/>
        </w:rPr>
        <w:t xml:space="preserve"> </w:t>
      </w:r>
      <w:r w:rsidRPr="00591A13">
        <w:rPr>
          <w:rFonts w:hint="eastAsia"/>
          <w:rtl/>
        </w:rPr>
        <w:t>الباقي</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إحياء</w:t>
      </w:r>
      <w:r w:rsidRPr="00591A13">
        <w:rPr>
          <w:rtl/>
        </w:rPr>
        <w:t xml:space="preserve"> </w:t>
      </w:r>
      <w:r w:rsidRPr="00591A13">
        <w:rPr>
          <w:rFonts w:hint="eastAsia"/>
          <w:rtl/>
        </w:rPr>
        <w:t>كتب</w:t>
      </w:r>
      <w:r w:rsidRPr="00591A13">
        <w:rPr>
          <w:rtl/>
        </w:rPr>
        <w:t xml:space="preserve"> </w:t>
      </w:r>
      <w:r w:rsidRPr="00591A13">
        <w:rPr>
          <w:rFonts w:hint="eastAsia"/>
          <w:rtl/>
        </w:rPr>
        <w:t>العربية،</w:t>
      </w:r>
      <w:r w:rsidRPr="00591A13">
        <w:rPr>
          <w:rtl/>
        </w:rPr>
        <w:t xml:space="preserve"> </w:t>
      </w:r>
      <w:r w:rsidRPr="00591A13">
        <w:rPr>
          <w:rFonts w:hint="eastAsia"/>
          <w:rtl/>
        </w:rPr>
        <w:t>بيروت،</w:t>
      </w:r>
      <w:r w:rsidRPr="00591A13">
        <w:rPr>
          <w:rtl/>
        </w:rPr>
        <w:t xml:space="preserve"> 1991</w:t>
      </w:r>
      <w:r w:rsidRPr="00591A13">
        <w:rPr>
          <w:rFonts w:hint="eastAsia"/>
          <w:rtl/>
        </w:rPr>
        <w:t>م</w:t>
      </w:r>
      <w:r w:rsidRPr="00591A13">
        <w:rPr>
          <w:rtl/>
        </w:rPr>
        <w:t>.</w:t>
      </w:r>
    </w:p>
    <w:p w:rsidR="005F44B2" w:rsidRPr="00591A13" w:rsidRDefault="005F44B2" w:rsidP="005B5FC9">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منظور،</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مكرم</w:t>
      </w:r>
      <w:r w:rsidRPr="00591A13">
        <w:rPr>
          <w:rtl/>
        </w:rPr>
        <w:t xml:space="preserve"> </w:t>
      </w:r>
      <w:r w:rsidRPr="00591A13">
        <w:rPr>
          <w:rFonts w:hint="eastAsia"/>
          <w:rtl/>
        </w:rPr>
        <w:t>بن</w:t>
      </w:r>
      <w:r w:rsidRPr="00591A13">
        <w:rPr>
          <w:rtl/>
        </w:rPr>
        <w:t xml:space="preserve"> </w:t>
      </w:r>
      <w:r w:rsidRPr="00591A13">
        <w:rPr>
          <w:rFonts w:hint="eastAsia"/>
          <w:rtl/>
        </w:rPr>
        <w:t>على،</w:t>
      </w:r>
      <w:r w:rsidRPr="00591A13">
        <w:rPr>
          <w:rtl/>
        </w:rPr>
        <w:t xml:space="preserve"> </w:t>
      </w:r>
      <w:r w:rsidRPr="00591A13">
        <w:rPr>
          <w:rFonts w:hint="eastAsia"/>
          <w:rtl/>
        </w:rPr>
        <w:t>أبو</w:t>
      </w:r>
      <w:r w:rsidRPr="00591A13">
        <w:rPr>
          <w:rtl/>
        </w:rPr>
        <w:t xml:space="preserve"> </w:t>
      </w:r>
      <w:r w:rsidRPr="00591A13">
        <w:rPr>
          <w:rFonts w:hint="eastAsia"/>
          <w:rtl/>
        </w:rPr>
        <w:t>الفضل،</w:t>
      </w:r>
      <w:r w:rsidRPr="00591A13">
        <w:rPr>
          <w:rtl/>
        </w:rPr>
        <w:t xml:space="preserve"> </w:t>
      </w:r>
      <w:r w:rsidRPr="00591A13">
        <w:rPr>
          <w:rFonts w:hint="eastAsia"/>
          <w:rtl/>
        </w:rPr>
        <w:t>جمال</w:t>
      </w:r>
      <w:r w:rsidRPr="00591A13">
        <w:rPr>
          <w:rtl/>
        </w:rPr>
        <w:t xml:space="preserve"> </w:t>
      </w:r>
      <w:r w:rsidRPr="00591A13">
        <w:rPr>
          <w:rFonts w:hint="eastAsia"/>
          <w:rtl/>
        </w:rPr>
        <w:t>الدين</w:t>
      </w:r>
      <w:r w:rsidRPr="00591A13">
        <w:rPr>
          <w:rtl/>
        </w:rPr>
        <w:t xml:space="preserve"> </w:t>
      </w:r>
      <w:r w:rsidRPr="00591A13">
        <w:rPr>
          <w:rFonts w:hint="eastAsia"/>
          <w:rtl/>
        </w:rPr>
        <w:t>ابن</w:t>
      </w:r>
      <w:r w:rsidRPr="00591A13">
        <w:rPr>
          <w:rtl/>
        </w:rPr>
        <w:t xml:space="preserve"> </w:t>
      </w:r>
      <w:r w:rsidRPr="00591A13">
        <w:rPr>
          <w:rFonts w:hint="eastAsia"/>
          <w:rtl/>
        </w:rPr>
        <w:t>منظور</w:t>
      </w:r>
      <w:r w:rsidRPr="00591A13">
        <w:rPr>
          <w:rtl/>
        </w:rPr>
        <w:t xml:space="preserve"> </w:t>
      </w:r>
      <w:r w:rsidRPr="00591A13">
        <w:rPr>
          <w:rFonts w:hint="eastAsia"/>
          <w:rtl/>
        </w:rPr>
        <w:t>الأنصاري</w:t>
      </w:r>
      <w:r w:rsidRPr="00591A13">
        <w:rPr>
          <w:rtl/>
        </w:rPr>
        <w:t xml:space="preserve"> </w:t>
      </w:r>
      <w:r w:rsidRPr="00591A13">
        <w:rPr>
          <w:rFonts w:hint="eastAsia"/>
          <w:rtl/>
        </w:rPr>
        <w:t>الرويفعى</w:t>
      </w:r>
      <w:r w:rsidRPr="00591A13">
        <w:rPr>
          <w:rtl/>
        </w:rPr>
        <w:t xml:space="preserve"> </w:t>
      </w:r>
      <w:r w:rsidRPr="00591A13">
        <w:rPr>
          <w:rFonts w:hint="eastAsia"/>
          <w:rtl/>
        </w:rPr>
        <w:t>الإفريقى</w:t>
      </w:r>
      <w:r w:rsidRPr="00591A13">
        <w:rPr>
          <w:rtl/>
        </w:rPr>
        <w:t xml:space="preserve"> (</w:t>
      </w:r>
      <w:r>
        <w:rPr>
          <w:rFonts w:hint="eastAsia"/>
          <w:rtl/>
        </w:rPr>
        <w:t>ت</w:t>
      </w:r>
      <w:r>
        <w:rPr>
          <w:rtl/>
        </w:rPr>
        <w:t xml:space="preserve"> </w:t>
      </w:r>
      <w:r w:rsidRPr="00591A13">
        <w:rPr>
          <w:rtl/>
        </w:rPr>
        <w:t>711</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لسان</w:t>
      </w:r>
      <w:r w:rsidRPr="00591A13">
        <w:rPr>
          <w:b/>
          <w:bCs/>
          <w:rtl/>
        </w:rPr>
        <w:t xml:space="preserve"> </w:t>
      </w:r>
      <w:r w:rsidRPr="00591A13">
        <w:rPr>
          <w:rFonts w:hint="eastAsia"/>
          <w:b/>
          <w:bCs/>
          <w:rtl/>
        </w:rPr>
        <w:t>العرب</w:t>
      </w:r>
      <w:r w:rsidRPr="00591A13">
        <w:rPr>
          <w:rFonts w:hint="eastAsia"/>
          <w:rtl/>
        </w:rPr>
        <w:t>،</w:t>
      </w:r>
      <w:r w:rsidRPr="00591A13">
        <w:rPr>
          <w:rtl/>
        </w:rPr>
        <w:t xml:space="preserve"> 6</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عبدالله</w:t>
      </w:r>
      <w:r w:rsidRPr="00591A13">
        <w:rPr>
          <w:rtl/>
        </w:rPr>
        <w:t xml:space="preserve"> </w:t>
      </w:r>
      <w:r w:rsidRPr="00591A13">
        <w:rPr>
          <w:rFonts w:hint="eastAsia"/>
          <w:rtl/>
        </w:rPr>
        <w:t>على</w:t>
      </w:r>
      <w:r w:rsidRPr="00591A13">
        <w:rPr>
          <w:rtl/>
        </w:rPr>
        <w:t xml:space="preserve"> </w:t>
      </w:r>
      <w:r w:rsidRPr="00591A13">
        <w:rPr>
          <w:rFonts w:hint="eastAsia"/>
          <w:rtl/>
        </w:rPr>
        <w:t>الكبير</w:t>
      </w:r>
      <w:r w:rsidRPr="00591A13">
        <w:rPr>
          <w:rtl/>
        </w:rPr>
        <w:t>-</w:t>
      </w:r>
      <w:r w:rsidRPr="00591A13">
        <w:rPr>
          <w:rFonts w:hint="eastAsia"/>
          <w:rtl/>
        </w:rPr>
        <w:t>محمد</w:t>
      </w:r>
      <w:r w:rsidRPr="00591A13">
        <w:rPr>
          <w:rtl/>
        </w:rPr>
        <w:t xml:space="preserve"> </w:t>
      </w:r>
      <w:r w:rsidRPr="00591A13">
        <w:rPr>
          <w:rFonts w:hint="eastAsia"/>
          <w:rtl/>
        </w:rPr>
        <w:t>أحمد</w:t>
      </w:r>
      <w:r w:rsidRPr="00591A13">
        <w:rPr>
          <w:rtl/>
        </w:rPr>
        <w:t xml:space="preserve"> </w:t>
      </w:r>
      <w:r w:rsidRPr="00591A13">
        <w:rPr>
          <w:rFonts w:hint="eastAsia"/>
          <w:rtl/>
        </w:rPr>
        <w:t>حسبالله</w:t>
      </w:r>
      <w:r w:rsidRPr="00591A13">
        <w:rPr>
          <w:rtl/>
        </w:rPr>
        <w:t>-</w:t>
      </w:r>
      <w:r w:rsidRPr="00591A13">
        <w:rPr>
          <w:rFonts w:hint="eastAsia"/>
          <w:rtl/>
        </w:rPr>
        <w:t>حاشم</w:t>
      </w:r>
      <w:r w:rsidRPr="00591A13">
        <w:rPr>
          <w:rtl/>
        </w:rPr>
        <w:t xml:space="preserve"> </w:t>
      </w:r>
      <w:r w:rsidRPr="00591A13">
        <w:rPr>
          <w:rFonts w:hint="eastAsia"/>
          <w:rtl/>
        </w:rPr>
        <w:t>محمد</w:t>
      </w:r>
      <w:r w:rsidRPr="00591A13">
        <w:rPr>
          <w:rtl/>
        </w:rPr>
        <w:t xml:space="preserve"> </w:t>
      </w:r>
      <w:r w:rsidRPr="00591A13">
        <w:rPr>
          <w:rFonts w:hint="eastAsia"/>
          <w:rtl/>
        </w:rPr>
        <w:t>الشاذلى</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المعارف،القاهرة،</w:t>
      </w:r>
      <w:r w:rsidRPr="00591A13">
        <w:rPr>
          <w:rtl/>
        </w:rPr>
        <w:t xml:space="preserve">  1119.</w:t>
      </w:r>
    </w:p>
    <w:p w:rsidR="005F44B2" w:rsidRPr="00591A13" w:rsidRDefault="005F44B2" w:rsidP="00DE691C">
      <w:pPr>
        <w:pStyle w:val="Subtitle"/>
        <w:numPr>
          <w:ilvl w:val="0"/>
          <w:numId w:val="46"/>
        </w:numPr>
        <w:spacing w:line="259" w:lineRule="auto"/>
        <w:jc w:val="both"/>
      </w:pPr>
      <w:r w:rsidRPr="00591A13">
        <w:rPr>
          <w:rFonts w:hint="eastAsia"/>
          <w:b/>
          <w:bCs/>
          <w:rtl/>
        </w:rPr>
        <w:t>الموسوعة</w:t>
      </w:r>
      <w:r w:rsidRPr="00591A13">
        <w:rPr>
          <w:b/>
          <w:bCs/>
          <w:rtl/>
        </w:rPr>
        <w:t xml:space="preserve"> </w:t>
      </w:r>
      <w:r w:rsidRPr="00591A13">
        <w:rPr>
          <w:rFonts w:hint="eastAsia"/>
          <w:b/>
          <w:bCs/>
          <w:rtl/>
        </w:rPr>
        <w:t>الفقهية</w:t>
      </w:r>
      <w:r w:rsidRPr="00591A13">
        <w:rPr>
          <w:b/>
          <w:bCs/>
          <w:rtl/>
        </w:rPr>
        <w:t xml:space="preserve"> </w:t>
      </w:r>
      <w:r w:rsidRPr="00591A13">
        <w:rPr>
          <w:rFonts w:hint="eastAsia"/>
          <w:b/>
          <w:bCs/>
          <w:rtl/>
        </w:rPr>
        <w:t>الكويتية</w:t>
      </w:r>
      <w:r w:rsidRPr="00591A13">
        <w:rPr>
          <w:rFonts w:hint="eastAsia"/>
          <w:rtl/>
        </w:rPr>
        <w:t>،</w:t>
      </w:r>
      <w:r w:rsidRPr="00591A13">
        <w:rPr>
          <w:rtl/>
        </w:rPr>
        <w:t xml:space="preserve"> </w:t>
      </w:r>
      <w:r w:rsidRPr="00591A13">
        <w:rPr>
          <w:rFonts w:hint="eastAsia"/>
          <w:rtl/>
        </w:rPr>
        <w:t>الطبعة</w:t>
      </w:r>
      <w:r w:rsidRPr="00591A13">
        <w:rPr>
          <w:rtl/>
        </w:rPr>
        <w:t xml:space="preserve">: </w:t>
      </w:r>
      <w:r w:rsidRPr="00591A13">
        <w:rPr>
          <w:rFonts w:hint="eastAsia"/>
          <w:rtl/>
        </w:rPr>
        <w:t>من</w:t>
      </w:r>
      <w:r w:rsidRPr="00591A13">
        <w:rPr>
          <w:rtl/>
        </w:rPr>
        <w:t xml:space="preserve"> 1404 - 1427 </w:t>
      </w:r>
      <w:r w:rsidRPr="00591A13">
        <w:rPr>
          <w:rFonts w:hint="eastAsia"/>
          <w:rtl/>
        </w:rPr>
        <w:t>هـوزارة</w:t>
      </w:r>
      <w:r w:rsidRPr="00591A13">
        <w:rPr>
          <w:rtl/>
        </w:rPr>
        <w:t xml:space="preserve"> </w:t>
      </w:r>
      <w:r w:rsidRPr="00591A13">
        <w:rPr>
          <w:rFonts w:hint="eastAsia"/>
          <w:rtl/>
        </w:rPr>
        <w:t>الأوقاف</w:t>
      </w:r>
      <w:r w:rsidRPr="00591A13">
        <w:rPr>
          <w:rtl/>
        </w:rPr>
        <w:t xml:space="preserve"> </w:t>
      </w:r>
      <w:r w:rsidRPr="00591A13">
        <w:rPr>
          <w:rFonts w:hint="eastAsia"/>
          <w:rtl/>
        </w:rPr>
        <w:t>والشئون</w:t>
      </w:r>
      <w:r w:rsidRPr="00591A13">
        <w:rPr>
          <w:rtl/>
        </w:rPr>
        <w:t xml:space="preserve"> </w:t>
      </w:r>
      <w:r w:rsidRPr="00591A13">
        <w:rPr>
          <w:rFonts w:hint="eastAsia"/>
          <w:rtl/>
        </w:rPr>
        <w:t>الإسلامية،</w:t>
      </w:r>
      <w:r w:rsidRPr="00591A13">
        <w:rPr>
          <w:rtl/>
        </w:rPr>
        <w:t xml:space="preserve"> </w:t>
      </w:r>
      <w:r w:rsidRPr="00591A13">
        <w:rPr>
          <w:rFonts w:hint="eastAsia"/>
          <w:rtl/>
        </w:rPr>
        <w:t>الكويت</w:t>
      </w:r>
      <w:r w:rsidRPr="00591A13">
        <w:rPr>
          <w:rtl/>
        </w:rPr>
        <w:t>.</w:t>
      </w:r>
    </w:p>
    <w:p w:rsidR="005F44B2" w:rsidRPr="00591A13" w:rsidRDefault="005F44B2" w:rsidP="00C14DC0">
      <w:pPr>
        <w:pStyle w:val="Subtitle"/>
        <w:numPr>
          <w:ilvl w:val="0"/>
          <w:numId w:val="46"/>
        </w:numPr>
        <w:spacing w:line="259" w:lineRule="auto"/>
        <w:jc w:val="both"/>
      </w:pPr>
      <w:r w:rsidRPr="00591A13">
        <w:rPr>
          <w:rFonts w:hint="eastAsia"/>
          <w:rtl/>
        </w:rPr>
        <w:t>الموصلي،</w:t>
      </w:r>
      <w:r w:rsidRPr="00591A13">
        <w:rPr>
          <w:rtl/>
        </w:rPr>
        <w:t xml:space="preserve"> </w:t>
      </w:r>
      <w:r w:rsidRPr="00591A13">
        <w:rPr>
          <w:rFonts w:hint="eastAsia"/>
          <w:rtl/>
        </w:rPr>
        <w:t>عبد</w:t>
      </w:r>
      <w:r w:rsidRPr="00591A13">
        <w:rPr>
          <w:rtl/>
        </w:rPr>
        <w:t xml:space="preserve"> </w:t>
      </w:r>
      <w:r w:rsidRPr="00591A13">
        <w:rPr>
          <w:rFonts w:hint="eastAsia"/>
          <w:rtl/>
        </w:rPr>
        <w:t>الله</w:t>
      </w:r>
      <w:r w:rsidRPr="00591A13">
        <w:rPr>
          <w:rtl/>
        </w:rPr>
        <w:t xml:space="preserve"> </w:t>
      </w:r>
      <w:r w:rsidRPr="00591A13">
        <w:rPr>
          <w:rFonts w:hint="eastAsia"/>
          <w:rtl/>
        </w:rPr>
        <w:t>بن</w:t>
      </w:r>
      <w:r w:rsidRPr="00591A13">
        <w:rPr>
          <w:rtl/>
        </w:rPr>
        <w:t xml:space="preserve"> </w:t>
      </w:r>
      <w:r w:rsidRPr="00591A13">
        <w:rPr>
          <w:rFonts w:hint="eastAsia"/>
          <w:rtl/>
        </w:rPr>
        <w:t>محمود</w:t>
      </w:r>
      <w:r w:rsidRPr="00591A13">
        <w:rPr>
          <w:rtl/>
        </w:rPr>
        <w:t xml:space="preserve"> </w:t>
      </w:r>
      <w:r w:rsidRPr="00591A13">
        <w:rPr>
          <w:rFonts w:hint="eastAsia"/>
          <w:rtl/>
        </w:rPr>
        <w:t>بن</w:t>
      </w:r>
      <w:r w:rsidRPr="00591A13">
        <w:rPr>
          <w:rtl/>
        </w:rPr>
        <w:t xml:space="preserve"> </w:t>
      </w:r>
      <w:r w:rsidRPr="00591A13">
        <w:rPr>
          <w:rFonts w:hint="eastAsia"/>
          <w:rtl/>
        </w:rPr>
        <w:t>مودود</w:t>
      </w:r>
      <w:r w:rsidRPr="00591A13">
        <w:rPr>
          <w:rtl/>
        </w:rPr>
        <w:t xml:space="preserve"> </w:t>
      </w:r>
      <w:r w:rsidRPr="00591A13">
        <w:rPr>
          <w:rFonts w:hint="eastAsia"/>
          <w:rtl/>
        </w:rPr>
        <w:t>الموصلي</w:t>
      </w:r>
      <w:r w:rsidRPr="00591A13">
        <w:rPr>
          <w:rtl/>
        </w:rPr>
        <w:t xml:space="preserve"> </w:t>
      </w:r>
      <w:r w:rsidRPr="00591A13">
        <w:rPr>
          <w:rFonts w:hint="eastAsia"/>
          <w:rtl/>
        </w:rPr>
        <w:t>البلدحي</w:t>
      </w:r>
      <w:r w:rsidRPr="00591A13">
        <w:rPr>
          <w:rtl/>
        </w:rPr>
        <w:t xml:space="preserve"> ( </w:t>
      </w:r>
      <w:r w:rsidRPr="00591A13">
        <w:rPr>
          <w:rFonts w:hint="eastAsia"/>
          <w:rtl/>
        </w:rPr>
        <w:t>ت</w:t>
      </w:r>
      <w:r w:rsidRPr="00591A13">
        <w:rPr>
          <w:rtl/>
        </w:rPr>
        <w:t xml:space="preserve"> 683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Cs/>
          <w:rtl/>
        </w:rPr>
        <w:t>الاختيار</w:t>
      </w:r>
      <w:r w:rsidRPr="00591A13">
        <w:rPr>
          <w:bCs/>
          <w:rtl/>
        </w:rPr>
        <w:t xml:space="preserve"> </w:t>
      </w:r>
      <w:r w:rsidRPr="00591A13">
        <w:rPr>
          <w:rFonts w:hint="eastAsia"/>
          <w:bCs/>
          <w:rtl/>
        </w:rPr>
        <w:t>لتعليل</w:t>
      </w:r>
      <w:r w:rsidRPr="00591A13">
        <w:rPr>
          <w:bCs/>
          <w:rtl/>
        </w:rPr>
        <w:t xml:space="preserve"> </w:t>
      </w:r>
      <w:r w:rsidRPr="00591A13">
        <w:rPr>
          <w:rFonts w:hint="eastAsia"/>
          <w:bCs/>
          <w:rtl/>
        </w:rPr>
        <w:t>المختار</w:t>
      </w:r>
      <w:r w:rsidRPr="00591A13">
        <w:rPr>
          <w:rFonts w:hint="eastAsia"/>
          <w:rtl/>
        </w:rPr>
        <w:t>،</w:t>
      </w:r>
      <w:r w:rsidRPr="00591A13">
        <w:rPr>
          <w:rtl/>
        </w:rPr>
        <w:t xml:space="preserve"> 5</w:t>
      </w:r>
      <w:r w:rsidRPr="00591A13">
        <w:rPr>
          <w:rFonts w:hint="eastAsia"/>
          <w:rtl/>
        </w:rPr>
        <w:t>م،</w:t>
      </w:r>
      <w:r w:rsidRPr="00591A13">
        <w:rPr>
          <w:rtl/>
        </w:rPr>
        <w:t xml:space="preserve"> </w:t>
      </w:r>
      <w:r w:rsidRPr="00591A13">
        <w:rPr>
          <w:rFonts w:hint="eastAsia"/>
          <w:rtl/>
        </w:rPr>
        <w:t>مطبعة</w:t>
      </w:r>
      <w:r w:rsidRPr="00591A13">
        <w:rPr>
          <w:rtl/>
        </w:rPr>
        <w:t xml:space="preserve"> </w:t>
      </w:r>
      <w:r w:rsidRPr="00591A13">
        <w:rPr>
          <w:rFonts w:hint="eastAsia"/>
          <w:rtl/>
        </w:rPr>
        <w:t>الحلبي،</w:t>
      </w:r>
      <w:r w:rsidRPr="00591A13">
        <w:rPr>
          <w:rtl/>
        </w:rPr>
        <w:t xml:space="preserve"> </w:t>
      </w:r>
      <w:r w:rsidRPr="00591A13">
        <w:rPr>
          <w:rFonts w:hint="eastAsia"/>
          <w:rtl/>
        </w:rPr>
        <w:t>القاهرة،</w:t>
      </w:r>
      <w:r w:rsidRPr="00591A13">
        <w:rPr>
          <w:rtl/>
        </w:rPr>
        <w:t xml:space="preserve"> 1937</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نجيم،</w:t>
      </w:r>
      <w:r w:rsidRPr="00591A13">
        <w:rPr>
          <w:rtl/>
        </w:rPr>
        <w:t xml:space="preserve"> </w:t>
      </w:r>
      <w:r w:rsidRPr="00591A13">
        <w:rPr>
          <w:rFonts w:hint="eastAsia"/>
          <w:rtl/>
        </w:rPr>
        <w:t>زين</w:t>
      </w:r>
      <w:r w:rsidRPr="00591A13">
        <w:rPr>
          <w:rtl/>
        </w:rPr>
        <w:t xml:space="preserve"> </w:t>
      </w:r>
      <w:r w:rsidRPr="00591A13">
        <w:rPr>
          <w:rFonts w:hint="eastAsia"/>
          <w:rtl/>
        </w:rPr>
        <w:t>الدين</w:t>
      </w:r>
      <w:r w:rsidRPr="00591A13">
        <w:rPr>
          <w:rtl/>
        </w:rPr>
        <w:t xml:space="preserve"> </w:t>
      </w:r>
      <w:r w:rsidRPr="00591A13">
        <w:rPr>
          <w:rFonts w:hint="eastAsia"/>
          <w:rtl/>
        </w:rPr>
        <w:t>بن</w:t>
      </w:r>
      <w:r w:rsidRPr="00591A13">
        <w:rPr>
          <w:rtl/>
        </w:rPr>
        <w:t xml:space="preserve"> </w:t>
      </w:r>
      <w:r w:rsidRPr="00591A13">
        <w:rPr>
          <w:rFonts w:hint="eastAsia"/>
          <w:rtl/>
        </w:rPr>
        <w:t>إبراهم</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ت</w:t>
      </w:r>
      <w:r w:rsidRPr="00591A13">
        <w:rPr>
          <w:rtl/>
        </w:rPr>
        <w:t xml:space="preserve"> 970 </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الأشباه</w:t>
      </w:r>
      <w:r w:rsidRPr="00591A13">
        <w:rPr>
          <w:b/>
          <w:bCs/>
          <w:rtl/>
        </w:rPr>
        <w:t xml:space="preserve"> </w:t>
      </w:r>
      <w:r w:rsidRPr="00591A13">
        <w:rPr>
          <w:rFonts w:hint="eastAsia"/>
          <w:b/>
          <w:bCs/>
          <w:rtl/>
        </w:rPr>
        <w:t>والنظائر،</w:t>
      </w:r>
      <w:r w:rsidRPr="00591A13">
        <w:rPr>
          <w:b/>
          <w:bCs/>
          <w:rtl/>
        </w:rPr>
        <w:t xml:space="preserve"> </w:t>
      </w:r>
      <w:r w:rsidRPr="00591A13">
        <w:rPr>
          <w:rFonts w:hint="eastAsia"/>
          <w:rtl/>
        </w:rPr>
        <w:t>ط</w:t>
      </w:r>
      <w:r w:rsidRPr="00591A13">
        <w:rPr>
          <w:rtl/>
        </w:rPr>
        <w:t>2</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د</w:t>
      </w:r>
      <w:r w:rsidRPr="00591A13">
        <w:rPr>
          <w:rtl/>
        </w:rPr>
        <w:t xml:space="preserve">. </w:t>
      </w:r>
      <w:r w:rsidRPr="00591A13">
        <w:rPr>
          <w:rFonts w:hint="eastAsia"/>
          <w:rtl/>
        </w:rPr>
        <w:t>محمد</w:t>
      </w:r>
      <w:r w:rsidRPr="00591A13">
        <w:rPr>
          <w:rtl/>
        </w:rPr>
        <w:t xml:space="preserve"> </w:t>
      </w:r>
      <w:r w:rsidRPr="00591A13">
        <w:rPr>
          <w:rFonts w:hint="eastAsia"/>
          <w:rtl/>
        </w:rPr>
        <w:t>مطيع</w:t>
      </w:r>
      <w:r w:rsidRPr="00591A13">
        <w:rPr>
          <w:rtl/>
        </w:rPr>
        <w:t xml:space="preserve"> </w:t>
      </w:r>
      <w:r w:rsidRPr="00591A13">
        <w:rPr>
          <w:rFonts w:hint="eastAsia"/>
          <w:rtl/>
        </w:rPr>
        <w:t>الحافظ</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الفكر،</w:t>
      </w:r>
      <w:r w:rsidRPr="00591A13">
        <w:rPr>
          <w:rtl/>
        </w:rPr>
        <w:t xml:space="preserve"> </w:t>
      </w:r>
      <w:r w:rsidRPr="00591A13">
        <w:rPr>
          <w:rFonts w:hint="eastAsia"/>
          <w:rtl/>
        </w:rPr>
        <w:t>دمشق،</w:t>
      </w:r>
      <w:r w:rsidRPr="00591A13">
        <w:rPr>
          <w:rtl/>
        </w:rPr>
        <w:t xml:space="preserve"> 1986</w:t>
      </w:r>
      <w:r w:rsidRPr="00591A13">
        <w:rPr>
          <w:rFonts w:hint="eastAsia"/>
          <w:rtl/>
        </w:rPr>
        <w:t>م</w:t>
      </w:r>
      <w:r w:rsidRPr="00591A13">
        <w:rPr>
          <w:rtl/>
        </w:rPr>
        <w:t>.</w:t>
      </w:r>
    </w:p>
    <w:p w:rsidR="005F44B2" w:rsidRPr="00591A13" w:rsidRDefault="005F44B2" w:rsidP="00591A13">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نجيم،</w:t>
      </w:r>
      <w:r w:rsidRPr="00591A13">
        <w:rPr>
          <w:rtl/>
        </w:rPr>
        <w:t xml:space="preserve"> </w:t>
      </w:r>
      <w:r w:rsidRPr="00591A13">
        <w:rPr>
          <w:rFonts w:hint="eastAsia"/>
          <w:rtl/>
        </w:rPr>
        <w:t>زين</w:t>
      </w:r>
      <w:r w:rsidRPr="00591A13">
        <w:rPr>
          <w:rtl/>
        </w:rPr>
        <w:t xml:space="preserve"> </w:t>
      </w:r>
      <w:r w:rsidRPr="00591A13">
        <w:rPr>
          <w:rFonts w:hint="eastAsia"/>
          <w:rtl/>
        </w:rPr>
        <w:t>الدين</w:t>
      </w:r>
      <w:r w:rsidRPr="00591A13">
        <w:rPr>
          <w:rtl/>
        </w:rPr>
        <w:t xml:space="preserve"> </w:t>
      </w:r>
      <w:r w:rsidRPr="00591A13">
        <w:rPr>
          <w:rFonts w:hint="eastAsia"/>
          <w:rtl/>
        </w:rPr>
        <w:t>بن</w:t>
      </w:r>
      <w:r w:rsidRPr="00591A13">
        <w:rPr>
          <w:rtl/>
        </w:rPr>
        <w:t xml:space="preserve"> </w:t>
      </w:r>
      <w:r w:rsidRPr="00591A13">
        <w:rPr>
          <w:rFonts w:hint="eastAsia"/>
          <w:rtl/>
        </w:rPr>
        <w:t>إبراهيم</w:t>
      </w:r>
      <w:r w:rsidRPr="00591A13">
        <w:rPr>
          <w:rtl/>
        </w:rPr>
        <w:t xml:space="preserve"> </w:t>
      </w:r>
      <w:r w:rsidRPr="00591A13">
        <w:rPr>
          <w:rFonts w:hint="eastAsia"/>
          <w:rtl/>
        </w:rPr>
        <w:t>بن</w:t>
      </w:r>
      <w:r w:rsidRPr="00591A13">
        <w:rPr>
          <w:rtl/>
        </w:rPr>
        <w:t xml:space="preserve"> </w:t>
      </w:r>
      <w:r w:rsidRPr="00591A13">
        <w:rPr>
          <w:rFonts w:hint="eastAsia"/>
          <w:rtl/>
        </w:rPr>
        <w:t>محمد،</w:t>
      </w:r>
      <w:r w:rsidRPr="00591A13">
        <w:rPr>
          <w:rtl/>
        </w:rPr>
        <w:t xml:space="preserve"> </w:t>
      </w:r>
      <w:r w:rsidRPr="00591A13">
        <w:rPr>
          <w:rFonts w:hint="eastAsia"/>
          <w:rtl/>
        </w:rPr>
        <w:t>الشهير</w:t>
      </w:r>
      <w:r w:rsidRPr="00591A13">
        <w:rPr>
          <w:rtl/>
        </w:rPr>
        <w:t xml:space="preserve"> </w:t>
      </w:r>
      <w:r w:rsidRPr="00591A13">
        <w:rPr>
          <w:rFonts w:hint="eastAsia"/>
          <w:rtl/>
        </w:rPr>
        <w:t>بابن</w:t>
      </w:r>
      <w:r w:rsidRPr="00591A13">
        <w:rPr>
          <w:rtl/>
        </w:rPr>
        <w:t xml:space="preserve"> </w:t>
      </w:r>
      <w:r w:rsidRPr="00591A13">
        <w:rPr>
          <w:rFonts w:hint="eastAsia"/>
          <w:rtl/>
        </w:rPr>
        <w:t>نجيم</w:t>
      </w:r>
      <w:r w:rsidRPr="00591A13">
        <w:rPr>
          <w:rtl/>
        </w:rPr>
        <w:t xml:space="preserve"> (</w:t>
      </w:r>
      <w:r w:rsidRPr="00591A13">
        <w:rPr>
          <w:rFonts w:hint="eastAsia"/>
          <w:rtl/>
        </w:rPr>
        <w:t>ت</w:t>
      </w:r>
      <w:r w:rsidRPr="00591A13">
        <w:rPr>
          <w:rtl/>
        </w:rPr>
        <w:t xml:space="preserve"> 970</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البحر</w:t>
      </w:r>
      <w:r w:rsidRPr="00591A13">
        <w:rPr>
          <w:b/>
          <w:bCs/>
          <w:rtl/>
        </w:rPr>
        <w:t xml:space="preserve"> </w:t>
      </w:r>
      <w:r w:rsidRPr="00591A13">
        <w:rPr>
          <w:rFonts w:hint="eastAsia"/>
          <w:b/>
          <w:bCs/>
          <w:rtl/>
        </w:rPr>
        <w:t>الرائق</w:t>
      </w:r>
      <w:r w:rsidRPr="00591A13">
        <w:rPr>
          <w:b/>
          <w:bCs/>
          <w:rtl/>
        </w:rPr>
        <w:t xml:space="preserve"> </w:t>
      </w:r>
      <w:r w:rsidRPr="00591A13">
        <w:rPr>
          <w:rFonts w:hint="eastAsia"/>
          <w:b/>
          <w:bCs/>
          <w:rtl/>
        </w:rPr>
        <w:t>شرح</w:t>
      </w:r>
      <w:r w:rsidRPr="00591A13">
        <w:rPr>
          <w:b/>
          <w:bCs/>
          <w:rtl/>
        </w:rPr>
        <w:t xml:space="preserve"> </w:t>
      </w:r>
      <w:r w:rsidRPr="00591A13">
        <w:rPr>
          <w:rFonts w:hint="eastAsia"/>
          <w:b/>
          <w:bCs/>
          <w:rtl/>
        </w:rPr>
        <w:t>كنز</w:t>
      </w:r>
      <w:r w:rsidRPr="00591A13">
        <w:rPr>
          <w:b/>
          <w:bCs/>
          <w:rtl/>
        </w:rPr>
        <w:t xml:space="preserve"> </w:t>
      </w:r>
      <w:r w:rsidRPr="00591A13">
        <w:rPr>
          <w:rFonts w:hint="eastAsia"/>
          <w:b/>
          <w:bCs/>
          <w:rtl/>
        </w:rPr>
        <w:t>الدقائق</w:t>
      </w:r>
      <w:r w:rsidRPr="00591A13">
        <w:rPr>
          <w:rFonts w:hint="eastAsia"/>
          <w:rtl/>
        </w:rPr>
        <w:t>،</w:t>
      </w:r>
      <w:r w:rsidRPr="00591A13">
        <w:rPr>
          <w:rtl/>
        </w:rPr>
        <w:t xml:space="preserve"> </w:t>
      </w:r>
      <w:r w:rsidRPr="00591A13">
        <w:rPr>
          <w:rFonts w:hint="eastAsia"/>
          <w:rtl/>
        </w:rPr>
        <w:t>ط</w:t>
      </w:r>
      <w:r w:rsidRPr="00591A13">
        <w:rPr>
          <w:rtl/>
        </w:rPr>
        <w:t>1</w:t>
      </w:r>
      <w:r w:rsidRPr="00591A13">
        <w:rPr>
          <w:rFonts w:hint="eastAsia"/>
          <w:rtl/>
        </w:rPr>
        <w:t>،</w:t>
      </w:r>
      <w:r w:rsidRPr="00591A13">
        <w:rPr>
          <w:rtl/>
        </w:rPr>
        <w:t xml:space="preserve"> (</w:t>
      </w:r>
      <w:r w:rsidRPr="00591A13">
        <w:rPr>
          <w:rFonts w:hint="eastAsia"/>
          <w:rtl/>
        </w:rPr>
        <w:t>تحقيق</w:t>
      </w:r>
      <w:r w:rsidRPr="00591A13">
        <w:rPr>
          <w:rtl/>
        </w:rPr>
        <w:t xml:space="preserve"> </w:t>
      </w:r>
      <w:r w:rsidRPr="00591A13">
        <w:rPr>
          <w:rFonts w:hint="eastAsia"/>
          <w:rtl/>
        </w:rPr>
        <w:t>الشيخ</w:t>
      </w:r>
      <w:r w:rsidRPr="00591A13">
        <w:rPr>
          <w:rtl/>
        </w:rPr>
        <w:t xml:space="preserve"> </w:t>
      </w:r>
      <w:r w:rsidRPr="00591A13">
        <w:rPr>
          <w:rFonts w:hint="eastAsia"/>
          <w:rtl/>
        </w:rPr>
        <w:t>زكريّا</w:t>
      </w:r>
      <w:r w:rsidRPr="00591A13">
        <w:rPr>
          <w:rtl/>
        </w:rPr>
        <w:t xml:space="preserve"> </w:t>
      </w:r>
      <w:r w:rsidRPr="00591A13">
        <w:rPr>
          <w:rFonts w:hint="eastAsia"/>
          <w:rtl/>
        </w:rPr>
        <w:t>عميرات</w:t>
      </w:r>
      <w:r w:rsidRPr="00591A13">
        <w:rPr>
          <w:rtl/>
        </w:rPr>
        <w:t>)</w:t>
      </w:r>
      <w:r w:rsidRPr="00591A13">
        <w:rPr>
          <w:rFonts w:hint="eastAsia"/>
          <w:rtl/>
        </w:rPr>
        <w:t>،</w:t>
      </w:r>
      <w:r w:rsidRPr="00591A13">
        <w:rPr>
          <w:rtl/>
        </w:rPr>
        <w:t xml:space="preserve"> </w:t>
      </w:r>
      <w:r w:rsidRPr="00591A13">
        <w:rPr>
          <w:rFonts w:hint="eastAsia"/>
          <w:rtl/>
        </w:rPr>
        <w:t>دار</w:t>
      </w:r>
      <w:r w:rsidRPr="00591A13">
        <w:rPr>
          <w:rtl/>
        </w:rPr>
        <w:t xml:space="preserve"> </w:t>
      </w:r>
      <w:r w:rsidRPr="00591A13">
        <w:rPr>
          <w:rFonts w:hint="eastAsia"/>
          <w:rtl/>
        </w:rPr>
        <w:t>الكتب</w:t>
      </w:r>
      <w:r w:rsidRPr="00591A13">
        <w:rPr>
          <w:rtl/>
        </w:rPr>
        <w:t xml:space="preserve"> </w:t>
      </w:r>
      <w:r w:rsidRPr="00591A13">
        <w:rPr>
          <w:rFonts w:hint="eastAsia"/>
          <w:rtl/>
        </w:rPr>
        <w:t>العلمية،</w:t>
      </w:r>
      <w:r w:rsidRPr="00591A13">
        <w:rPr>
          <w:rtl/>
        </w:rPr>
        <w:t xml:space="preserve"> </w:t>
      </w:r>
      <w:r w:rsidRPr="00591A13">
        <w:rPr>
          <w:rFonts w:hint="eastAsia"/>
          <w:rtl/>
        </w:rPr>
        <w:t>بيروت،</w:t>
      </w:r>
      <w:r w:rsidRPr="00591A13">
        <w:rPr>
          <w:rtl/>
        </w:rPr>
        <w:t>1997</w:t>
      </w:r>
      <w:r w:rsidRPr="00591A13">
        <w:rPr>
          <w:rFonts w:hint="eastAsia"/>
          <w:rtl/>
        </w:rPr>
        <w:t>م</w:t>
      </w:r>
      <w:r w:rsidRPr="00591A13">
        <w:rPr>
          <w:rtl/>
        </w:rPr>
        <w:t>.</w:t>
      </w:r>
    </w:p>
    <w:p w:rsidR="005F44B2" w:rsidRPr="00591A13" w:rsidRDefault="005F44B2" w:rsidP="00B91AC6">
      <w:pPr>
        <w:pStyle w:val="Subtitle"/>
        <w:numPr>
          <w:ilvl w:val="0"/>
          <w:numId w:val="46"/>
        </w:numPr>
        <w:spacing w:line="259" w:lineRule="auto"/>
        <w:jc w:val="both"/>
      </w:pPr>
      <w:r w:rsidRPr="00591A13">
        <w:rPr>
          <w:rFonts w:hint="eastAsia"/>
          <w:rtl/>
        </w:rPr>
        <w:t>النسائي،</w:t>
      </w:r>
      <w:r w:rsidRPr="00591A13">
        <w:rPr>
          <w:rtl/>
        </w:rPr>
        <w:t xml:space="preserve"> </w:t>
      </w:r>
      <w:r w:rsidRPr="00591A13">
        <w:rPr>
          <w:rFonts w:hint="eastAsia"/>
          <w:rtl/>
        </w:rPr>
        <w:t>أبو</w:t>
      </w:r>
      <w:r w:rsidRPr="00591A13">
        <w:rPr>
          <w:rtl/>
        </w:rPr>
        <w:t xml:space="preserve"> </w:t>
      </w:r>
      <w:r w:rsidRPr="00591A13">
        <w:rPr>
          <w:rFonts w:hint="eastAsia"/>
          <w:rtl/>
        </w:rPr>
        <w:t>عبد</w:t>
      </w:r>
      <w:r w:rsidRPr="00591A13">
        <w:rPr>
          <w:rtl/>
        </w:rPr>
        <w:t xml:space="preserve"> </w:t>
      </w:r>
      <w:r w:rsidRPr="00591A13">
        <w:rPr>
          <w:rFonts w:hint="eastAsia"/>
          <w:rtl/>
        </w:rPr>
        <w:t>الرحمن</w:t>
      </w:r>
      <w:r w:rsidRPr="00591A13">
        <w:rPr>
          <w:rtl/>
        </w:rPr>
        <w:t xml:space="preserve"> </w:t>
      </w:r>
      <w:r w:rsidRPr="00591A13">
        <w:rPr>
          <w:rFonts w:hint="eastAsia"/>
          <w:rtl/>
        </w:rPr>
        <w:t>أحمد</w:t>
      </w:r>
      <w:r w:rsidRPr="00591A13">
        <w:rPr>
          <w:rtl/>
        </w:rPr>
        <w:t xml:space="preserve"> </w:t>
      </w:r>
      <w:r w:rsidRPr="00591A13">
        <w:rPr>
          <w:rFonts w:hint="eastAsia"/>
          <w:rtl/>
        </w:rPr>
        <w:t>بن</w:t>
      </w:r>
      <w:r w:rsidRPr="00591A13">
        <w:rPr>
          <w:rtl/>
        </w:rPr>
        <w:t xml:space="preserve"> </w:t>
      </w:r>
      <w:r w:rsidRPr="00591A13">
        <w:rPr>
          <w:rFonts w:hint="eastAsia"/>
          <w:rtl/>
        </w:rPr>
        <w:t>شعيب</w:t>
      </w:r>
      <w:r w:rsidRPr="00591A13">
        <w:rPr>
          <w:rtl/>
        </w:rPr>
        <w:t xml:space="preserve"> </w:t>
      </w:r>
      <w:r w:rsidRPr="00591A13">
        <w:rPr>
          <w:rFonts w:hint="eastAsia"/>
          <w:rtl/>
        </w:rPr>
        <w:t>بن</w:t>
      </w:r>
      <w:r w:rsidRPr="00591A13">
        <w:rPr>
          <w:rtl/>
        </w:rPr>
        <w:t xml:space="preserve"> </w:t>
      </w:r>
      <w:r w:rsidRPr="00591A13">
        <w:rPr>
          <w:rFonts w:hint="eastAsia"/>
          <w:rtl/>
        </w:rPr>
        <w:t>علي</w:t>
      </w:r>
      <w:r w:rsidRPr="00591A13">
        <w:rPr>
          <w:rtl/>
        </w:rPr>
        <w:t xml:space="preserve"> </w:t>
      </w:r>
      <w:r w:rsidRPr="00591A13">
        <w:rPr>
          <w:rFonts w:hint="eastAsia"/>
          <w:rtl/>
        </w:rPr>
        <w:t>الخراساني،</w:t>
      </w:r>
      <w:r w:rsidRPr="00591A13">
        <w:rPr>
          <w:rtl/>
        </w:rPr>
        <w:t xml:space="preserve"> </w:t>
      </w:r>
      <w:r w:rsidRPr="00591A13">
        <w:rPr>
          <w:rFonts w:hint="eastAsia"/>
          <w:rtl/>
        </w:rPr>
        <w:t>النسائي</w:t>
      </w:r>
      <w:r w:rsidRPr="00591A13">
        <w:rPr>
          <w:rtl/>
        </w:rPr>
        <w:t xml:space="preserve"> (</w:t>
      </w:r>
      <w:r w:rsidRPr="00591A13">
        <w:rPr>
          <w:rFonts w:hint="eastAsia"/>
          <w:rtl/>
        </w:rPr>
        <w:t>ت</w:t>
      </w:r>
      <w:r w:rsidRPr="00591A13">
        <w:rPr>
          <w:rtl/>
        </w:rPr>
        <w:t>: 303</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السنن</w:t>
      </w:r>
      <w:r w:rsidRPr="00591A13">
        <w:rPr>
          <w:b/>
          <w:bCs/>
          <w:rtl/>
        </w:rPr>
        <w:t xml:space="preserve"> </w:t>
      </w:r>
      <w:r w:rsidRPr="00591A13">
        <w:rPr>
          <w:rFonts w:hint="eastAsia"/>
          <w:b/>
          <w:bCs/>
          <w:rtl/>
        </w:rPr>
        <w:t>الصغرى</w:t>
      </w:r>
      <w:r w:rsidRPr="00591A13">
        <w:rPr>
          <w:b/>
          <w:bCs/>
          <w:rtl/>
        </w:rPr>
        <w:t xml:space="preserve"> </w:t>
      </w:r>
      <w:r w:rsidRPr="00591A13">
        <w:rPr>
          <w:rFonts w:hint="eastAsia"/>
          <w:b/>
          <w:bCs/>
          <w:rtl/>
        </w:rPr>
        <w:t>للنسائي</w:t>
      </w:r>
      <w:r w:rsidRPr="00591A13">
        <w:rPr>
          <w:rFonts w:hint="eastAsia"/>
          <w:rtl/>
        </w:rPr>
        <w:t>،</w:t>
      </w:r>
      <w:r w:rsidRPr="00591A13">
        <w:rPr>
          <w:rtl/>
        </w:rPr>
        <w:t xml:space="preserve"> </w:t>
      </w:r>
      <w:r w:rsidRPr="00591A13">
        <w:rPr>
          <w:rFonts w:hint="eastAsia"/>
          <w:rtl/>
        </w:rPr>
        <w:t>ط</w:t>
      </w:r>
      <w:r w:rsidRPr="00591A13">
        <w:rPr>
          <w:rtl/>
        </w:rPr>
        <w:t>2</w:t>
      </w:r>
      <w:r w:rsidRPr="00591A13">
        <w:rPr>
          <w:rFonts w:hint="eastAsia"/>
          <w:rtl/>
        </w:rPr>
        <w:t>،</w:t>
      </w:r>
      <w:r w:rsidRPr="00591A13">
        <w:rPr>
          <w:rtl/>
        </w:rPr>
        <w:t xml:space="preserve"> 9</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عبد</w:t>
      </w:r>
      <w:r w:rsidRPr="00591A13">
        <w:rPr>
          <w:rtl/>
        </w:rPr>
        <w:t xml:space="preserve"> </w:t>
      </w:r>
      <w:r w:rsidRPr="00591A13">
        <w:rPr>
          <w:rFonts w:hint="eastAsia"/>
          <w:rtl/>
        </w:rPr>
        <w:t>الفتاح</w:t>
      </w:r>
      <w:r w:rsidRPr="00591A13">
        <w:rPr>
          <w:rtl/>
        </w:rPr>
        <w:t xml:space="preserve"> </w:t>
      </w:r>
      <w:r w:rsidRPr="00591A13">
        <w:rPr>
          <w:rFonts w:hint="eastAsia"/>
          <w:rtl/>
        </w:rPr>
        <w:t>أبو</w:t>
      </w:r>
      <w:r w:rsidRPr="00591A13">
        <w:rPr>
          <w:rtl/>
        </w:rPr>
        <w:t xml:space="preserve"> </w:t>
      </w:r>
      <w:r w:rsidRPr="00591A13">
        <w:rPr>
          <w:rFonts w:hint="eastAsia"/>
          <w:rtl/>
        </w:rPr>
        <w:t>غدة</w:t>
      </w:r>
      <w:r w:rsidRPr="00591A13">
        <w:rPr>
          <w:rtl/>
        </w:rPr>
        <w:t>)</w:t>
      </w:r>
      <w:r w:rsidRPr="00591A13">
        <w:rPr>
          <w:rFonts w:hint="eastAsia"/>
          <w:rtl/>
        </w:rPr>
        <w:t>،</w:t>
      </w:r>
      <w:r w:rsidRPr="00591A13">
        <w:rPr>
          <w:rtl/>
        </w:rPr>
        <w:t xml:space="preserve"> </w:t>
      </w:r>
      <w:r w:rsidRPr="00591A13">
        <w:rPr>
          <w:rFonts w:hint="eastAsia"/>
          <w:rtl/>
        </w:rPr>
        <w:t>مكتب</w:t>
      </w:r>
      <w:r w:rsidRPr="00591A13">
        <w:rPr>
          <w:rtl/>
        </w:rPr>
        <w:t xml:space="preserve"> </w:t>
      </w:r>
      <w:r w:rsidRPr="00591A13">
        <w:rPr>
          <w:rFonts w:hint="eastAsia"/>
          <w:rtl/>
        </w:rPr>
        <w:t>المطبوعات</w:t>
      </w:r>
      <w:r w:rsidRPr="00591A13">
        <w:rPr>
          <w:rtl/>
        </w:rPr>
        <w:t xml:space="preserve"> </w:t>
      </w:r>
      <w:r w:rsidRPr="00591A13">
        <w:rPr>
          <w:rFonts w:hint="eastAsia"/>
          <w:rtl/>
        </w:rPr>
        <w:t>الإسلامية،</w:t>
      </w:r>
      <w:r w:rsidRPr="00591A13">
        <w:rPr>
          <w:rtl/>
        </w:rPr>
        <w:t xml:space="preserve"> </w:t>
      </w:r>
      <w:r w:rsidRPr="00591A13">
        <w:rPr>
          <w:rFonts w:hint="eastAsia"/>
          <w:rtl/>
        </w:rPr>
        <w:t>حلب،</w:t>
      </w:r>
      <w:r w:rsidRPr="00591A13">
        <w:rPr>
          <w:rtl/>
        </w:rPr>
        <w:t xml:space="preserve"> 1406 </w:t>
      </w:r>
      <w:r w:rsidRPr="00591A13">
        <w:rPr>
          <w:rFonts w:hint="eastAsia"/>
          <w:rtl/>
        </w:rPr>
        <w:t>هـ</w:t>
      </w:r>
      <w:r w:rsidRPr="00591A13">
        <w:rPr>
          <w:rtl/>
        </w:rPr>
        <w:t xml:space="preserve"> / 1986</w:t>
      </w:r>
      <w:r w:rsidRPr="00591A13">
        <w:rPr>
          <w:rFonts w:hint="eastAsia"/>
          <w:rtl/>
        </w:rPr>
        <w:t>م</w:t>
      </w:r>
      <w:r w:rsidRPr="00591A13">
        <w:rPr>
          <w:rtl/>
        </w:rPr>
        <w:t>.</w:t>
      </w:r>
    </w:p>
    <w:p w:rsidR="005F44B2" w:rsidRPr="00591A13" w:rsidRDefault="005F44B2" w:rsidP="00B91AC6">
      <w:pPr>
        <w:pStyle w:val="Subtitle"/>
        <w:numPr>
          <w:ilvl w:val="0"/>
          <w:numId w:val="46"/>
        </w:numPr>
        <w:spacing w:line="259" w:lineRule="auto"/>
        <w:jc w:val="both"/>
      </w:pPr>
      <w:r w:rsidRPr="00591A13">
        <w:rPr>
          <w:rFonts w:hint="eastAsia"/>
          <w:rtl/>
        </w:rPr>
        <w:t>النووي،</w:t>
      </w:r>
      <w:r w:rsidRPr="00591A13">
        <w:rPr>
          <w:rtl/>
        </w:rPr>
        <w:t xml:space="preserve">  </w:t>
      </w:r>
      <w:r w:rsidRPr="00591A13">
        <w:rPr>
          <w:rFonts w:hint="eastAsia"/>
          <w:rtl/>
        </w:rPr>
        <w:t>أبو</w:t>
      </w:r>
      <w:r w:rsidRPr="00591A13">
        <w:rPr>
          <w:rtl/>
        </w:rPr>
        <w:t xml:space="preserve"> </w:t>
      </w:r>
      <w:r w:rsidRPr="00591A13">
        <w:rPr>
          <w:rFonts w:hint="eastAsia"/>
          <w:rtl/>
        </w:rPr>
        <w:t>زكريا</w:t>
      </w:r>
      <w:r w:rsidRPr="00591A13">
        <w:rPr>
          <w:rtl/>
        </w:rPr>
        <w:t xml:space="preserve"> </w:t>
      </w:r>
      <w:r w:rsidRPr="00591A13">
        <w:rPr>
          <w:rFonts w:hint="eastAsia"/>
          <w:rtl/>
        </w:rPr>
        <w:t>محيي</w:t>
      </w:r>
      <w:r w:rsidRPr="00591A13">
        <w:rPr>
          <w:rtl/>
        </w:rPr>
        <w:t xml:space="preserve"> </w:t>
      </w:r>
      <w:r w:rsidRPr="00591A13">
        <w:rPr>
          <w:rFonts w:hint="eastAsia"/>
          <w:rtl/>
        </w:rPr>
        <w:t>الدين</w:t>
      </w:r>
      <w:r w:rsidRPr="00591A13">
        <w:rPr>
          <w:rtl/>
        </w:rPr>
        <w:t xml:space="preserve"> </w:t>
      </w:r>
      <w:r w:rsidRPr="00591A13">
        <w:rPr>
          <w:rFonts w:hint="eastAsia"/>
          <w:rtl/>
        </w:rPr>
        <w:t>يحيى</w:t>
      </w:r>
      <w:r w:rsidRPr="00591A13">
        <w:rPr>
          <w:rtl/>
        </w:rPr>
        <w:t xml:space="preserve"> </w:t>
      </w:r>
      <w:r w:rsidRPr="00591A13">
        <w:rPr>
          <w:rFonts w:hint="eastAsia"/>
          <w:rtl/>
        </w:rPr>
        <w:t>بن</w:t>
      </w:r>
      <w:r w:rsidRPr="00591A13">
        <w:rPr>
          <w:rtl/>
        </w:rPr>
        <w:t xml:space="preserve"> </w:t>
      </w:r>
      <w:r w:rsidRPr="00591A13">
        <w:rPr>
          <w:rFonts w:hint="eastAsia"/>
          <w:rtl/>
        </w:rPr>
        <w:t>شرف</w:t>
      </w:r>
      <w:r w:rsidRPr="00591A13">
        <w:rPr>
          <w:rtl/>
        </w:rPr>
        <w:t xml:space="preserve"> </w:t>
      </w:r>
      <w:r w:rsidRPr="00591A13">
        <w:rPr>
          <w:rFonts w:hint="eastAsia"/>
          <w:rtl/>
        </w:rPr>
        <w:t>النووي</w:t>
      </w:r>
      <w:r w:rsidRPr="00591A13">
        <w:rPr>
          <w:rtl/>
        </w:rPr>
        <w:t xml:space="preserve"> (</w:t>
      </w:r>
      <w:r w:rsidRPr="00591A13">
        <w:rPr>
          <w:rFonts w:hint="eastAsia"/>
          <w:rtl/>
        </w:rPr>
        <w:t>ت</w:t>
      </w:r>
      <w:r w:rsidRPr="00591A13">
        <w:rPr>
          <w:rtl/>
        </w:rPr>
        <w:t>:676</w:t>
      </w:r>
      <w:r w:rsidRPr="00591A13">
        <w:rPr>
          <w:rFonts w:hint="eastAsia"/>
          <w:rtl/>
        </w:rPr>
        <w:t>هـ</w:t>
      </w:r>
      <w:r w:rsidRPr="00591A13">
        <w:rPr>
          <w:rtl/>
        </w:rPr>
        <w:t>)</w:t>
      </w:r>
      <w:r w:rsidRPr="00591A13">
        <w:rPr>
          <w:rFonts w:hint="eastAsia"/>
          <w:rtl/>
        </w:rPr>
        <w:t>،</w:t>
      </w:r>
      <w:r w:rsidRPr="00591A13">
        <w:rPr>
          <w:rtl/>
        </w:rPr>
        <w:t xml:space="preserve"> </w:t>
      </w:r>
      <w:r w:rsidRPr="00591A13">
        <w:rPr>
          <w:rFonts w:hint="eastAsia"/>
          <w:b/>
          <w:bCs/>
          <w:rtl/>
        </w:rPr>
        <w:t>روضة</w:t>
      </w:r>
      <w:r w:rsidRPr="00591A13">
        <w:rPr>
          <w:b/>
          <w:bCs/>
          <w:rtl/>
        </w:rPr>
        <w:t xml:space="preserve"> </w:t>
      </w:r>
      <w:r w:rsidRPr="00591A13">
        <w:rPr>
          <w:rFonts w:hint="eastAsia"/>
          <w:b/>
          <w:bCs/>
          <w:rtl/>
        </w:rPr>
        <w:t>الطالبين</w:t>
      </w:r>
      <w:r w:rsidRPr="00591A13">
        <w:rPr>
          <w:b/>
          <w:bCs/>
          <w:rtl/>
        </w:rPr>
        <w:t xml:space="preserve"> </w:t>
      </w:r>
      <w:r w:rsidRPr="00591A13">
        <w:rPr>
          <w:rFonts w:hint="eastAsia"/>
          <w:b/>
          <w:bCs/>
          <w:rtl/>
        </w:rPr>
        <w:t>وعمدة</w:t>
      </w:r>
      <w:r w:rsidRPr="00591A13">
        <w:rPr>
          <w:b/>
          <w:bCs/>
          <w:rtl/>
        </w:rPr>
        <w:t xml:space="preserve"> </w:t>
      </w:r>
      <w:r w:rsidRPr="00591A13">
        <w:rPr>
          <w:rFonts w:hint="eastAsia"/>
          <w:b/>
          <w:bCs/>
          <w:rtl/>
        </w:rPr>
        <w:t>المفتين</w:t>
      </w:r>
      <w:r w:rsidRPr="00591A13">
        <w:rPr>
          <w:rFonts w:hint="eastAsia"/>
          <w:rtl/>
        </w:rPr>
        <w:t>،</w:t>
      </w:r>
      <w:r w:rsidRPr="00591A13">
        <w:rPr>
          <w:rtl/>
        </w:rPr>
        <w:t xml:space="preserve"> </w:t>
      </w:r>
      <w:r w:rsidRPr="00591A13">
        <w:rPr>
          <w:rFonts w:hint="eastAsia"/>
          <w:rtl/>
        </w:rPr>
        <w:t>ط</w:t>
      </w:r>
      <w:r w:rsidRPr="00591A13">
        <w:rPr>
          <w:rtl/>
        </w:rPr>
        <w:t>3</w:t>
      </w:r>
      <w:r w:rsidRPr="00591A13">
        <w:rPr>
          <w:rFonts w:hint="eastAsia"/>
          <w:rtl/>
        </w:rPr>
        <w:t>،</w:t>
      </w:r>
      <w:r w:rsidRPr="00591A13">
        <w:rPr>
          <w:rtl/>
        </w:rPr>
        <w:t xml:space="preserve"> 12</w:t>
      </w:r>
      <w:r w:rsidRPr="00591A13">
        <w:rPr>
          <w:rFonts w:hint="eastAsia"/>
          <w:rtl/>
        </w:rPr>
        <w:t>م،</w:t>
      </w:r>
      <w:r w:rsidRPr="00591A13">
        <w:rPr>
          <w:rtl/>
        </w:rPr>
        <w:t xml:space="preserve">  (</w:t>
      </w:r>
      <w:r w:rsidRPr="00591A13">
        <w:rPr>
          <w:rFonts w:hint="eastAsia"/>
          <w:rtl/>
        </w:rPr>
        <w:t>تحقيق</w:t>
      </w:r>
      <w:r w:rsidRPr="00591A13">
        <w:rPr>
          <w:rtl/>
        </w:rPr>
        <w:t xml:space="preserve">: </w:t>
      </w:r>
      <w:r w:rsidRPr="00591A13">
        <w:rPr>
          <w:rFonts w:hint="eastAsia"/>
          <w:rtl/>
        </w:rPr>
        <w:t>زهير</w:t>
      </w:r>
      <w:r w:rsidRPr="00591A13">
        <w:rPr>
          <w:rtl/>
        </w:rPr>
        <w:t xml:space="preserve"> </w:t>
      </w:r>
      <w:r w:rsidRPr="00591A13">
        <w:rPr>
          <w:rFonts w:hint="eastAsia"/>
          <w:rtl/>
        </w:rPr>
        <w:t>الشاويش</w:t>
      </w:r>
      <w:r w:rsidRPr="00591A13">
        <w:rPr>
          <w:rtl/>
        </w:rPr>
        <w:t>)</w:t>
      </w:r>
      <w:r w:rsidRPr="00591A13">
        <w:rPr>
          <w:rFonts w:hint="eastAsia"/>
          <w:rtl/>
        </w:rPr>
        <w:t>،</w:t>
      </w:r>
      <w:r w:rsidRPr="00591A13">
        <w:rPr>
          <w:rtl/>
        </w:rPr>
        <w:t xml:space="preserve"> </w:t>
      </w:r>
      <w:r w:rsidRPr="00591A13">
        <w:rPr>
          <w:rFonts w:hint="eastAsia"/>
          <w:rtl/>
        </w:rPr>
        <w:t>المكتبة</w:t>
      </w:r>
      <w:r w:rsidRPr="00591A13">
        <w:rPr>
          <w:rtl/>
        </w:rPr>
        <w:t xml:space="preserve"> </w:t>
      </w:r>
      <w:r w:rsidRPr="00591A13">
        <w:rPr>
          <w:rFonts w:hint="eastAsia"/>
          <w:rtl/>
        </w:rPr>
        <w:t>الإسلامية،</w:t>
      </w:r>
      <w:r w:rsidRPr="00591A13">
        <w:rPr>
          <w:rtl/>
        </w:rPr>
        <w:t xml:space="preserve"> </w:t>
      </w:r>
      <w:r w:rsidRPr="00591A13">
        <w:rPr>
          <w:rFonts w:hint="eastAsia"/>
          <w:rtl/>
        </w:rPr>
        <w:t>بيروت،</w:t>
      </w:r>
      <w:r w:rsidRPr="00591A13">
        <w:rPr>
          <w:rtl/>
        </w:rPr>
        <w:t xml:space="preserve"> 1412</w:t>
      </w:r>
      <w:r w:rsidRPr="00591A13">
        <w:rPr>
          <w:rFonts w:hint="eastAsia"/>
          <w:rtl/>
        </w:rPr>
        <w:t>هـ</w:t>
      </w:r>
      <w:r w:rsidRPr="00591A13">
        <w:rPr>
          <w:rtl/>
        </w:rPr>
        <w:t xml:space="preserve"> / 1991</w:t>
      </w:r>
      <w:r w:rsidRPr="00591A13">
        <w:rPr>
          <w:rFonts w:hint="eastAsia"/>
          <w:rtl/>
        </w:rPr>
        <w:t>م</w:t>
      </w:r>
      <w:r w:rsidRPr="00591A13">
        <w:rPr>
          <w:rtl/>
        </w:rPr>
        <w:t>.</w:t>
      </w:r>
    </w:p>
    <w:p w:rsidR="005F44B2" w:rsidRPr="00591A13" w:rsidRDefault="005F44B2" w:rsidP="00B91AC6">
      <w:pPr>
        <w:pStyle w:val="Subtitle"/>
        <w:numPr>
          <w:ilvl w:val="0"/>
          <w:numId w:val="46"/>
        </w:numPr>
        <w:spacing w:line="259" w:lineRule="auto"/>
        <w:jc w:val="both"/>
      </w:pPr>
      <w:r w:rsidRPr="00591A13">
        <w:rPr>
          <w:rFonts w:hint="eastAsia"/>
          <w:rtl/>
        </w:rPr>
        <w:t>ابن</w:t>
      </w:r>
      <w:r w:rsidRPr="00591A13">
        <w:rPr>
          <w:rtl/>
        </w:rPr>
        <w:t xml:space="preserve"> </w:t>
      </w:r>
      <w:r w:rsidRPr="00591A13">
        <w:rPr>
          <w:rFonts w:hint="eastAsia"/>
          <w:rtl/>
        </w:rPr>
        <w:t>الهمام،</w:t>
      </w:r>
      <w:r w:rsidRPr="00591A13">
        <w:rPr>
          <w:rtl/>
        </w:rPr>
        <w:t xml:space="preserve"> </w:t>
      </w:r>
      <w:r w:rsidRPr="00591A13">
        <w:rPr>
          <w:rFonts w:hint="eastAsia"/>
          <w:rtl/>
        </w:rPr>
        <w:t>كمال</w:t>
      </w:r>
      <w:r w:rsidRPr="00591A13">
        <w:rPr>
          <w:rtl/>
        </w:rPr>
        <w:t xml:space="preserve"> </w:t>
      </w:r>
      <w:r w:rsidRPr="00591A13">
        <w:rPr>
          <w:rFonts w:hint="eastAsia"/>
          <w:rtl/>
        </w:rPr>
        <w:t>الدين</w:t>
      </w:r>
      <w:r w:rsidRPr="00591A13">
        <w:rPr>
          <w:rtl/>
        </w:rPr>
        <w:t xml:space="preserve"> </w:t>
      </w:r>
      <w:r w:rsidRPr="00591A13">
        <w:rPr>
          <w:rFonts w:hint="eastAsia"/>
          <w:rtl/>
        </w:rPr>
        <w:t>محمد</w:t>
      </w:r>
      <w:r w:rsidRPr="00591A13">
        <w:rPr>
          <w:rtl/>
        </w:rPr>
        <w:t xml:space="preserve"> </w:t>
      </w:r>
      <w:r w:rsidRPr="00591A13">
        <w:rPr>
          <w:rFonts w:hint="eastAsia"/>
          <w:rtl/>
        </w:rPr>
        <w:t>بن</w:t>
      </w:r>
      <w:r w:rsidRPr="00591A13">
        <w:rPr>
          <w:rtl/>
        </w:rPr>
        <w:t xml:space="preserve"> </w:t>
      </w:r>
      <w:r w:rsidRPr="00591A13">
        <w:rPr>
          <w:rFonts w:hint="eastAsia"/>
          <w:rtl/>
        </w:rPr>
        <w:t>عبد</w:t>
      </w:r>
      <w:r w:rsidRPr="00591A13">
        <w:rPr>
          <w:rtl/>
        </w:rPr>
        <w:t xml:space="preserve"> </w:t>
      </w:r>
      <w:r w:rsidRPr="00591A13">
        <w:rPr>
          <w:rFonts w:hint="eastAsia"/>
          <w:rtl/>
        </w:rPr>
        <w:t>الواحد</w:t>
      </w:r>
      <w:r w:rsidRPr="00591A13">
        <w:rPr>
          <w:rtl/>
        </w:rPr>
        <w:t xml:space="preserve"> </w:t>
      </w:r>
      <w:r w:rsidRPr="00591A13">
        <w:rPr>
          <w:rFonts w:hint="eastAsia"/>
          <w:rtl/>
        </w:rPr>
        <w:t>السيواسي</w:t>
      </w:r>
      <w:r w:rsidRPr="00591A13">
        <w:rPr>
          <w:rtl/>
        </w:rPr>
        <w:t xml:space="preserve"> </w:t>
      </w:r>
      <w:r w:rsidRPr="00591A13">
        <w:rPr>
          <w:rFonts w:hint="eastAsia"/>
          <w:rtl/>
        </w:rPr>
        <w:t>المعروف</w:t>
      </w:r>
      <w:r w:rsidRPr="00591A13">
        <w:rPr>
          <w:rtl/>
        </w:rPr>
        <w:t xml:space="preserve"> </w:t>
      </w:r>
      <w:r w:rsidRPr="00591A13">
        <w:rPr>
          <w:rFonts w:hint="eastAsia"/>
          <w:rtl/>
        </w:rPr>
        <w:t>بابن</w:t>
      </w:r>
      <w:r w:rsidRPr="00591A13">
        <w:rPr>
          <w:rtl/>
        </w:rPr>
        <w:t xml:space="preserve"> </w:t>
      </w:r>
      <w:r w:rsidRPr="00591A13">
        <w:rPr>
          <w:rFonts w:hint="eastAsia"/>
          <w:rtl/>
        </w:rPr>
        <w:t>الهمام</w:t>
      </w:r>
      <w:r w:rsidRPr="00591A13">
        <w:rPr>
          <w:rtl/>
        </w:rPr>
        <w:t xml:space="preserve"> (</w:t>
      </w:r>
      <w:r w:rsidRPr="00591A13">
        <w:rPr>
          <w:rFonts w:hint="eastAsia"/>
          <w:rtl/>
        </w:rPr>
        <w:t>ت</w:t>
      </w:r>
      <w:r w:rsidRPr="00591A13">
        <w:rPr>
          <w:rtl/>
        </w:rPr>
        <w:t xml:space="preserve"> 861</w:t>
      </w:r>
      <w:r w:rsidRPr="00591A13">
        <w:rPr>
          <w:rFonts w:hint="eastAsia"/>
          <w:rtl/>
        </w:rPr>
        <w:t>هـ</w:t>
      </w:r>
      <w:r w:rsidRPr="00591A13">
        <w:rPr>
          <w:rtl/>
        </w:rPr>
        <w:t>)</w:t>
      </w:r>
      <w:r w:rsidRPr="00591A13">
        <w:rPr>
          <w:rFonts w:hint="eastAsia"/>
          <w:rtl/>
        </w:rPr>
        <w:t>،</w:t>
      </w:r>
      <w:r w:rsidRPr="00591A13">
        <w:rPr>
          <w:rFonts w:hint="eastAsia"/>
          <w:b/>
          <w:bCs/>
          <w:rtl/>
        </w:rPr>
        <w:t>فتح</w:t>
      </w:r>
      <w:r w:rsidRPr="00591A13">
        <w:rPr>
          <w:b/>
          <w:bCs/>
          <w:rtl/>
        </w:rPr>
        <w:t xml:space="preserve"> </w:t>
      </w:r>
      <w:r w:rsidRPr="00591A13">
        <w:rPr>
          <w:rFonts w:hint="eastAsia"/>
          <w:b/>
          <w:bCs/>
          <w:rtl/>
        </w:rPr>
        <w:t>القدير</w:t>
      </w:r>
      <w:r w:rsidRPr="00591A13">
        <w:rPr>
          <w:rFonts w:hint="eastAsia"/>
          <w:rtl/>
        </w:rPr>
        <w:t>،</w:t>
      </w:r>
      <w:r w:rsidRPr="00591A13">
        <w:rPr>
          <w:rtl/>
        </w:rPr>
        <w:t xml:space="preserve"> 10</w:t>
      </w:r>
      <w:r w:rsidRPr="00591A13">
        <w:rPr>
          <w:rFonts w:hint="eastAsia"/>
          <w:rtl/>
        </w:rPr>
        <w:t>م،دار</w:t>
      </w:r>
      <w:r w:rsidRPr="00591A13">
        <w:rPr>
          <w:rtl/>
        </w:rPr>
        <w:t xml:space="preserve"> </w:t>
      </w:r>
      <w:r w:rsidRPr="00591A13">
        <w:rPr>
          <w:rFonts w:hint="eastAsia"/>
          <w:rtl/>
        </w:rPr>
        <w:t>الفكر،</w:t>
      </w:r>
      <w:r w:rsidRPr="00591A13">
        <w:rPr>
          <w:rtl/>
        </w:rPr>
        <w:t xml:space="preserve"> </w:t>
      </w:r>
      <w:r w:rsidRPr="00591A13">
        <w:rPr>
          <w:rFonts w:hint="eastAsia"/>
          <w:rtl/>
        </w:rPr>
        <w:t>بدون</w:t>
      </w:r>
      <w:r w:rsidRPr="00591A13">
        <w:rPr>
          <w:rtl/>
        </w:rPr>
        <w:t xml:space="preserve"> </w:t>
      </w:r>
      <w:r w:rsidRPr="00591A13">
        <w:rPr>
          <w:rFonts w:hint="eastAsia"/>
          <w:rtl/>
        </w:rPr>
        <w:t>تاريخ</w:t>
      </w:r>
      <w:r w:rsidRPr="00591A13">
        <w:rPr>
          <w:rtl/>
        </w:rPr>
        <w:t>.</w:t>
      </w:r>
    </w:p>
    <w:p w:rsidR="005F44B2" w:rsidRPr="00591A13" w:rsidRDefault="005F44B2" w:rsidP="00591A13">
      <w:pPr>
        <w:pStyle w:val="a4"/>
        <w:numPr>
          <w:ilvl w:val="0"/>
          <w:numId w:val="46"/>
        </w:numPr>
        <w:rPr>
          <w:sz w:val="28"/>
          <w:szCs w:val="28"/>
          <w:vertAlign w:val="baseline"/>
        </w:rPr>
      </w:pPr>
      <w:hyperlink r:id="rId12" w:history="1">
        <w:r w:rsidRPr="00450621">
          <w:rPr>
            <w:rStyle w:val="Hyperlink"/>
            <w:rFonts w:cs="Arabic Transparent"/>
            <w:b/>
            <w:bCs/>
            <w:sz w:val="28"/>
            <w:szCs w:val="28"/>
            <w:u w:val="none"/>
            <w:vertAlign w:val="baseline"/>
          </w:rPr>
          <w:t>https://islamqa.info/ar/201633</w:t>
        </w:r>
      </w:hyperlink>
      <w:r w:rsidRPr="00591A13">
        <w:rPr>
          <w:rFonts w:hint="cs"/>
          <w:sz w:val="28"/>
          <w:szCs w:val="28"/>
          <w:vertAlign w:val="baseline"/>
          <w:rtl/>
        </w:rPr>
        <w:t>،</w:t>
      </w:r>
      <w:r w:rsidRPr="00591A13">
        <w:rPr>
          <w:sz w:val="28"/>
          <w:szCs w:val="28"/>
          <w:vertAlign w:val="baseline"/>
          <w:rtl/>
        </w:rPr>
        <w:t xml:space="preserve"> 07/03/16، 13:08.</w:t>
      </w:r>
    </w:p>
    <w:p w:rsidR="005F44B2" w:rsidRPr="0093211B" w:rsidRDefault="005F44B2" w:rsidP="00221EA5">
      <w:pPr>
        <w:pStyle w:val="Subtitle"/>
        <w:numPr>
          <w:ilvl w:val="0"/>
          <w:numId w:val="46"/>
        </w:numPr>
        <w:spacing w:line="259" w:lineRule="auto"/>
        <w:jc w:val="both"/>
        <w:rPr>
          <w:rtl/>
        </w:rPr>
      </w:pPr>
      <w:hyperlink r:id="rId13" w:history="1">
        <w:r w:rsidRPr="0093211B">
          <w:rPr>
            <w:rStyle w:val="Hyperlink"/>
            <w:rFonts w:cs="Arabic Transparent"/>
            <w:b/>
            <w:bCs/>
            <w:u w:val="none"/>
          </w:rPr>
          <w:t>https://islamqa.info/ar/201633</w:t>
        </w:r>
      </w:hyperlink>
      <w:r w:rsidRPr="0093211B">
        <w:rPr>
          <w:rFonts w:hint="eastAsia"/>
          <w:rtl/>
        </w:rPr>
        <w:t>،</w:t>
      </w:r>
      <w:r w:rsidRPr="0093211B">
        <w:rPr>
          <w:rtl/>
        </w:rPr>
        <w:t xml:space="preserve"> 07/03/16</w:t>
      </w:r>
      <w:r w:rsidRPr="0093211B">
        <w:rPr>
          <w:rFonts w:hint="eastAsia"/>
          <w:rtl/>
        </w:rPr>
        <w:t>،</w:t>
      </w:r>
      <w:r w:rsidRPr="0093211B">
        <w:rPr>
          <w:rtl/>
        </w:rPr>
        <w:t xml:space="preserve"> 16:15.</w:t>
      </w:r>
    </w:p>
    <w:p w:rsidR="005F44B2" w:rsidRDefault="005F44B2" w:rsidP="00221EA5">
      <w:pPr>
        <w:pStyle w:val="a0"/>
        <w:rPr>
          <w:b/>
          <w:bCs/>
          <w:rtl/>
        </w:rPr>
      </w:pPr>
    </w:p>
    <w:p w:rsidR="005F44B2" w:rsidRDefault="005F44B2">
      <w:pPr>
        <w:bidi w:val="0"/>
        <w:spacing w:line="259" w:lineRule="auto"/>
        <w:rPr>
          <w:b/>
          <w:bCs/>
          <w:sz w:val="28"/>
          <w:szCs w:val="28"/>
          <w:rtl/>
        </w:rPr>
      </w:pPr>
      <w:r>
        <w:rPr>
          <w:b/>
          <w:bCs/>
          <w:rtl/>
        </w:rPr>
        <w:br w:type="page"/>
      </w:r>
    </w:p>
    <w:p w:rsidR="005F44B2" w:rsidRDefault="005F44B2" w:rsidP="000B2234">
      <w:pPr>
        <w:pStyle w:val="a0"/>
        <w:keepNext/>
        <w:rPr>
          <w:b/>
          <w:bCs/>
          <w:rtl/>
        </w:rPr>
      </w:pPr>
      <w:bookmarkStart w:id="52" w:name="_GoBack"/>
      <w:bookmarkEnd w:id="52"/>
      <w:r>
        <w:rPr>
          <w:rFonts w:hint="cs"/>
          <w:b/>
          <w:bCs/>
          <w:rtl/>
        </w:rPr>
        <w:t>المصادر</w:t>
      </w:r>
      <w:r>
        <w:rPr>
          <w:b/>
          <w:bCs/>
          <w:rtl/>
        </w:rPr>
        <w:t xml:space="preserve"> والمراجع التركية</w:t>
      </w:r>
    </w:p>
    <w:p w:rsidR="005F44B2" w:rsidRPr="00415CAB" w:rsidRDefault="005F44B2" w:rsidP="00D274F2">
      <w:pPr>
        <w:pStyle w:val="a4"/>
        <w:numPr>
          <w:ilvl w:val="0"/>
          <w:numId w:val="46"/>
        </w:numPr>
        <w:bidi w:val="0"/>
        <w:rPr>
          <w:rFonts w:ascii="Times New Roman" w:hAnsi="Times New Roman" w:cs="Times New Roman"/>
          <w:vertAlign w:val="baseline"/>
        </w:rPr>
      </w:pPr>
      <w:r w:rsidRPr="00415CAB">
        <w:rPr>
          <w:rFonts w:ascii="Times New Roman" w:hAnsi="Times New Roman" w:cs="Times New Roman"/>
          <w:vertAlign w:val="baseline"/>
        </w:rPr>
        <w:t xml:space="preserve">AKTEPE, Münir, </w:t>
      </w:r>
      <w:r w:rsidRPr="00415CAB">
        <w:rPr>
          <w:rFonts w:ascii="Times New Roman" w:hAnsi="Times New Roman" w:cs="Times New Roman"/>
          <w:b/>
          <w:bCs/>
          <w:vertAlign w:val="baseline"/>
        </w:rPr>
        <w:t>“ Abdülhamid I ”</w:t>
      </w:r>
      <w:r w:rsidRPr="00415CAB">
        <w:rPr>
          <w:rFonts w:ascii="Times New Roman" w:hAnsi="Times New Roman" w:cs="Times New Roman"/>
          <w:vertAlign w:val="baseline"/>
        </w:rPr>
        <w:t>, DİA, Ankara, Türkiye Diyanet Vakfı, c1.</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AKYILDIZ, Ali, </w:t>
      </w:r>
      <w:r w:rsidRPr="00450621">
        <w:rPr>
          <w:rFonts w:ascii="Times New Roman" w:hAnsi="Times New Roman" w:cs="Times New Roman"/>
          <w:b/>
          <w:bCs/>
          <w:vertAlign w:val="baseline"/>
        </w:rPr>
        <w:t>“ MECLİS-İ MEB’ûSAN ”</w:t>
      </w:r>
      <w:r w:rsidRPr="00450621">
        <w:rPr>
          <w:rFonts w:ascii="Times New Roman" w:hAnsi="Times New Roman" w:cs="Times New Roman"/>
          <w:vertAlign w:val="baseline"/>
        </w:rPr>
        <w:t>, DİA, c28.</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AKYILDIZ, Ali, </w:t>
      </w:r>
      <w:r w:rsidRPr="00450621">
        <w:rPr>
          <w:rFonts w:ascii="Times New Roman" w:hAnsi="Times New Roman" w:cs="Times New Roman"/>
          <w:b/>
          <w:bCs/>
          <w:vertAlign w:val="baseline"/>
        </w:rPr>
        <w:t>“ TANZİMAT ”</w:t>
      </w:r>
      <w:r w:rsidRPr="00450621">
        <w:rPr>
          <w:rFonts w:ascii="Times New Roman" w:hAnsi="Times New Roman" w:cs="Times New Roman"/>
          <w:vertAlign w:val="baseline"/>
        </w:rPr>
        <w:t>, DİA, c40.</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AYDIN, Akif, “</w:t>
      </w:r>
      <w:r w:rsidRPr="00450621">
        <w:rPr>
          <w:rFonts w:ascii="Times New Roman" w:hAnsi="Times New Roman" w:cs="Times New Roman"/>
          <w:b/>
          <w:bCs/>
          <w:vertAlign w:val="baseline"/>
        </w:rPr>
        <w:t>MECELE-i AHKÂM-ı ADLİYYE</w:t>
      </w:r>
      <w:r w:rsidRPr="00450621">
        <w:rPr>
          <w:rFonts w:ascii="Times New Roman" w:hAnsi="Times New Roman" w:cs="Times New Roman"/>
          <w:vertAlign w:val="baseline"/>
        </w:rPr>
        <w:t>”, DİA, c28.</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AYDIN, Akif, “</w:t>
      </w:r>
      <w:r w:rsidRPr="00450621">
        <w:rPr>
          <w:rFonts w:ascii="Times New Roman" w:hAnsi="Times New Roman" w:cs="Times New Roman"/>
          <w:b/>
          <w:bCs/>
          <w:vertAlign w:val="baseline"/>
        </w:rPr>
        <w:t>MECELE-i AHKÂM-ı ADLİYYE</w:t>
      </w:r>
      <w:r w:rsidRPr="00450621">
        <w:rPr>
          <w:rFonts w:ascii="Times New Roman" w:hAnsi="Times New Roman" w:cs="Times New Roman"/>
          <w:vertAlign w:val="baseline"/>
        </w:rPr>
        <w:t>”, DİA, c28.</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AYDIN, M. Akif, “ </w:t>
      </w:r>
      <w:r w:rsidRPr="00450621">
        <w:rPr>
          <w:rFonts w:ascii="Times New Roman" w:hAnsi="Times New Roman" w:cs="Times New Roman"/>
          <w:b/>
          <w:bCs/>
          <w:vertAlign w:val="baseline"/>
        </w:rPr>
        <w:t>MECELLENİN YÜRÜRLÜKTEN KALDIRILAN ALTINCI KİTABI: KİTABÜ’L-VEDÎA</w:t>
      </w:r>
      <w:r w:rsidRPr="00450621">
        <w:rPr>
          <w:rFonts w:ascii="Times New Roman" w:hAnsi="Times New Roman" w:cs="Times New Roman"/>
          <w:vertAlign w:val="baseline"/>
        </w:rPr>
        <w:t xml:space="preserve">”, </w:t>
      </w:r>
      <w:r w:rsidRPr="00450621">
        <w:rPr>
          <w:rFonts w:ascii="Times New Roman" w:hAnsi="Times New Roman" w:cs="Times New Roman"/>
          <w:b/>
          <w:bCs/>
          <w:i/>
          <w:iCs/>
          <w:vertAlign w:val="baseline"/>
        </w:rPr>
        <w:t>Osmanlı Araştırmaları</w:t>
      </w:r>
      <w:r w:rsidRPr="00450621">
        <w:rPr>
          <w:rFonts w:ascii="Times New Roman" w:hAnsi="Times New Roman" w:cs="Times New Roman"/>
          <w:vertAlign w:val="baseline"/>
        </w:rPr>
        <w:t>, 1993, İstanbul, c13.</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BEYDİLLİ, Kemal, </w:t>
      </w:r>
      <w:r w:rsidRPr="00450621">
        <w:rPr>
          <w:rFonts w:ascii="Times New Roman" w:hAnsi="Times New Roman" w:cs="Times New Roman"/>
          <w:b/>
          <w:bCs/>
          <w:vertAlign w:val="baseline"/>
        </w:rPr>
        <w:t>“ MAHMUD II ”</w:t>
      </w:r>
      <w:r w:rsidRPr="00450621">
        <w:rPr>
          <w:rFonts w:ascii="Times New Roman" w:hAnsi="Times New Roman" w:cs="Times New Roman"/>
          <w:vertAlign w:val="baseline"/>
        </w:rPr>
        <w:t>, DİA, c27.</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BEYDİLLİ, Kemal, </w:t>
      </w:r>
      <w:r w:rsidRPr="00450621">
        <w:rPr>
          <w:rFonts w:ascii="Times New Roman" w:hAnsi="Times New Roman" w:cs="Times New Roman"/>
          <w:b/>
          <w:bCs/>
          <w:vertAlign w:val="baseline"/>
        </w:rPr>
        <w:t>“ MUSTAFA IV ”</w:t>
      </w:r>
      <w:r w:rsidRPr="00450621">
        <w:rPr>
          <w:rFonts w:ascii="Times New Roman" w:hAnsi="Times New Roman" w:cs="Times New Roman"/>
          <w:vertAlign w:val="baseline"/>
        </w:rPr>
        <w:t>, DİA, c31.</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BEYDİLLİ, Kemal, </w:t>
      </w:r>
      <w:r w:rsidRPr="00450621">
        <w:rPr>
          <w:rFonts w:ascii="Times New Roman" w:hAnsi="Times New Roman" w:cs="Times New Roman"/>
          <w:b/>
          <w:bCs/>
          <w:vertAlign w:val="baseline"/>
        </w:rPr>
        <w:t>“ SELİM III ”</w:t>
      </w:r>
      <w:r w:rsidRPr="00450621">
        <w:rPr>
          <w:rFonts w:ascii="Times New Roman" w:hAnsi="Times New Roman" w:cs="Times New Roman"/>
          <w:vertAlign w:val="baseline"/>
        </w:rPr>
        <w:t>, DİA, c36.</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BUZPINAR, Şit Tufan, </w:t>
      </w:r>
      <w:r w:rsidRPr="00450621">
        <w:rPr>
          <w:rFonts w:ascii="Times New Roman" w:hAnsi="Times New Roman" w:cs="Times New Roman"/>
          <w:b/>
          <w:bCs/>
          <w:vertAlign w:val="baseline"/>
        </w:rPr>
        <w:t>“ ŞAM- OSMANLI DÖNEMİ ”</w:t>
      </w:r>
      <w:r w:rsidRPr="00450621">
        <w:rPr>
          <w:rFonts w:ascii="Times New Roman" w:hAnsi="Times New Roman" w:cs="Times New Roman"/>
          <w:vertAlign w:val="baseline"/>
        </w:rPr>
        <w:t>, DİA, c38.</w:t>
      </w:r>
    </w:p>
    <w:p w:rsidR="005F44B2" w:rsidRPr="00450621" w:rsidRDefault="005F44B2" w:rsidP="00777B84">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CEYLAN, Semih, “ </w:t>
      </w:r>
      <w:r w:rsidRPr="00450621">
        <w:rPr>
          <w:rFonts w:ascii="Times New Roman" w:hAnsi="Times New Roman" w:cs="Times New Roman"/>
          <w:b/>
          <w:bCs/>
          <w:vertAlign w:val="baseline"/>
        </w:rPr>
        <w:t>MESNEVİ</w:t>
      </w:r>
      <w:r w:rsidRPr="00450621">
        <w:rPr>
          <w:rFonts w:ascii="Times New Roman" w:hAnsi="Times New Roman" w:cs="Times New Roman"/>
          <w:vertAlign w:val="baseline"/>
        </w:rPr>
        <w:t>”, DİA, c29.</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ELMALI, Ayşe, </w:t>
      </w:r>
      <w:r w:rsidRPr="00450621">
        <w:rPr>
          <w:rFonts w:ascii="Times New Roman" w:hAnsi="Times New Roman" w:cs="Times New Roman"/>
          <w:b/>
          <w:bCs/>
          <w:vertAlign w:val="baseline"/>
        </w:rPr>
        <w:t>MECELLE-İ AHKÂM-I ADLİYYE’NİN OLUŞUM ŞARTLARI VE HAZIRLANIŞ SÜRECİ</w:t>
      </w:r>
      <w:r w:rsidRPr="00450621">
        <w:rPr>
          <w:rFonts w:ascii="Times New Roman" w:hAnsi="Times New Roman" w:cs="Times New Roman"/>
          <w:vertAlign w:val="baseline"/>
        </w:rPr>
        <w:t>, Dokuz Eylül Üniversitesi, İZMİR, 2005.</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EMECEN, Feridun, </w:t>
      </w:r>
      <w:r w:rsidRPr="00450621">
        <w:rPr>
          <w:rFonts w:ascii="Times New Roman" w:hAnsi="Times New Roman" w:cs="Times New Roman"/>
          <w:b/>
          <w:bCs/>
          <w:vertAlign w:val="baseline"/>
        </w:rPr>
        <w:t>“ CEZZÂR AHMED PAŞA ”</w:t>
      </w:r>
      <w:r w:rsidRPr="00450621">
        <w:rPr>
          <w:rFonts w:ascii="Times New Roman" w:hAnsi="Times New Roman" w:cs="Times New Roman"/>
          <w:vertAlign w:val="baseline"/>
        </w:rPr>
        <w:t>, DİA, c7.</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GÜLSOY, Ufuk, </w:t>
      </w:r>
      <w:r w:rsidRPr="00450621">
        <w:rPr>
          <w:rFonts w:ascii="Times New Roman" w:hAnsi="Times New Roman" w:cs="Times New Roman"/>
          <w:b/>
          <w:bCs/>
          <w:vertAlign w:val="baseline"/>
        </w:rPr>
        <w:t>“ ISLAHAT FERMANI ”</w:t>
      </w:r>
      <w:r w:rsidRPr="00450621">
        <w:rPr>
          <w:rFonts w:ascii="Times New Roman" w:hAnsi="Times New Roman" w:cs="Times New Roman"/>
          <w:vertAlign w:val="baseline"/>
        </w:rPr>
        <w:t>, DİA, c19.</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HALAÇOĞLU, Yusuf – AYDIN, M. Akif,  “</w:t>
      </w:r>
      <w:r w:rsidRPr="00450621">
        <w:rPr>
          <w:rFonts w:ascii="Times New Roman" w:hAnsi="Times New Roman" w:cs="Times New Roman"/>
          <w:b/>
          <w:bCs/>
          <w:vertAlign w:val="baseline"/>
        </w:rPr>
        <w:t>CEVDET PAŞA</w:t>
      </w:r>
      <w:r w:rsidRPr="00450621">
        <w:rPr>
          <w:rFonts w:ascii="Times New Roman" w:hAnsi="Times New Roman" w:cs="Times New Roman"/>
          <w:vertAlign w:val="baseline"/>
        </w:rPr>
        <w:t>”, DİA, c7.</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KAŞIKÇI, Osman, </w:t>
      </w:r>
      <w:r w:rsidRPr="00450621">
        <w:rPr>
          <w:rFonts w:ascii="Times New Roman" w:hAnsi="Times New Roman" w:cs="Times New Roman"/>
          <w:b/>
          <w:bCs/>
          <w:vertAlign w:val="baseline"/>
        </w:rPr>
        <w:t>MECELLE’NİN HAZIRLANIŞI ÖZELLİKLERİ VE ÜZERİNDE YAPILAN DEĞİŞİKLİK ÇALIŞMALARI</w:t>
      </w:r>
      <w:r w:rsidRPr="00450621">
        <w:rPr>
          <w:rFonts w:ascii="Times New Roman" w:hAnsi="Times New Roman" w:cs="Times New Roman"/>
          <w:vertAlign w:val="baseline"/>
        </w:rPr>
        <w:t>, İstanbul Üniversitesi, İSTANBUL, 1995.</w:t>
      </w:r>
    </w:p>
    <w:p w:rsidR="005F44B2" w:rsidRPr="00450621" w:rsidRDefault="005F44B2" w:rsidP="004A62E1">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KOCA, Ferhat, “ </w:t>
      </w:r>
      <w:r w:rsidRPr="00450621">
        <w:rPr>
          <w:rFonts w:ascii="Times New Roman" w:hAnsi="Times New Roman" w:cs="Times New Roman"/>
          <w:b/>
          <w:bCs/>
          <w:vertAlign w:val="baseline"/>
        </w:rPr>
        <w:t>MESUD EFENDİ</w:t>
      </w:r>
      <w:r w:rsidRPr="00450621">
        <w:rPr>
          <w:rFonts w:ascii="Times New Roman" w:hAnsi="Times New Roman" w:cs="Times New Roman"/>
          <w:vertAlign w:val="baseline"/>
        </w:rPr>
        <w:t>”, DİA, C29.</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MALKAÇ, Mehmet, </w:t>
      </w:r>
      <w:r w:rsidRPr="00450621">
        <w:rPr>
          <w:rFonts w:ascii="Times New Roman" w:hAnsi="Times New Roman" w:cs="Times New Roman"/>
          <w:b/>
          <w:bCs/>
          <w:vertAlign w:val="baseline"/>
        </w:rPr>
        <w:t>ANA HATLARIYLA MECELLE VE MECELLE İLE İLGİLİ BİBLİYOGRAFİK ÇALIŞMA</w:t>
      </w:r>
      <w:r w:rsidRPr="00450621">
        <w:rPr>
          <w:rFonts w:ascii="Times New Roman" w:hAnsi="Times New Roman" w:cs="Times New Roman"/>
          <w:vertAlign w:val="baseline"/>
        </w:rPr>
        <w:t>, Sakarya Üniversitesi, SAKARYA, 2001.</w:t>
      </w:r>
    </w:p>
    <w:p w:rsidR="005F44B2" w:rsidRPr="00450621" w:rsidRDefault="005F44B2" w:rsidP="00D274F2">
      <w:pPr>
        <w:pStyle w:val="a4"/>
        <w:numPr>
          <w:ilvl w:val="0"/>
          <w:numId w:val="46"/>
        </w:numPr>
        <w:bidi w:val="0"/>
        <w:rPr>
          <w:rFonts w:ascii="Times New Roman" w:hAnsi="Times New Roman" w:cs="Times New Roman"/>
          <w:vertAlign w:val="baseline"/>
        </w:rPr>
      </w:pPr>
      <w:r w:rsidRPr="00450621">
        <w:rPr>
          <w:rFonts w:ascii="Times New Roman" w:hAnsi="Times New Roman" w:cs="Times New Roman"/>
          <w:vertAlign w:val="baseline"/>
        </w:rPr>
        <w:t xml:space="preserve">Mardin, Ebul’ulâ, </w:t>
      </w:r>
      <w:r w:rsidRPr="00450621">
        <w:rPr>
          <w:rFonts w:ascii="Times New Roman" w:hAnsi="Times New Roman" w:cs="Times New Roman"/>
          <w:b/>
          <w:vertAlign w:val="baseline"/>
        </w:rPr>
        <w:t>Medeni Hukuk Cephesinden Ahmet Cevdet Paşa</w:t>
      </w:r>
      <w:r w:rsidRPr="00450621">
        <w:rPr>
          <w:rFonts w:ascii="Times New Roman" w:hAnsi="Times New Roman" w:cs="Times New Roman"/>
          <w:vertAlign w:val="baseline"/>
        </w:rPr>
        <w:t>, Türkiye Diyanet Vakfı Yayınları, Ankara,1996.</w:t>
      </w:r>
    </w:p>
    <w:p w:rsidR="005F44B2" w:rsidRPr="00450621" w:rsidRDefault="005F44B2" w:rsidP="00D274F2">
      <w:pPr>
        <w:pStyle w:val="a4"/>
        <w:numPr>
          <w:ilvl w:val="0"/>
          <w:numId w:val="46"/>
        </w:numPr>
        <w:bidi w:val="0"/>
        <w:rPr>
          <w:rFonts w:ascii="Times New Roman" w:hAnsi="Times New Roman" w:cs="Times New Roman"/>
          <w:vertAlign w:val="baseline"/>
          <w:rtl/>
        </w:rPr>
      </w:pPr>
      <w:r w:rsidRPr="00450621">
        <w:rPr>
          <w:rFonts w:ascii="Times New Roman" w:hAnsi="Times New Roman" w:cs="Times New Roman"/>
          <w:vertAlign w:val="baseline"/>
        </w:rPr>
        <w:t xml:space="preserve">Mes’ûd Efendi, </w:t>
      </w:r>
      <w:r w:rsidRPr="00450621">
        <w:rPr>
          <w:rFonts w:ascii="Times New Roman" w:hAnsi="Times New Roman" w:cs="Times New Roman"/>
          <w:b/>
          <w:bCs/>
          <w:vertAlign w:val="baseline"/>
        </w:rPr>
        <w:t>Mir'at-ı mecelle</w:t>
      </w:r>
      <w:r w:rsidRPr="00450621">
        <w:rPr>
          <w:rFonts w:ascii="Times New Roman" w:hAnsi="Times New Roman" w:cs="Times New Roman"/>
          <w:vertAlign w:val="baseline"/>
        </w:rPr>
        <w:t>, Matbaa-i Osmaniye, İstanbul, 1884/1302.</w:t>
      </w:r>
    </w:p>
    <w:p w:rsidR="005F44B2" w:rsidRPr="00777B84" w:rsidRDefault="005F44B2" w:rsidP="00777B84">
      <w:pPr>
        <w:pStyle w:val="a4"/>
        <w:numPr>
          <w:ilvl w:val="0"/>
          <w:numId w:val="46"/>
        </w:numPr>
        <w:bidi w:val="0"/>
        <w:rPr>
          <w:sz w:val="28"/>
          <w:szCs w:val="28"/>
          <w:vertAlign w:val="baseline"/>
          <w:rtl/>
        </w:rPr>
      </w:pPr>
      <w:r w:rsidRPr="00450621">
        <w:rPr>
          <w:rFonts w:ascii="Times New Roman" w:hAnsi="Times New Roman" w:cs="Times New Roman"/>
          <w:vertAlign w:val="baseline"/>
        </w:rPr>
        <w:t xml:space="preserve">YILDIZ, Kemal – NACAR, Tayyip, </w:t>
      </w:r>
      <w:r w:rsidRPr="00450621">
        <w:rPr>
          <w:rFonts w:ascii="Times New Roman" w:hAnsi="Times New Roman" w:cs="Times New Roman"/>
          <w:b/>
          <w:vertAlign w:val="baseline"/>
        </w:rPr>
        <w:t xml:space="preserve">Mir'at-ı mecelle’de Belirtilen Mecelle Kaynakları, </w:t>
      </w:r>
      <w:r w:rsidRPr="00450621">
        <w:rPr>
          <w:rFonts w:ascii="Times New Roman" w:hAnsi="Times New Roman" w:cs="Times New Roman"/>
          <w:b/>
          <w:bCs/>
          <w:i/>
          <w:iCs/>
          <w:vertAlign w:val="baseline"/>
        </w:rPr>
        <w:t>İslam Hukuku Araştırmaları Dergisi</w:t>
      </w:r>
      <w:r w:rsidRPr="00450621">
        <w:rPr>
          <w:rFonts w:ascii="Times New Roman" w:hAnsi="Times New Roman" w:cs="Times New Roman"/>
          <w:vertAlign w:val="baseline"/>
        </w:rPr>
        <w:t>, sy.20, 2012.</w:t>
      </w:r>
      <w:r w:rsidRPr="00450621">
        <w:rPr>
          <w:rFonts w:ascii="Times New Roman" w:hAnsi="Times New Roman" w:cs="Times New Roman"/>
          <w:rtl/>
        </w:rPr>
        <w:br w:type="page"/>
      </w:r>
    </w:p>
    <w:p w:rsidR="005F44B2" w:rsidRPr="00777B84" w:rsidRDefault="005F44B2" w:rsidP="00A02E7D">
      <w:pPr>
        <w:pStyle w:val="a0"/>
        <w:bidi w:val="0"/>
        <w:jc w:val="center"/>
        <w:rPr>
          <w:rFonts w:ascii="Times New Roman" w:hAnsi="Times New Roman" w:cs="Times New Roman"/>
        </w:rPr>
      </w:pPr>
      <w:r w:rsidRPr="00777B84">
        <w:rPr>
          <w:rFonts w:ascii="Times New Roman" w:hAnsi="Times New Roman" w:cs="Times New Roman"/>
        </w:rPr>
        <w:t>ISLAM</w:t>
      </w:r>
      <w:r w:rsidRPr="00777B84">
        <w:rPr>
          <w:rFonts w:ascii="Times New Roman" w:hAnsi="Times New Roman" w:cs="Times New Roman"/>
          <w:lang w:val="en-US"/>
        </w:rPr>
        <w:t>IC LEGITIMACY ACCORDING TO IBN ABIDIN</w:t>
      </w:r>
    </w:p>
    <w:p w:rsidR="005F44B2" w:rsidRPr="00777B84" w:rsidRDefault="005F44B2" w:rsidP="00777B84">
      <w:pPr>
        <w:pStyle w:val="a0"/>
        <w:bidi w:val="0"/>
        <w:jc w:val="center"/>
        <w:rPr>
          <w:rFonts w:ascii="Times New Roman" w:hAnsi="Times New Roman" w:cs="Times New Roman"/>
        </w:rPr>
      </w:pPr>
    </w:p>
    <w:p w:rsidR="005F44B2" w:rsidRPr="00777B84" w:rsidRDefault="005F44B2" w:rsidP="00777B84">
      <w:pPr>
        <w:pStyle w:val="a0"/>
        <w:bidi w:val="0"/>
        <w:jc w:val="center"/>
        <w:rPr>
          <w:rFonts w:ascii="Times New Roman" w:hAnsi="Times New Roman" w:cs="Times New Roman"/>
        </w:rPr>
      </w:pPr>
      <w:r w:rsidRPr="00777B84">
        <w:rPr>
          <w:rFonts w:ascii="Times New Roman" w:hAnsi="Times New Roman" w:cs="Times New Roman"/>
        </w:rPr>
        <w:t>By</w:t>
      </w:r>
    </w:p>
    <w:p w:rsidR="005F44B2" w:rsidRPr="00777B84" w:rsidRDefault="005F44B2" w:rsidP="00777B84">
      <w:pPr>
        <w:pStyle w:val="a0"/>
        <w:bidi w:val="0"/>
        <w:jc w:val="center"/>
        <w:rPr>
          <w:rFonts w:ascii="Times New Roman" w:hAnsi="Times New Roman" w:cs="Times New Roman"/>
        </w:rPr>
      </w:pPr>
      <w:r w:rsidRPr="00777B84">
        <w:rPr>
          <w:rFonts w:ascii="Times New Roman" w:hAnsi="Times New Roman" w:cs="Times New Roman"/>
        </w:rPr>
        <w:t>Abdullah Sitki İLHAN</w:t>
      </w:r>
    </w:p>
    <w:p w:rsidR="005F44B2" w:rsidRPr="00777B84" w:rsidRDefault="005F44B2" w:rsidP="00777B84">
      <w:pPr>
        <w:pStyle w:val="a0"/>
        <w:bidi w:val="0"/>
        <w:jc w:val="center"/>
        <w:rPr>
          <w:rFonts w:ascii="Times New Roman" w:hAnsi="Times New Roman" w:cs="Times New Roman"/>
        </w:rPr>
      </w:pPr>
    </w:p>
    <w:p w:rsidR="005F44B2" w:rsidRPr="00777B84" w:rsidRDefault="005F44B2" w:rsidP="00777B84">
      <w:pPr>
        <w:pStyle w:val="a0"/>
        <w:bidi w:val="0"/>
        <w:jc w:val="center"/>
        <w:rPr>
          <w:rFonts w:ascii="Times New Roman" w:hAnsi="Times New Roman" w:cs="Times New Roman"/>
        </w:rPr>
      </w:pPr>
      <w:r w:rsidRPr="00777B84">
        <w:rPr>
          <w:rFonts w:ascii="Times New Roman" w:hAnsi="Times New Roman" w:cs="Times New Roman"/>
        </w:rPr>
        <w:t>Supervisor</w:t>
      </w:r>
    </w:p>
    <w:p w:rsidR="005F44B2" w:rsidRPr="00777B84" w:rsidRDefault="005F44B2" w:rsidP="00777B84">
      <w:pPr>
        <w:pStyle w:val="a0"/>
        <w:bidi w:val="0"/>
        <w:jc w:val="center"/>
        <w:rPr>
          <w:rFonts w:ascii="Times New Roman" w:hAnsi="Times New Roman" w:cs="Times New Roman"/>
        </w:rPr>
      </w:pPr>
      <w:r>
        <w:rPr>
          <w:rFonts w:ascii="Times New Roman" w:hAnsi="Times New Roman" w:cs="Times New Roman"/>
        </w:rPr>
        <w:t>Dr.</w:t>
      </w:r>
      <w:r w:rsidRPr="00777B84">
        <w:rPr>
          <w:rFonts w:ascii="Times New Roman" w:hAnsi="Times New Roman" w:cs="Times New Roman"/>
        </w:rPr>
        <w:t xml:space="preserve"> Jamileh er-Refai</w:t>
      </w:r>
      <w:r>
        <w:rPr>
          <w:rFonts w:ascii="Times New Roman" w:hAnsi="Times New Roman" w:cs="Times New Roman"/>
        </w:rPr>
        <w:t>, Prof.</w:t>
      </w:r>
    </w:p>
    <w:p w:rsidR="005F44B2" w:rsidRDefault="005F44B2" w:rsidP="00777B84">
      <w:pPr>
        <w:pStyle w:val="a1"/>
        <w:bidi w:val="0"/>
        <w:jc w:val="center"/>
        <w:rPr>
          <w:rFonts w:ascii="Times New Roman" w:hAnsi="Times New Roman" w:cs="Times New Roman"/>
          <w:b w:val="0"/>
          <w:bCs w:val="0"/>
          <w:szCs w:val="28"/>
          <w:lang w:bidi="ar-SA"/>
        </w:rPr>
      </w:pPr>
      <w:bookmarkStart w:id="53" w:name="_Toc447092594"/>
    </w:p>
    <w:p w:rsidR="005F44B2" w:rsidRPr="007D20B8" w:rsidRDefault="005F44B2" w:rsidP="007D20B8">
      <w:pPr>
        <w:pStyle w:val="a1"/>
        <w:bidi w:val="0"/>
        <w:jc w:val="center"/>
        <w:rPr>
          <w:rFonts w:ascii="Times New Roman" w:hAnsi="Times New Roman" w:cs="Times New Roman"/>
          <w:szCs w:val="28"/>
          <w:lang w:bidi="ar-SA"/>
        </w:rPr>
      </w:pPr>
      <w:r w:rsidRPr="007D20B8">
        <w:rPr>
          <w:rFonts w:ascii="Times New Roman" w:hAnsi="Times New Roman" w:cs="Times New Roman"/>
          <w:szCs w:val="28"/>
          <w:lang w:bidi="ar-SA"/>
        </w:rPr>
        <w:t>ABSTRACT</w:t>
      </w:r>
      <w:bookmarkEnd w:id="53"/>
    </w:p>
    <w:p w:rsidR="005F44B2" w:rsidRPr="00777B84" w:rsidRDefault="005F44B2" w:rsidP="00777B84">
      <w:pPr>
        <w:pStyle w:val="a0"/>
        <w:bidi w:val="0"/>
        <w:rPr>
          <w:rFonts w:ascii="Times New Roman" w:hAnsi="Times New Roman" w:cs="Times New Roman"/>
        </w:rPr>
      </w:pPr>
      <w:r w:rsidRPr="00777B84">
        <w:rPr>
          <w:rFonts w:ascii="Times New Roman" w:hAnsi="Times New Roman" w:cs="Times New Roman"/>
        </w:rPr>
        <w:t>This is a study on the islamic legitimacy according to Imam Ibn Abidin. It deals with the opinions of Ibn Abidin in islamic legitimacy, as well as the comments of other islamic jurisprudents (fuqaha) in it. Also it deals with its implementation in the events of fıqh according to Ibn Abidin. After dealing with these subjects, it seems that the fuqaha took the islamic legitimacy into the consideration of their diligences (ijtihads), even though they did not use it as a term</w:t>
      </w:r>
      <w:r w:rsidRPr="00777B84">
        <w:rPr>
          <w:rFonts w:ascii="Times New Roman" w:hAnsi="Times New Roman" w:cs="Times New Roman"/>
          <w:rtl/>
        </w:rPr>
        <w:t>.</w:t>
      </w:r>
    </w:p>
    <w:p w:rsidR="005F44B2" w:rsidRPr="00777B84" w:rsidRDefault="005F44B2" w:rsidP="00777B84">
      <w:pPr>
        <w:pStyle w:val="a0"/>
        <w:bidi w:val="0"/>
        <w:rPr>
          <w:rFonts w:ascii="Times New Roman" w:hAnsi="Times New Roman" w:cs="Times New Roman"/>
        </w:rPr>
      </w:pPr>
      <w:r w:rsidRPr="00777B84">
        <w:rPr>
          <w:rFonts w:ascii="Times New Roman" w:hAnsi="Times New Roman" w:cs="Times New Roman"/>
        </w:rPr>
        <w:t>Moreover, it discusses the lexical meaning of islamic legitimacy and the description of it as a term according to Ibn Abidin, the contemporary fuqaha and the preeceding fuqaha. Then it compares between its meanings (Ibn Abidin is on this and the fuqaha are on the other side). Furthermore,  it has been included in this study, the sources of islamic legitimacy and the conditions of its implementation, as well as the methods of it</w:t>
      </w:r>
      <w:r w:rsidRPr="00777B84">
        <w:rPr>
          <w:rFonts w:ascii="Times New Roman" w:hAnsi="Times New Roman" w:cs="Times New Roman"/>
          <w:rtl/>
        </w:rPr>
        <w:t>.</w:t>
      </w:r>
    </w:p>
    <w:p w:rsidR="005F44B2" w:rsidRPr="00777B84" w:rsidRDefault="005F44B2" w:rsidP="00777B84">
      <w:pPr>
        <w:pStyle w:val="a0"/>
        <w:bidi w:val="0"/>
        <w:rPr>
          <w:rFonts w:ascii="Times New Roman" w:hAnsi="Times New Roman" w:cs="Times New Roman"/>
        </w:rPr>
      </w:pPr>
      <w:r w:rsidRPr="00777B84">
        <w:rPr>
          <w:rFonts w:ascii="Times New Roman" w:hAnsi="Times New Roman" w:cs="Times New Roman"/>
        </w:rPr>
        <w:t>Additionally, this dissertation goes around the effect of political state on Ibn Abidin in that era and the effect of Ibn Abidin on the political state in his era, beside his building the fatwa on people, his time and circumstances. Then the researcher talks about the general features of Ibn Abidin's century he lived,  the principles of systems of that century and Majallah al-Ahkam al- Adliya</w:t>
      </w:r>
      <w:r w:rsidRPr="00777B84">
        <w:rPr>
          <w:rFonts w:ascii="Times New Roman" w:hAnsi="Times New Roman" w:cs="Times New Roman"/>
          <w:rtl/>
        </w:rPr>
        <w:t>.</w:t>
      </w:r>
    </w:p>
    <w:p w:rsidR="005F44B2" w:rsidRPr="00777B84" w:rsidRDefault="005F44B2" w:rsidP="00777B84">
      <w:pPr>
        <w:pStyle w:val="a0"/>
        <w:bidi w:val="0"/>
        <w:rPr>
          <w:rFonts w:ascii="Times New Roman" w:hAnsi="Times New Roman" w:cs="Times New Roman"/>
        </w:rPr>
      </w:pPr>
      <w:r w:rsidRPr="00777B84">
        <w:rPr>
          <w:rFonts w:ascii="Times New Roman" w:hAnsi="Times New Roman" w:cs="Times New Roman"/>
        </w:rPr>
        <w:t>Ibn Abidin's effect was big on the principles of systems which were the laws of The Ottoman countries in which there was not a text of The Qur'an or the sunnah. This statement shows clearly the effect of Ibn Abidin on law articles which is going to be indicated</w:t>
      </w:r>
      <w:r w:rsidRPr="00777B84">
        <w:rPr>
          <w:rFonts w:ascii="Times New Roman" w:hAnsi="Times New Roman" w:cs="Times New Roman"/>
          <w:rtl/>
        </w:rPr>
        <w:t>.</w:t>
      </w:r>
    </w:p>
    <w:p w:rsidR="005F44B2" w:rsidRPr="00777B84" w:rsidRDefault="005F44B2" w:rsidP="00777B84">
      <w:pPr>
        <w:pStyle w:val="a0"/>
        <w:bidi w:val="0"/>
        <w:rPr>
          <w:rFonts w:ascii="Times New Roman" w:hAnsi="Times New Roman" w:cs="Times New Roman"/>
        </w:rPr>
      </w:pPr>
      <w:r w:rsidRPr="00777B84">
        <w:rPr>
          <w:rFonts w:ascii="Times New Roman" w:hAnsi="Times New Roman" w:cs="Times New Roman"/>
        </w:rPr>
        <w:t>Finally, the researcher discusses the examples of the implementations of islamic legitimacy in Radd al-Muhtar and the risales of Ibn Abidin. Then this study concludes from the examples choosen,  with that Ibn Abidin took islamic legitimicy into the concideration from the general and special opinion.</w:t>
      </w:r>
    </w:p>
    <w:sectPr w:rsidR="005F44B2" w:rsidRPr="00777B84" w:rsidSect="00B9012C">
      <w:footnotePr>
        <w:numRestart w:val="eachPage"/>
      </w:footnotePr>
      <w:pgSz w:w="11906" w:h="16838"/>
      <w:pgMar w:top="1418" w:right="1985" w:bottom="1418" w:left="1418"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B2" w:rsidRDefault="005F44B2" w:rsidP="00FE5D6C">
      <w:pPr>
        <w:spacing w:after="0"/>
      </w:pPr>
      <w:r>
        <w:separator/>
      </w:r>
    </w:p>
  </w:endnote>
  <w:endnote w:type="continuationSeparator" w:id="1">
    <w:p w:rsidR="005F44B2" w:rsidRDefault="005F44B2" w:rsidP="00FE5D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libri Light">
    <w:panose1 w:val="00000000000000000000"/>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B2" w:rsidRDefault="005F44B2" w:rsidP="00FE5D6C">
      <w:pPr>
        <w:spacing w:after="0"/>
      </w:pPr>
      <w:r>
        <w:separator/>
      </w:r>
    </w:p>
  </w:footnote>
  <w:footnote w:type="continuationSeparator" w:id="1">
    <w:p w:rsidR="005F44B2" w:rsidRDefault="005F44B2" w:rsidP="00FE5D6C">
      <w:pPr>
        <w:spacing w:after="0"/>
      </w:pPr>
      <w:r>
        <w:continuationSeparator/>
      </w:r>
    </w:p>
  </w:footnote>
  <w:footnote w:id="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0C2566">
        <w:rPr>
          <w:rFonts w:hint="cs"/>
          <w:vertAlign w:val="baseline"/>
          <w:rtl/>
        </w:rPr>
        <w:t>علاء</w:t>
      </w:r>
      <w:r w:rsidRPr="000C2566">
        <w:rPr>
          <w:vertAlign w:val="baseline"/>
          <w:rtl/>
        </w:rPr>
        <w:t xml:space="preserve"> الدين أفندي هو: محمد علاء الدين بن محمد أمين بن عمر بن عبد العزيز عابدين الحسيني الدمشقي (1244 - 1306 هـ = 1828 - 1889 م)، فقيه حنفي، من علماء دمشق، سافر الى الآستانة، فكان من أعضاء لجنة وضع (المجلة) وولي القضاء بطرابلس الشام سنة 1292 - 1295هـ </w:t>
      </w:r>
      <w:r>
        <w:rPr>
          <w:rFonts w:hint="cs"/>
          <w:vertAlign w:val="baseline"/>
          <w:rtl/>
        </w:rPr>
        <w:t>،</w:t>
      </w:r>
      <w:r>
        <w:rPr>
          <w:vertAlign w:val="baseline"/>
          <w:rtl/>
        </w:rPr>
        <w:t xml:space="preserve"> </w:t>
      </w:r>
      <w:r w:rsidRPr="000C2566">
        <w:rPr>
          <w:rFonts w:hint="cs"/>
          <w:vertAlign w:val="baseline"/>
          <w:rtl/>
        </w:rPr>
        <w:t>وعين</w:t>
      </w:r>
      <w:r w:rsidRPr="000C2566">
        <w:rPr>
          <w:vertAlign w:val="baseline"/>
          <w:rtl/>
        </w:rPr>
        <w:t xml:space="preserve"> رئيسا ثانيا لمجلس المعارف بدمشق، وتوفي فيها. من كتبه: قرة عيون الأخيار، الهدية العلائية. أنظر: الزركلي، خير الدين بن محمود بن محمد بن علي بن فارس، الزركلي (ت 1396 هـ)، </w:t>
      </w:r>
      <w:r w:rsidRPr="000C2566">
        <w:rPr>
          <w:b/>
          <w:bCs/>
          <w:vertAlign w:val="baseline"/>
          <w:rtl/>
        </w:rPr>
        <w:t xml:space="preserve"> الأعلام قاموس التراجم لأشهر الرجال والنساء من العرب والمستعربين والمستشرقين</w:t>
      </w:r>
      <w:r w:rsidRPr="000C2566">
        <w:rPr>
          <w:rFonts w:hint="cs"/>
          <w:vertAlign w:val="baseline"/>
          <w:rtl/>
        </w:rPr>
        <w:t>،</w:t>
      </w:r>
      <w:r w:rsidRPr="000C2566">
        <w:rPr>
          <w:vertAlign w:val="baseline"/>
          <w:rtl/>
        </w:rPr>
        <w:t xml:space="preserve"> ط15،بيروت، د</w:t>
      </w:r>
      <w:r>
        <w:rPr>
          <w:rFonts w:hint="cs"/>
          <w:vertAlign w:val="baseline"/>
          <w:rtl/>
        </w:rPr>
        <w:t>ر</w:t>
      </w:r>
      <w:r>
        <w:rPr>
          <w:vertAlign w:val="baseline"/>
          <w:rtl/>
        </w:rPr>
        <w:t xml:space="preserve"> العلم للملايين، 2002م، ج6، ص</w:t>
      </w:r>
      <w:r w:rsidRPr="000C2566">
        <w:rPr>
          <w:vertAlign w:val="baseline"/>
          <w:rtl/>
        </w:rPr>
        <w:t xml:space="preserve">270. </w:t>
      </w:r>
    </w:p>
  </w:footnote>
  <w:footnote w:id="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0C2566">
        <w:rPr>
          <w:rFonts w:hint="cs"/>
          <w:vertAlign w:val="baseline"/>
          <w:rtl/>
        </w:rPr>
        <w:t>علاء</w:t>
      </w:r>
      <w:r w:rsidRPr="000C2566">
        <w:rPr>
          <w:vertAlign w:val="baseline"/>
          <w:rtl/>
        </w:rPr>
        <w:t xml:space="preserve"> الدين عابدين، علاء الدين أفندي محمد أمين بن عمر بن عبد العزيز(ت 1306هـ)،</w:t>
      </w:r>
      <w:r w:rsidRPr="000C2566">
        <w:rPr>
          <w:b/>
          <w:bCs/>
          <w:vertAlign w:val="baseline"/>
          <w:rtl/>
        </w:rPr>
        <w:t xml:space="preserve"> حاشية قرة عيون الأخيار تكملة رد المحتار على در المختار شرح تنوير الأبصار، </w:t>
      </w:r>
      <w:r w:rsidRPr="000C2566">
        <w:rPr>
          <w:rFonts w:hint="cs"/>
          <w:vertAlign w:val="baseline"/>
          <w:rtl/>
        </w:rPr>
        <w:t>طبعة</w:t>
      </w:r>
      <w:r w:rsidRPr="000C2566">
        <w:rPr>
          <w:vertAlign w:val="baseline"/>
          <w:rtl/>
        </w:rPr>
        <w:t xml:space="preserve"> </w:t>
      </w:r>
      <w:r>
        <w:rPr>
          <w:vertAlign w:val="baseline"/>
          <w:rtl/>
        </w:rPr>
        <w:t>1</w:t>
      </w:r>
      <w:r w:rsidRPr="000C2566">
        <w:rPr>
          <w:rFonts w:hint="cs"/>
          <w:vertAlign w:val="baseline"/>
          <w:rtl/>
        </w:rPr>
        <w:t>،</w:t>
      </w:r>
      <w:r w:rsidRPr="000C2566">
        <w:rPr>
          <w:vertAlign w:val="baseline"/>
          <w:rtl/>
        </w:rPr>
        <w:t xml:space="preserve"> تحقيق وتعليق الشيخ عادل أحمد عبد الموجور – الشيخ علي محمد معوض، الرياض، دار عالم الكتب، 2003م، ج11، ص8.</w:t>
      </w:r>
    </w:p>
  </w:footnote>
  <w:footnote w:id="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0C2566">
        <w:rPr>
          <w:rFonts w:hint="cs"/>
          <w:vertAlign w:val="baseline"/>
          <w:rtl/>
        </w:rPr>
        <w:t>أنظر</w:t>
      </w:r>
      <w:r w:rsidRPr="000C2566">
        <w:rPr>
          <w:vertAlign w:val="baseline"/>
          <w:rtl/>
        </w:rPr>
        <w:t xml:space="preserve">: علاء الدين عابدين، قرة عيون الأخيار، ج11، ص8؛ ابن نجيم، زين الدين بن إبراهم (ت </w:t>
      </w:r>
      <w:r>
        <w:rPr>
          <w:vertAlign w:val="baseline"/>
          <w:rtl/>
        </w:rPr>
        <w:t>9</w:t>
      </w:r>
      <w:r w:rsidRPr="000C2566">
        <w:rPr>
          <w:vertAlign w:val="baseline"/>
          <w:rtl/>
        </w:rPr>
        <w:t xml:space="preserve">70 هـ) </w:t>
      </w:r>
      <w:r w:rsidRPr="000C2566">
        <w:rPr>
          <w:rFonts w:hint="cs"/>
          <w:b/>
          <w:bCs/>
          <w:vertAlign w:val="baseline"/>
          <w:rtl/>
        </w:rPr>
        <w:t>الأشباه</w:t>
      </w:r>
      <w:r w:rsidRPr="000C2566">
        <w:rPr>
          <w:b/>
          <w:bCs/>
          <w:vertAlign w:val="baseline"/>
          <w:rtl/>
        </w:rPr>
        <w:t xml:space="preserve"> والنظائر، </w:t>
      </w:r>
      <w:r w:rsidRPr="000C2566">
        <w:rPr>
          <w:rFonts w:hint="cs"/>
          <w:vertAlign w:val="baseline"/>
          <w:rtl/>
        </w:rPr>
        <w:t>ط</w:t>
      </w:r>
      <w:r w:rsidRPr="000C2566">
        <w:rPr>
          <w:vertAlign w:val="baseline"/>
          <w:rtl/>
        </w:rPr>
        <w:t xml:space="preserve">2، تحقيق د. محمد مطيع الحافظ، دمشق، دار الفكر، 1986م، ص 19؛ الزركلي، الأعلام، ج6، ص 42؛ الشيخ عبد الرزاق البيطار، عبد الرزاق بن حسن بن إبراهيم البيطار الميداني الدمشقي (ت 1335هـ)، </w:t>
      </w:r>
      <w:r w:rsidRPr="000C2566">
        <w:rPr>
          <w:rFonts w:hint="cs"/>
          <w:b/>
          <w:bCs/>
          <w:vertAlign w:val="baseline"/>
          <w:rtl/>
        </w:rPr>
        <w:t>حلية</w:t>
      </w:r>
      <w:r w:rsidRPr="000C2566">
        <w:rPr>
          <w:b/>
          <w:bCs/>
          <w:vertAlign w:val="baseline"/>
          <w:rtl/>
        </w:rPr>
        <w:t xml:space="preserve"> البشر في تاريخ القرن الثالث عشر، </w:t>
      </w:r>
      <w:r w:rsidRPr="000C2566">
        <w:rPr>
          <w:rFonts w:hint="cs"/>
          <w:vertAlign w:val="baseline"/>
          <w:rtl/>
        </w:rPr>
        <w:t>ط</w:t>
      </w:r>
      <w:r w:rsidRPr="000C2566">
        <w:rPr>
          <w:vertAlign w:val="baseline"/>
          <w:rtl/>
        </w:rPr>
        <w:t>2، بيروت، دار صادر، 1993م، ج3، ص1230.</w:t>
      </w:r>
    </w:p>
  </w:footnote>
  <w:footnote w:id="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0C2566">
        <w:rPr>
          <w:vertAlign w:val="baseline"/>
          <w:rtl/>
        </w:rPr>
        <w:t xml:space="preserve"> أنظر: الفرفور، الدكتور محمد عبد اللطيف صالح الفرفور، </w:t>
      </w:r>
      <w:r w:rsidRPr="000C2566">
        <w:rPr>
          <w:rFonts w:hint="cs"/>
          <w:b/>
          <w:bCs/>
          <w:vertAlign w:val="baseline"/>
          <w:rtl/>
        </w:rPr>
        <w:t>ابن</w:t>
      </w:r>
      <w:r w:rsidRPr="000C2566">
        <w:rPr>
          <w:b/>
          <w:bCs/>
          <w:vertAlign w:val="baseline"/>
          <w:rtl/>
        </w:rPr>
        <w:t xml:space="preserve"> عابدين وأثره في فقه الإسلامي دراسة مقارنة بالقانون</w:t>
      </w:r>
      <w:r w:rsidRPr="000C2566">
        <w:rPr>
          <w:rFonts w:hint="cs"/>
          <w:vertAlign w:val="baseline"/>
          <w:rtl/>
        </w:rPr>
        <w:t>،</w:t>
      </w:r>
      <w:r w:rsidRPr="000C2566">
        <w:rPr>
          <w:vertAlign w:val="baseline"/>
          <w:rtl/>
        </w:rPr>
        <w:t xml:space="preserve"> ط1، دمشق، دار البشائر، 2001م، ص251.</w:t>
      </w:r>
    </w:p>
  </w:footnote>
  <w:footnote w:id="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0C2566">
        <w:rPr>
          <w:vertAlign w:val="baseline"/>
          <w:rtl/>
        </w:rPr>
        <w:t xml:space="preserve"> أنظر: علاء الدين عابدين، قرة عيون الأخيار، ج11، ص8</w:t>
      </w:r>
      <w:r>
        <w:rPr>
          <w:vertAlign w:val="baseline"/>
          <w:rtl/>
        </w:rPr>
        <w:t>.</w:t>
      </w:r>
    </w:p>
  </w:footnote>
  <w:footnote w:id="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0C2566">
        <w:rPr>
          <w:vertAlign w:val="baseline"/>
          <w:rtl/>
        </w:rPr>
        <w:t xml:space="preserve"> علاء الدين عابدين، قرة عيون الأخيار، ج11، ص8</w:t>
      </w:r>
      <w:r>
        <w:rPr>
          <w:vertAlign w:val="baseline"/>
          <w:rtl/>
        </w:rPr>
        <w:t>.</w:t>
      </w:r>
    </w:p>
  </w:footnote>
  <w:footnote w:id="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0643B">
        <w:rPr>
          <w:rFonts w:hint="cs"/>
          <w:vertAlign w:val="baseline"/>
          <w:rtl/>
        </w:rPr>
        <w:t>أنظر</w:t>
      </w:r>
      <w:r w:rsidRPr="00F0643B">
        <w:rPr>
          <w:vertAlign w:val="baseline"/>
          <w:rtl/>
        </w:rPr>
        <w:t>: علاء الدين عابدين، قرة عيون الأخيار، ج11، ص8؛ ابن نجيم، الأشباه والنظائر، ص19، عبد الرزاق البيطار، حلية البشر، ج3، ص1238؛ سأتحدث عن الشيخ الحلبي في شيوخ ابن عابدين.</w:t>
      </w:r>
    </w:p>
  </w:footnote>
  <w:footnote w:id="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0643B">
        <w:rPr>
          <w:vertAlign w:val="baseline"/>
          <w:rtl/>
        </w:rPr>
        <w:t xml:space="preserve"> علاء الدين عابدين، قرة عيون الأخيار، ج11، ص15؛ ابن نجيم، الأشباه والنظائر، ص20؛ الزركلي، الأعلام، ج6، ص42؛ عبد الرزاق البيطار، حلية البشر، ج3، ص1239</w:t>
      </w:r>
    </w:p>
  </w:footnote>
  <w:footnote w:id="1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0643B">
        <w:rPr>
          <w:vertAlign w:val="baseline"/>
          <w:rtl/>
        </w:rPr>
        <w:t xml:space="preserve"> أنظر: علاء الدين عابدين، قرة عيون الأخيار، ج11، ص15-16؛ ابن نجيم، الأشباه والنظائر، ص 20-21؛ عبد الرزاق البيطار، حلية البشر، ج3، ص 1239.</w:t>
      </w:r>
    </w:p>
  </w:footnote>
  <w:footnote w:id="1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6657F">
        <w:rPr>
          <w:vertAlign w:val="baseline"/>
          <w:rtl/>
        </w:rPr>
        <w:t xml:space="preserve"> أنظر: علاء الدين عابدين، قرة عيون الأخيار، ج11، ص8؛ ابن نجيم، الأشباه والنظئر، ص19.</w:t>
      </w:r>
    </w:p>
  </w:footnote>
  <w:footnote w:id="1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6657F">
        <w:rPr>
          <w:rFonts w:hint="cs"/>
          <w:vertAlign w:val="baseline"/>
          <w:rtl/>
        </w:rPr>
        <w:t>الفرفور،</w:t>
      </w:r>
      <w:r w:rsidRPr="0076657F">
        <w:rPr>
          <w:vertAlign w:val="baseline"/>
          <w:rtl/>
        </w:rPr>
        <w:t xml:space="preserve"> ابن عابدين وأثره، ص294.</w:t>
      </w:r>
    </w:p>
  </w:footnote>
  <w:footnote w:id="1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6657F">
        <w:rPr>
          <w:vertAlign w:val="baseline"/>
          <w:rtl/>
        </w:rPr>
        <w:t xml:space="preserve">  أنظر: علاء الدين عابدين، قرة عيون الأخيار، ج11، ص9؛ ابن نجيم، الأشباه والنظئر، ص20؛ الفرفور، ابن عابدين وأثره، ص294.</w:t>
      </w:r>
    </w:p>
  </w:footnote>
  <w:footnote w:id="1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6657F">
        <w:rPr>
          <w:rFonts w:hint="cs"/>
          <w:vertAlign w:val="baseline"/>
          <w:rtl/>
        </w:rPr>
        <w:t>علاء</w:t>
      </w:r>
      <w:r w:rsidRPr="0076657F">
        <w:rPr>
          <w:vertAlign w:val="baseline"/>
          <w:rtl/>
        </w:rPr>
        <w:t xml:space="preserve"> الدين عابدين، قرة عيون الأخيار، ج11، ص9</w:t>
      </w:r>
      <w:r>
        <w:rPr>
          <w:rFonts w:hint="cs"/>
          <w:vertAlign w:val="baseline"/>
          <w:rtl/>
        </w:rPr>
        <w:t>؛</w:t>
      </w:r>
      <w:r w:rsidRPr="0076657F">
        <w:rPr>
          <w:rFonts w:hint="cs"/>
          <w:vertAlign w:val="baseline"/>
          <w:rtl/>
        </w:rPr>
        <w:t>ابن</w:t>
      </w:r>
      <w:r w:rsidRPr="0076657F">
        <w:rPr>
          <w:vertAlign w:val="baseline"/>
          <w:rtl/>
        </w:rPr>
        <w:t xml:space="preserve"> نجيم، الأشباه والنظئر، ص20</w:t>
      </w:r>
      <w:r>
        <w:rPr>
          <w:vertAlign w:val="baseline"/>
          <w:rtl/>
        </w:rPr>
        <w:t>.</w:t>
      </w:r>
    </w:p>
  </w:footnote>
  <w:footnote w:id="1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6657F">
        <w:rPr>
          <w:rFonts w:hint="cs"/>
          <w:vertAlign w:val="baseline"/>
          <w:rtl/>
        </w:rPr>
        <w:t>أنظر</w:t>
      </w:r>
      <w:r w:rsidRPr="0076657F">
        <w:rPr>
          <w:vertAlign w:val="baseline"/>
          <w:rtl/>
        </w:rPr>
        <w:t>: علاء الدين عا</w:t>
      </w:r>
      <w:r>
        <w:rPr>
          <w:rFonts w:hint="cs"/>
          <w:vertAlign w:val="baseline"/>
          <w:rtl/>
        </w:rPr>
        <w:t>بدين،</w:t>
      </w:r>
      <w:r>
        <w:rPr>
          <w:vertAlign w:val="baseline"/>
          <w:rtl/>
        </w:rPr>
        <w:t xml:space="preserve"> قرة عيون الأخيار، ج11، ص9</w:t>
      </w:r>
      <w:r w:rsidRPr="0076657F">
        <w:rPr>
          <w:vertAlign w:val="baseline"/>
          <w:rtl/>
        </w:rPr>
        <w:t>.</w:t>
      </w:r>
    </w:p>
  </w:footnote>
  <w:footnote w:id="16">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3269BC">
        <w:rPr>
          <w:rFonts w:hint="cs"/>
          <w:vertAlign w:val="baseline"/>
          <w:rtl/>
        </w:rPr>
        <w:t>كحالة</w:t>
      </w:r>
      <w:r w:rsidRPr="003269BC">
        <w:rPr>
          <w:vertAlign w:val="baseline"/>
          <w:rtl/>
        </w:rPr>
        <w:t xml:space="preserve"> </w:t>
      </w:r>
      <w:r>
        <w:rPr>
          <w:rFonts w:hint="cs"/>
          <w:vertAlign w:val="baseline"/>
          <w:rtl/>
        </w:rPr>
        <w:t>،</w:t>
      </w:r>
      <w:r>
        <w:rPr>
          <w:vertAlign w:val="baseline"/>
          <w:rtl/>
        </w:rPr>
        <w:t xml:space="preserve"> </w:t>
      </w:r>
      <w:r w:rsidRPr="003269BC">
        <w:rPr>
          <w:rFonts w:hint="cs"/>
          <w:vertAlign w:val="baseline"/>
          <w:rtl/>
        </w:rPr>
        <w:t>عمر</w:t>
      </w:r>
      <w:r w:rsidRPr="003269BC">
        <w:rPr>
          <w:vertAlign w:val="baseline"/>
          <w:rtl/>
        </w:rPr>
        <w:t xml:space="preserve"> بن رضا بن محمد راغب بن عبد الغني كحالة الدمشق (</w:t>
      </w:r>
      <w:r>
        <w:rPr>
          <w:rFonts w:hint="cs"/>
          <w:vertAlign w:val="baseline"/>
          <w:rtl/>
        </w:rPr>
        <w:t>ت</w:t>
      </w:r>
      <w:r w:rsidRPr="003269BC">
        <w:rPr>
          <w:vertAlign w:val="baseline"/>
          <w:rtl/>
        </w:rPr>
        <w:t xml:space="preserve"> 1408هـ)</w:t>
      </w:r>
      <w:r>
        <w:rPr>
          <w:rFonts w:hint="cs"/>
          <w:vertAlign w:val="baseline"/>
          <w:rtl/>
        </w:rPr>
        <w:t>،</w:t>
      </w:r>
      <w:r>
        <w:rPr>
          <w:vertAlign w:val="baseline"/>
          <w:rtl/>
        </w:rPr>
        <w:t xml:space="preserve"> </w:t>
      </w:r>
      <w:r w:rsidRPr="003269BC">
        <w:rPr>
          <w:rFonts w:hint="cs"/>
          <w:b/>
          <w:bCs/>
          <w:vertAlign w:val="baseline"/>
          <w:rtl/>
        </w:rPr>
        <w:t>معجم</w:t>
      </w:r>
      <w:r w:rsidRPr="003269BC">
        <w:rPr>
          <w:b/>
          <w:bCs/>
          <w:vertAlign w:val="baseline"/>
          <w:rtl/>
        </w:rPr>
        <w:t xml:space="preserve"> المؤلفين</w:t>
      </w:r>
      <w:r>
        <w:rPr>
          <w:rFonts w:hint="cs"/>
          <w:vertAlign w:val="baseline"/>
          <w:rtl/>
        </w:rPr>
        <w:t>،</w:t>
      </w:r>
      <w:r>
        <w:rPr>
          <w:vertAlign w:val="baseline"/>
          <w:rtl/>
        </w:rPr>
        <w:t xml:space="preserve"> </w:t>
      </w:r>
      <w:r w:rsidRPr="003269BC">
        <w:rPr>
          <w:rFonts w:hint="cs"/>
          <w:vertAlign w:val="baseline"/>
          <w:rtl/>
        </w:rPr>
        <w:t>دار</w:t>
      </w:r>
      <w:r w:rsidRPr="003269BC">
        <w:rPr>
          <w:vertAlign w:val="baseline"/>
          <w:rtl/>
        </w:rPr>
        <w:t xml:space="preserve"> إحياء التراث العربي</w:t>
      </w:r>
      <w:r>
        <w:rPr>
          <w:rFonts w:hint="cs"/>
          <w:vertAlign w:val="baseline"/>
          <w:rtl/>
        </w:rPr>
        <w:t>،</w:t>
      </w:r>
      <w:r>
        <w:rPr>
          <w:vertAlign w:val="baseline"/>
          <w:rtl/>
        </w:rPr>
        <w:t xml:space="preserve"> بيروت، ج4، ص95؛ </w:t>
      </w:r>
      <w:r w:rsidRPr="00C74C2C">
        <w:rPr>
          <w:rFonts w:hint="cs"/>
          <w:vertAlign w:val="baseline"/>
          <w:rtl/>
        </w:rPr>
        <w:t>الزركلي،</w:t>
      </w:r>
      <w:r w:rsidRPr="00C74C2C">
        <w:rPr>
          <w:vertAlign w:val="baseline"/>
          <w:rtl/>
        </w:rPr>
        <w:t xml:space="preserve"> الأعلام، ج2</w:t>
      </w:r>
      <w:r w:rsidRPr="00C74C2C">
        <w:rPr>
          <w:rFonts w:hint="cs"/>
          <w:vertAlign w:val="baseline"/>
          <w:rtl/>
        </w:rPr>
        <w:t>،</w:t>
      </w:r>
      <w:r w:rsidRPr="00C74C2C">
        <w:rPr>
          <w:vertAlign w:val="baseline"/>
          <w:rtl/>
        </w:rPr>
        <w:t xml:space="preserve"> ص294.</w:t>
      </w:r>
    </w:p>
  </w:footnote>
  <w:footnote w:id="1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rFonts w:hint="cs"/>
          <w:vertAlign w:val="baseline"/>
          <w:rtl/>
        </w:rPr>
        <w:t>علاء</w:t>
      </w:r>
      <w:r w:rsidRPr="00C74C2C">
        <w:rPr>
          <w:vertAlign w:val="baseline"/>
          <w:rtl/>
        </w:rPr>
        <w:t xml:space="preserve"> الدين عابدين، </w:t>
      </w:r>
      <w:r>
        <w:rPr>
          <w:rFonts w:hint="cs"/>
          <w:vertAlign w:val="baseline"/>
          <w:rtl/>
        </w:rPr>
        <w:t>قرة</w:t>
      </w:r>
      <w:r>
        <w:rPr>
          <w:vertAlign w:val="baseline"/>
          <w:rtl/>
        </w:rPr>
        <w:t xml:space="preserve"> عيون الأخيار، ج11، ص14؛ الفرفور، ابن عابدين وأثره، ص321.</w:t>
      </w:r>
    </w:p>
  </w:footnote>
  <w:footnote w:id="18">
    <w:p w:rsidR="005F44B2" w:rsidRDefault="005F44B2" w:rsidP="006D59AD">
      <w:pPr>
        <w:pStyle w:val="a4"/>
        <w:spacing w:line="312" w:lineRule="auto"/>
      </w:pPr>
      <w:r>
        <w:rPr>
          <w:rtl/>
        </w:rPr>
        <w:t>(</w:t>
      </w:r>
      <w:r>
        <w:rPr>
          <w:rStyle w:val="FootnoteReference"/>
          <w:rFonts w:cs="Arabic Transparent"/>
        </w:rPr>
        <w:footnoteRef/>
      </w:r>
      <w:r>
        <w:rPr>
          <w:rtl/>
        </w:rPr>
        <w:t>)</w:t>
      </w:r>
      <w:r w:rsidRPr="00C74C2C">
        <w:rPr>
          <w:rFonts w:hint="cs"/>
          <w:vertAlign w:val="baseline"/>
          <w:rtl/>
        </w:rPr>
        <w:t>الكتاني،</w:t>
      </w:r>
      <w:r w:rsidRPr="00C74C2C">
        <w:rPr>
          <w:vertAlign w:val="baseline"/>
          <w:rtl/>
        </w:rPr>
        <w:t xml:space="preserve"> محمد عَبْد الحَيّ بن عبد الكبير ابن محمد الحسني الإدريسي، المعروف بعبد الحي الكتاني (ت: 1382هـ)، </w:t>
      </w:r>
      <w:r w:rsidRPr="00C74C2C">
        <w:rPr>
          <w:rFonts w:hint="cs"/>
          <w:b/>
          <w:bCs/>
          <w:vertAlign w:val="baseline"/>
          <w:rtl/>
        </w:rPr>
        <w:t>فهرس</w:t>
      </w:r>
      <w:r w:rsidRPr="00C74C2C">
        <w:rPr>
          <w:b/>
          <w:bCs/>
          <w:vertAlign w:val="baseline"/>
          <w:rtl/>
        </w:rPr>
        <w:t xml:space="preserve"> الفهارس والأثبات ومعجم المعاجم والمشيخات والمسلسلات</w:t>
      </w:r>
      <w:r w:rsidRPr="00C74C2C">
        <w:rPr>
          <w:rFonts w:hint="cs"/>
          <w:vertAlign w:val="baseline"/>
          <w:rtl/>
        </w:rPr>
        <w:t>،</w:t>
      </w:r>
      <w:r w:rsidRPr="00C74C2C">
        <w:rPr>
          <w:vertAlign w:val="baseline"/>
          <w:rtl/>
        </w:rPr>
        <w:t xml:space="preserve"> تحقيق إحسان عباس، ط2، بيروت، دار الغرب الإسلامي، 1982م، ج2، ص840.</w:t>
      </w:r>
    </w:p>
  </w:footnote>
  <w:footnote w:id="1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rFonts w:hint="cs"/>
          <w:vertAlign w:val="baseline"/>
          <w:rtl/>
        </w:rPr>
        <w:t>الكتاني،</w:t>
      </w:r>
      <w:r w:rsidRPr="00416924">
        <w:rPr>
          <w:rFonts w:hint="cs"/>
          <w:vertAlign w:val="baseline"/>
          <w:rtl/>
        </w:rPr>
        <w:t>فهرسالفهارس</w:t>
      </w:r>
      <w:r>
        <w:rPr>
          <w:rFonts w:hint="cs"/>
          <w:b/>
          <w:bCs/>
          <w:vertAlign w:val="baseline"/>
          <w:rtl/>
        </w:rPr>
        <w:t>،</w:t>
      </w:r>
      <w:r>
        <w:rPr>
          <w:b/>
          <w:bCs/>
          <w:vertAlign w:val="baseline"/>
          <w:rtl/>
        </w:rPr>
        <w:t xml:space="preserve"> </w:t>
      </w:r>
      <w:r w:rsidRPr="00C74C2C">
        <w:rPr>
          <w:vertAlign w:val="baseline"/>
          <w:rtl/>
        </w:rPr>
        <w:t>1982م، ج2، ص840.</w:t>
      </w:r>
    </w:p>
  </w:footnote>
  <w:footnote w:id="2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vertAlign w:val="baseline"/>
          <w:rtl/>
        </w:rPr>
        <w:t xml:space="preserve"> أنظر: علاء الدين ع</w:t>
      </w:r>
      <w:r w:rsidRPr="00C74C2C">
        <w:rPr>
          <w:rFonts w:hint="cs"/>
          <w:vertAlign w:val="baseline"/>
          <w:rtl/>
        </w:rPr>
        <w:t>ابدين،</w:t>
      </w:r>
      <w:r w:rsidRPr="00C74C2C">
        <w:rPr>
          <w:vertAlign w:val="baseline"/>
          <w:rtl/>
        </w:rPr>
        <w:t xml:space="preserve"> قرة عيون الأخيار، ج11، ص14.</w:t>
      </w:r>
    </w:p>
  </w:footnote>
  <w:footnote w:id="2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rFonts w:hint="cs"/>
          <w:vertAlign w:val="baseline"/>
          <w:rtl/>
        </w:rPr>
        <w:t>أنظر</w:t>
      </w:r>
      <w:r w:rsidRPr="00C74C2C">
        <w:rPr>
          <w:vertAlign w:val="baseline"/>
          <w:rtl/>
        </w:rPr>
        <w:t>: علاء الدين عابدين، قرة عيون الأخيار، ج11، ص15.</w:t>
      </w:r>
    </w:p>
  </w:footnote>
  <w:footnote w:id="2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vertAlign w:val="baseline"/>
          <w:rtl/>
        </w:rPr>
        <w:t xml:space="preserve"> أنظر: الفرفور، ابن عابدين وأثره، ص353.</w:t>
      </w:r>
    </w:p>
  </w:footnote>
  <w:footnote w:id="2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C74C2C">
        <w:rPr>
          <w:rFonts w:hint="cs"/>
          <w:vertAlign w:val="baseline"/>
          <w:rtl/>
        </w:rPr>
        <w:t>أنظر</w:t>
      </w:r>
      <w:r w:rsidRPr="00C74C2C">
        <w:rPr>
          <w:vertAlign w:val="baseline"/>
          <w:rtl/>
        </w:rPr>
        <w:t>: الزركلي، الأعلام، ج1، ص152.</w:t>
      </w:r>
    </w:p>
  </w:footnote>
  <w:footnote w:id="2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5670E">
        <w:rPr>
          <w:vertAlign w:val="baseline"/>
          <w:rtl/>
        </w:rPr>
        <w:t xml:space="preserve"> هو وسام شرفيٌ أقرّه السلطين عبد المجيد في سنة 1851، وكان </w:t>
      </w:r>
      <w:r w:rsidRPr="0035670E">
        <w:rPr>
          <w:rFonts w:hint="cs"/>
          <w:vertAlign w:val="baseline"/>
          <w:rtl/>
        </w:rPr>
        <w:t>يتكون</w:t>
      </w:r>
      <w:r w:rsidRPr="0035670E">
        <w:rPr>
          <w:vertAlign w:val="baseline"/>
          <w:rtl/>
        </w:rPr>
        <w:t xml:space="preserve"> من خمس مراتب، وكان يعطى للعسكر ولأهل العلم بسبب الخدمة العظيمة والجهود المبذولة، ويسمى بالعربية نشيان والجمع نشايين.</w:t>
      </w:r>
    </w:p>
  </w:footnote>
  <w:footnote w:id="25">
    <w:p w:rsidR="005F44B2" w:rsidRDefault="005F44B2" w:rsidP="006D59AD">
      <w:pPr>
        <w:pStyle w:val="a4"/>
        <w:spacing w:line="312" w:lineRule="auto"/>
      </w:pPr>
      <w:r w:rsidRPr="000C2566">
        <w:rPr>
          <w:rtl/>
        </w:rPr>
        <w:t>(</w:t>
      </w:r>
      <w:r w:rsidRPr="000C2566">
        <w:rPr>
          <w:rStyle w:val="FootnoteReference"/>
          <w:rFonts w:cs="Arabic Transparent"/>
        </w:rPr>
        <w:footnoteRef/>
      </w:r>
      <w:r w:rsidRPr="00A863E0">
        <w:rPr>
          <w:rtl/>
        </w:rPr>
        <w:t>)</w:t>
      </w:r>
      <w:r w:rsidRPr="0035670E">
        <w:rPr>
          <w:rFonts w:hint="cs"/>
          <w:vertAlign w:val="baseline"/>
          <w:rtl/>
        </w:rPr>
        <w:t>أنظر</w:t>
      </w:r>
      <w:r w:rsidRPr="0035670E">
        <w:rPr>
          <w:vertAlign w:val="baseline"/>
          <w:rtl/>
        </w:rPr>
        <w:t>: علاء الدين عابدين، قرة عيون الأخيار، ج11، ص14،15.</w:t>
      </w:r>
    </w:p>
  </w:footnote>
  <w:footnote w:id="2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5670E">
        <w:rPr>
          <w:rFonts w:hint="cs"/>
          <w:vertAlign w:val="baseline"/>
          <w:rtl/>
        </w:rPr>
        <w:t>أنظر</w:t>
      </w:r>
      <w:r w:rsidRPr="0035670E">
        <w:rPr>
          <w:vertAlign w:val="baseline"/>
          <w:rtl/>
        </w:rPr>
        <w:t>: علاء الدين عابدين، قرة عيون الأخيار، ج11، ص15؛ الزركلي، الأعلام، ج4، ص33.</w:t>
      </w:r>
    </w:p>
  </w:footnote>
  <w:footnote w:id="27">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هي المدرسة التي بناها </w:t>
      </w:r>
      <w:r w:rsidRPr="00A1400D">
        <w:rPr>
          <w:rFonts w:hint="cs"/>
          <w:vertAlign w:val="baseline"/>
          <w:rtl/>
        </w:rPr>
        <w:t>الباذرائي</w:t>
      </w:r>
      <w:r>
        <w:rPr>
          <w:rFonts w:hint="cs"/>
          <w:vertAlign w:val="baseline"/>
          <w:rtl/>
        </w:rPr>
        <w:t>،</w:t>
      </w:r>
      <w:r>
        <w:rPr>
          <w:vertAlign w:val="baseline"/>
          <w:rtl/>
        </w:rPr>
        <w:t xml:space="preserve"> هو عبد الله بن محمد بن الحسن،</w:t>
      </w:r>
      <w:r w:rsidRPr="00A1400D">
        <w:rPr>
          <w:vertAlign w:val="baseline"/>
          <w:rtl/>
        </w:rPr>
        <w:t xml:space="preserve"> الإمام الفقيه ا</w:t>
      </w:r>
      <w:r>
        <w:rPr>
          <w:rFonts w:hint="cs"/>
          <w:vertAlign w:val="baseline"/>
          <w:rtl/>
        </w:rPr>
        <w:t>لشيخ</w:t>
      </w:r>
      <w:r>
        <w:rPr>
          <w:vertAlign w:val="baseline"/>
          <w:rtl/>
        </w:rPr>
        <w:t xml:space="preserve"> نجم الدين البغدادي الشافعي،</w:t>
      </w:r>
      <w:r w:rsidRPr="00A1400D">
        <w:rPr>
          <w:vertAlign w:val="baseline"/>
          <w:rtl/>
        </w:rPr>
        <w:t xml:space="preserve"> باني مدرسة الباذرائية شمالي الجامع الأموي بشرق.توفي سنة 655.عبد الرحمن بن الغزي</w:t>
      </w:r>
      <w:r>
        <w:rPr>
          <w:rFonts w:hint="cs"/>
          <w:vertAlign w:val="baseline"/>
          <w:rtl/>
        </w:rPr>
        <w:t>،</w:t>
      </w:r>
      <w:r>
        <w:rPr>
          <w:vertAlign w:val="baseline"/>
          <w:rtl/>
        </w:rPr>
        <w:t xml:space="preserve"> </w:t>
      </w:r>
      <w:r w:rsidRPr="00A1400D">
        <w:rPr>
          <w:rFonts w:hint="cs"/>
          <w:vertAlign w:val="baseline"/>
          <w:rtl/>
        </w:rPr>
        <w:t>شمس</w:t>
      </w:r>
      <w:r w:rsidRPr="00A1400D">
        <w:rPr>
          <w:vertAlign w:val="baseline"/>
          <w:rtl/>
        </w:rPr>
        <w:t xml:space="preserve"> الدين أبو المعالي محمد بن عبد الرحمن بن الغزي (</w:t>
      </w:r>
      <w:r>
        <w:rPr>
          <w:rFonts w:hint="cs"/>
          <w:vertAlign w:val="baseline"/>
          <w:rtl/>
        </w:rPr>
        <w:t>ت</w:t>
      </w:r>
      <w:r w:rsidRPr="00A1400D">
        <w:rPr>
          <w:vertAlign w:val="baseline"/>
          <w:rtl/>
        </w:rPr>
        <w:t xml:space="preserve"> 1167هـ)</w:t>
      </w:r>
      <w:r>
        <w:rPr>
          <w:rFonts w:hint="cs"/>
          <w:vertAlign w:val="baseline"/>
          <w:rtl/>
        </w:rPr>
        <w:t>،</w:t>
      </w:r>
      <w:r>
        <w:rPr>
          <w:vertAlign w:val="baseline"/>
          <w:rtl/>
        </w:rPr>
        <w:t xml:space="preserve"> </w:t>
      </w:r>
      <w:r w:rsidRPr="00A1400D">
        <w:rPr>
          <w:rFonts w:hint="cs"/>
          <w:b/>
          <w:bCs/>
          <w:vertAlign w:val="baseline"/>
          <w:rtl/>
        </w:rPr>
        <w:t>ديوان</w:t>
      </w:r>
      <w:r w:rsidRPr="00A1400D">
        <w:rPr>
          <w:b/>
          <w:bCs/>
          <w:vertAlign w:val="baseline"/>
          <w:rtl/>
        </w:rPr>
        <w:t xml:space="preserve"> الإسلام</w:t>
      </w:r>
      <w:r>
        <w:rPr>
          <w:rFonts w:hint="cs"/>
          <w:vertAlign w:val="baseline"/>
          <w:rtl/>
        </w:rPr>
        <w:t>،</w:t>
      </w:r>
      <w:r>
        <w:rPr>
          <w:vertAlign w:val="baseline"/>
          <w:rtl/>
        </w:rPr>
        <w:t xml:space="preserve"> </w:t>
      </w:r>
      <w:r w:rsidRPr="00A1400D">
        <w:rPr>
          <w:rFonts w:hint="cs"/>
          <w:vertAlign w:val="baseline"/>
          <w:rtl/>
        </w:rPr>
        <w:t>المحقق</w:t>
      </w:r>
      <w:r w:rsidRPr="00A1400D">
        <w:rPr>
          <w:vertAlign w:val="baseline"/>
          <w:rtl/>
        </w:rPr>
        <w:t>: سيد كسروي حسن</w:t>
      </w:r>
      <w:r>
        <w:rPr>
          <w:rFonts w:hint="cs"/>
          <w:vertAlign w:val="baseline"/>
          <w:rtl/>
        </w:rPr>
        <w:t>،</w:t>
      </w:r>
      <w:r>
        <w:rPr>
          <w:vertAlign w:val="baseline"/>
          <w:rtl/>
        </w:rPr>
        <w:t xml:space="preserve"> ط1، </w:t>
      </w:r>
      <w:r w:rsidRPr="00A1400D">
        <w:rPr>
          <w:rFonts w:hint="cs"/>
          <w:vertAlign w:val="baseline"/>
          <w:rtl/>
        </w:rPr>
        <w:t>دار</w:t>
      </w:r>
      <w:r w:rsidRPr="00A1400D">
        <w:rPr>
          <w:vertAlign w:val="baseline"/>
          <w:rtl/>
        </w:rPr>
        <w:t xml:space="preserve"> الكتب العلمية</w:t>
      </w:r>
      <w:r>
        <w:rPr>
          <w:rFonts w:hint="cs"/>
          <w:vertAlign w:val="baseline"/>
          <w:rtl/>
        </w:rPr>
        <w:t>،</w:t>
      </w:r>
      <w:r>
        <w:rPr>
          <w:vertAlign w:val="baseline"/>
          <w:rtl/>
        </w:rPr>
        <w:t xml:space="preserve"> بيروت، </w:t>
      </w:r>
      <w:r w:rsidRPr="00A1400D">
        <w:rPr>
          <w:vertAlign w:val="baseline"/>
          <w:rtl/>
        </w:rPr>
        <w:t xml:space="preserve">1411 هـ </w:t>
      </w:r>
      <w:r>
        <w:rPr>
          <w:vertAlign w:val="baseline"/>
          <w:rtl/>
        </w:rPr>
        <w:t>/</w:t>
      </w:r>
      <w:r w:rsidRPr="00A1400D">
        <w:rPr>
          <w:vertAlign w:val="baseline"/>
          <w:rtl/>
        </w:rPr>
        <w:t xml:space="preserve"> 1990 م</w:t>
      </w:r>
      <w:r>
        <w:rPr>
          <w:rFonts w:hint="cs"/>
          <w:vertAlign w:val="baseline"/>
          <w:rtl/>
        </w:rPr>
        <w:t>،</w:t>
      </w:r>
      <w:r>
        <w:rPr>
          <w:vertAlign w:val="baseline"/>
          <w:rtl/>
        </w:rPr>
        <w:t xml:space="preserve"> ج1، ص245.</w:t>
      </w:r>
    </w:p>
  </w:footnote>
  <w:footnote w:id="2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5670E">
        <w:rPr>
          <w:vertAlign w:val="baseline"/>
          <w:rtl/>
        </w:rPr>
        <w:t xml:space="preserve"> عبد الرزاق البيطار، حلية البشر، ج1، ص1594.</w:t>
      </w:r>
    </w:p>
  </w:footnote>
  <w:footnote w:id="2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5670E">
        <w:rPr>
          <w:vertAlign w:val="baseline"/>
          <w:rtl/>
        </w:rPr>
        <w:t xml:space="preserve"> علاء الدين عابدين، قرة عيون الأخيار، ج11، ص15.</w:t>
      </w:r>
    </w:p>
  </w:footnote>
  <w:footnote w:id="3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A0478">
        <w:rPr>
          <w:rFonts w:hint="cs"/>
          <w:vertAlign w:val="baseline"/>
          <w:rtl/>
        </w:rPr>
        <w:t>ذكره</w:t>
      </w:r>
      <w:r w:rsidRPr="00BA0478">
        <w:rPr>
          <w:vertAlign w:val="baseline"/>
          <w:rtl/>
        </w:rPr>
        <w:t>: علاء الدين عابدين، قرة عيون الأخيار، ج11، ص9: " وحاشية على شرح الملتقى، وحاشية على النهر إلا أنهما لم يجردا من الهوامش".</w:t>
      </w:r>
    </w:p>
  </w:footnote>
  <w:footnote w:id="3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A0478">
        <w:rPr>
          <w:vertAlign w:val="baseline"/>
          <w:rtl/>
        </w:rPr>
        <w:t xml:space="preserve"> ذكره: علاء الدين عابدين، قرة عيون الأخيار، ج11، ص10: " وله نظم الكنز".</w:t>
      </w:r>
    </w:p>
  </w:footnote>
  <w:footnote w:id="3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A0478">
        <w:rPr>
          <w:vertAlign w:val="baseline"/>
          <w:rtl/>
        </w:rPr>
        <w:t xml:space="preserve"> ذكره: علاء الدين عابدين، قرة عيون الأخيار، ج11، ص9: " وله من المؤلفات حاشية على حاشية الحللي المداري سماها (رفع الانظار عما أورده الحلبي على الدر المختار)". </w:t>
      </w:r>
    </w:p>
  </w:footnote>
  <w:footnote w:id="3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A0478">
        <w:rPr>
          <w:vertAlign w:val="baseline"/>
          <w:rtl/>
        </w:rPr>
        <w:t xml:space="preserve"> ذكره: علاء الدين عابدين، قرة عيون الأخيار، ج11، ص10: " وله نظم الكنز ".</w:t>
      </w:r>
    </w:p>
  </w:footnote>
  <w:footnote w:id="3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F7C9C">
        <w:rPr>
          <w:vertAlign w:val="baseline"/>
          <w:rtl/>
        </w:rPr>
        <w:t xml:space="preserve"> ذكره: علاء الدين عابدين، قرة عيون الأ</w:t>
      </w:r>
      <w:r w:rsidRPr="003F7C9C">
        <w:rPr>
          <w:rFonts w:hint="cs"/>
          <w:vertAlign w:val="baseline"/>
          <w:rtl/>
        </w:rPr>
        <w:t>خيار،</w:t>
      </w:r>
      <w:r w:rsidRPr="003F7C9C">
        <w:rPr>
          <w:vertAlign w:val="baseline"/>
          <w:rtl/>
        </w:rPr>
        <w:t xml:space="preserve"> ج11، ص9: " وألف حاشيتين على شرح المنار للعلائي، كبرى وصغرى، سمى إحداهما نسمات ال</w:t>
      </w:r>
      <w:r>
        <w:rPr>
          <w:rFonts w:hint="cs"/>
          <w:vertAlign w:val="baseline"/>
          <w:rtl/>
        </w:rPr>
        <w:t>أ</w:t>
      </w:r>
      <w:r w:rsidRPr="003F7C9C">
        <w:rPr>
          <w:rFonts w:hint="cs"/>
          <w:vertAlign w:val="baseline"/>
          <w:rtl/>
        </w:rPr>
        <w:t>سحار</w:t>
      </w:r>
      <w:r w:rsidRPr="003F7C9C">
        <w:rPr>
          <w:vertAlign w:val="baseline"/>
          <w:rtl/>
        </w:rPr>
        <w:t xml:space="preserve"> على إفاضة ال</w:t>
      </w:r>
      <w:r>
        <w:rPr>
          <w:rFonts w:hint="cs"/>
          <w:vertAlign w:val="baseline"/>
          <w:rtl/>
        </w:rPr>
        <w:t>أ</w:t>
      </w:r>
      <w:r w:rsidRPr="003F7C9C">
        <w:rPr>
          <w:rFonts w:hint="cs"/>
          <w:vertAlign w:val="baseline"/>
          <w:rtl/>
        </w:rPr>
        <w:t>نوار</w:t>
      </w:r>
      <w:r w:rsidRPr="003F7C9C">
        <w:rPr>
          <w:vertAlign w:val="baseline"/>
          <w:rtl/>
        </w:rPr>
        <w:t xml:space="preserve"> شرح المنار والثانية لم يخطر لي اسمها ل</w:t>
      </w:r>
      <w:r>
        <w:rPr>
          <w:rFonts w:hint="cs"/>
          <w:vertAlign w:val="baseline"/>
          <w:rtl/>
        </w:rPr>
        <w:t>أ</w:t>
      </w:r>
      <w:r w:rsidRPr="003F7C9C">
        <w:rPr>
          <w:rFonts w:hint="cs"/>
          <w:vertAlign w:val="baseline"/>
          <w:rtl/>
        </w:rPr>
        <w:t>نها</w:t>
      </w:r>
      <w:r w:rsidRPr="003F7C9C">
        <w:rPr>
          <w:vertAlign w:val="baseline"/>
          <w:rtl/>
        </w:rPr>
        <w:t xml:space="preserve"> فقدت عند مفتي مصر الشيخ التميمي".</w:t>
      </w:r>
    </w:p>
  </w:footnote>
  <w:footnote w:id="3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3F7C9C">
        <w:rPr>
          <w:vertAlign w:val="baseline"/>
          <w:rtl/>
        </w:rPr>
        <w:t xml:space="preserve"> ذكره: الفرفور، ابن عابدين وأثره، ص507: " وجدت منها قطعة مخطوطة في مكتبة الدكتور الشيخ محمد أبو اليسر عابدين بدمشق بخط والده الشيخ أبو الخير عابدين مفتي دمشق الشام في عصره، وقد نقلها من خط مؤلفها على هامش نسخة ابن عابدين الكبير التي لم تجرّد ولم يعثر عليها". </w:t>
      </w:r>
    </w:p>
  </w:footnote>
  <w:footnote w:id="3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ص9: " حاشية على البيضاوي".</w:t>
      </w:r>
    </w:p>
  </w:footnote>
  <w:footnote w:id="3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ص9: " وحاشية على شرح النبذة سماها (فتح رب الارباب على لب الا باب شرح نبذة الاعراب)"؛ اسماعيل باشا البغدادي، إسماعيل بن محمد أمين بن مير سليم الباباني الب</w:t>
      </w:r>
      <w:r w:rsidRPr="008038B9">
        <w:rPr>
          <w:rFonts w:hint="cs"/>
          <w:vertAlign w:val="baseline"/>
          <w:rtl/>
        </w:rPr>
        <w:t>غدادي</w:t>
      </w:r>
      <w:r w:rsidRPr="008038B9">
        <w:rPr>
          <w:vertAlign w:val="baseline"/>
          <w:rtl/>
        </w:rPr>
        <w:t xml:space="preserve"> (ت: 1399هـ)، </w:t>
      </w:r>
      <w:r w:rsidRPr="008038B9">
        <w:rPr>
          <w:rFonts w:hint="cs"/>
          <w:b/>
          <w:bCs/>
          <w:vertAlign w:val="baseline"/>
          <w:rtl/>
        </w:rPr>
        <w:t>هدية</w:t>
      </w:r>
      <w:r w:rsidRPr="008038B9">
        <w:rPr>
          <w:b/>
          <w:bCs/>
          <w:vertAlign w:val="baseline"/>
          <w:rtl/>
        </w:rPr>
        <w:t xml:space="preserve"> العارفين أسماء المؤلفين وآثار المصنفين</w:t>
      </w:r>
      <w:r w:rsidRPr="008038B9">
        <w:rPr>
          <w:rFonts w:hint="cs"/>
          <w:vertAlign w:val="baseline"/>
          <w:rtl/>
        </w:rPr>
        <w:t>،</w:t>
      </w:r>
      <w:r w:rsidRPr="008038B9">
        <w:rPr>
          <w:vertAlign w:val="baseline"/>
          <w:rtl/>
        </w:rPr>
        <w:t xml:space="preserve"> بدون طبعة، طبع بعناية وكالة المعارف الجليلة في مطبعتها البهية استانبول، 1951م، أعادت طبعه بالأوفست: دار إحياء التراث العربي، بيروت، ج2،ص368.</w:t>
      </w:r>
    </w:p>
  </w:footnote>
  <w:footnote w:id="3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ص10: " والدرر المضيئة " ؛ اسماعيل باشا، هدية العارفين، ج2، ص368.</w:t>
      </w:r>
    </w:p>
  </w:footnote>
  <w:footnote w:id="3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ص9: " و (شرح </w:t>
      </w:r>
      <w:r w:rsidRPr="008038B9">
        <w:rPr>
          <w:rFonts w:hint="cs"/>
          <w:vertAlign w:val="baseline"/>
          <w:rtl/>
        </w:rPr>
        <w:t>الكافي</w:t>
      </w:r>
      <w:r w:rsidRPr="008038B9">
        <w:rPr>
          <w:vertAlign w:val="baseline"/>
          <w:rtl/>
        </w:rPr>
        <w:t xml:space="preserve"> في العروض والقوافي) وكتب في آخر هذا الشرح: ثم في سنة خمس عشرة ومائتين وألف، وكان سنة سبع عشرة سنة " ؛ اسماعيل باشا، هدية العارفين، ج2، ص368.</w:t>
      </w:r>
    </w:p>
  </w:footnote>
  <w:footnote w:id="4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w:t>
      </w:r>
      <w:r w:rsidRPr="008038B9">
        <w:rPr>
          <w:rFonts w:hint="cs"/>
          <w:vertAlign w:val="baseline"/>
          <w:rtl/>
        </w:rPr>
        <w:t>لاء</w:t>
      </w:r>
      <w:r w:rsidRPr="008038B9">
        <w:rPr>
          <w:vertAlign w:val="baseline"/>
          <w:rtl/>
        </w:rPr>
        <w:t xml:space="preserve"> الدين عابدين، قرة عيون الأخيار، ج11، ص9: " وله مجموع جمع فيه من نفائس الفوائد النثرية والشعريد، وعرائس النكات والملح الادبية والالغاز والمعميات، وما يروق الناظر، ويسر الخاطر".</w:t>
      </w:r>
    </w:p>
  </w:footnote>
  <w:footnote w:id="4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ص9: " وحاشية على المطوّل " .</w:t>
      </w:r>
    </w:p>
  </w:footnote>
  <w:footnote w:id="4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ص10: " وله قصة المولد الشريف ا</w:t>
      </w:r>
      <w:r w:rsidRPr="008038B9">
        <w:rPr>
          <w:rFonts w:hint="cs"/>
          <w:vertAlign w:val="baseline"/>
          <w:rtl/>
        </w:rPr>
        <w:t>لنبوي</w:t>
      </w:r>
      <w:r w:rsidRPr="008038B9">
        <w:rPr>
          <w:vertAlign w:val="baseline"/>
          <w:rtl/>
        </w:rPr>
        <w:t xml:space="preserve"> ".</w:t>
      </w:r>
    </w:p>
  </w:footnote>
  <w:footnote w:id="4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038B9">
        <w:rPr>
          <w:vertAlign w:val="baseline"/>
          <w:rtl/>
        </w:rPr>
        <w:t xml:space="preserve"> ذكره: علاء الدين عابدين، قرة عيون الأخيار، ج11، ص9: " ومجموع آخر ذكر فيه تاريخ علماء العصر وأفاضلهم، جعله ذيلا لتارخ المرادي الذي هو ذيل لتاريخ جده لامه العلامة المحبي الذي هو ذيل لريحانة الخفاجي".</w:t>
      </w:r>
    </w:p>
  </w:footnote>
  <w:footnote w:id="44">
    <w:p w:rsidR="005F44B2" w:rsidRPr="00104041" w:rsidRDefault="005F44B2" w:rsidP="006D59AD">
      <w:pPr>
        <w:pStyle w:val="a4"/>
        <w:spacing w:line="312" w:lineRule="auto"/>
        <w:rPr>
          <w:vertAlign w:val="baseline"/>
        </w:rPr>
      </w:pPr>
      <w:r w:rsidRPr="00104041">
        <w:rPr>
          <w:rtl/>
        </w:rPr>
        <w:t>(</w:t>
      </w:r>
      <w:r w:rsidRPr="00104041">
        <w:rPr>
          <w:rStyle w:val="FootnoteReference"/>
          <w:rFonts w:cs="Arabic Transparent"/>
        </w:rPr>
        <w:footnoteRef/>
      </w:r>
      <w:r w:rsidRPr="00104041">
        <w:rPr>
          <w:rtl/>
        </w:rPr>
        <w:t>)</w:t>
      </w:r>
      <w:r w:rsidRPr="00104041">
        <w:rPr>
          <w:vertAlign w:val="baseline"/>
          <w:rtl/>
        </w:rPr>
        <w:t xml:space="preserve"> أنظر: ( آكْتَبَ، م</w:t>
      </w:r>
      <w:r w:rsidRPr="00104041">
        <w:rPr>
          <w:rFonts w:hint="cs"/>
          <w:vertAlign w:val="baseline"/>
          <w:rtl/>
        </w:rPr>
        <w:t>ُنير،</w:t>
      </w:r>
      <w:r w:rsidRPr="00104041">
        <w:rPr>
          <w:vertAlign w:val="baseline"/>
          <w:rtl/>
        </w:rPr>
        <w:t xml:space="preserve"> " عبد الحميد الأول" </w:t>
      </w:r>
      <w:r w:rsidRPr="00104041">
        <w:rPr>
          <w:rFonts w:ascii="Calibri" w:hAnsi="Calibri" w:hint="cs"/>
          <w:b/>
          <w:bCs/>
          <w:vertAlign w:val="baseline"/>
          <w:rtl/>
        </w:rPr>
        <w:t>الموسوعة</w:t>
      </w:r>
      <w:r w:rsidRPr="00104041">
        <w:rPr>
          <w:rFonts w:ascii="Calibri" w:hAnsi="Calibri"/>
          <w:b/>
          <w:bCs/>
          <w:vertAlign w:val="baseline"/>
          <w:rtl/>
        </w:rPr>
        <w:t xml:space="preserve"> </w:t>
      </w:r>
      <w:r w:rsidRPr="00104041">
        <w:rPr>
          <w:rFonts w:ascii="Calibri" w:hAnsi="Calibri" w:hint="cs"/>
          <w:b/>
          <w:bCs/>
          <w:vertAlign w:val="baseline"/>
          <w:rtl/>
        </w:rPr>
        <w:t>الإسلامية</w:t>
      </w:r>
      <w:r w:rsidRPr="00104041">
        <w:rPr>
          <w:rFonts w:ascii="Calibri" w:hAnsi="Calibri"/>
          <w:b/>
          <w:bCs/>
          <w:vertAlign w:val="baseline"/>
          <w:rtl/>
        </w:rPr>
        <w:t xml:space="preserve"> </w:t>
      </w:r>
      <w:r w:rsidRPr="00104041">
        <w:rPr>
          <w:rFonts w:ascii="Calibri" w:hAnsi="Calibri" w:hint="cs"/>
          <w:b/>
          <w:bCs/>
          <w:vertAlign w:val="baseline"/>
          <w:rtl/>
        </w:rPr>
        <w:t>للأوقاف</w:t>
      </w:r>
      <w:r w:rsidRPr="00104041">
        <w:rPr>
          <w:rFonts w:ascii="Calibri" w:hAnsi="Calibri"/>
          <w:b/>
          <w:bCs/>
          <w:vertAlign w:val="baseline"/>
          <w:rtl/>
        </w:rPr>
        <w:t xml:space="preserve"> </w:t>
      </w:r>
      <w:r w:rsidRPr="00104041">
        <w:rPr>
          <w:rFonts w:ascii="Calibri" w:hAnsi="Calibri" w:hint="cs"/>
          <w:b/>
          <w:bCs/>
          <w:vertAlign w:val="baseline"/>
          <w:rtl/>
        </w:rPr>
        <w:t>الدينية</w:t>
      </w:r>
      <w:r w:rsidRPr="00104041">
        <w:rPr>
          <w:rFonts w:ascii="Calibri" w:hAnsi="Calibri"/>
          <w:b/>
          <w:bCs/>
          <w:vertAlign w:val="baseline"/>
          <w:rtl/>
        </w:rPr>
        <w:t xml:space="preserve"> </w:t>
      </w:r>
      <w:r w:rsidRPr="00104041">
        <w:rPr>
          <w:rFonts w:ascii="Calibri" w:hAnsi="Calibri" w:hint="cs"/>
          <w:b/>
          <w:bCs/>
          <w:vertAlign w:val="baseline"/>
          <w:rtl/>
        </w:rPr>
        <w:t>التركية</w:t>
      </w:r>
      <w:r w:rsidRPr="00104041">
        <w:rPr>
          <w:rFonts w:ascii="Calibri" w:hAnsi="Calibri" w:hint="cs"/>
          <w:vertAlign w:val="baseline"/>
          <w:rtl/>
        </w:rPr>
        <w:t>،</w:t>
      </w:r>
      <w:r w:rsidRPr="00104041">
        <w:rPr>
          <w:rFonts w:ascii="Calibri" w:hAnsi="Calibri"/>
          <w:vertAlign w:val="baseline"/>
          <w:rtl/>
        </w:rPr>
        <w:t xml:space="preserve"> </w:t>
      </w:r>
      <w:r w:rsidRPr="00104041">
        <w:rPr>
          <w:rFonts w:ascii="Calibri" w:hAnsi="Calibri" w:hint="cs"/>
          <w:vertAlign w:val="baseline"/>
          <w:rtl/>
        </w:rPr>
        <w:t>ج</w:t>
      </w:r>
      <w:r w:rsidRPr="00104041">
        <w:rPr>
          <w:rFonts w:ascii="Calibri" w:hAnsi="Calibri"/>
          <w:vertAlign w:val="baseline"/>
          <w:rtl/>
        </w:rPr>
        <w:t>1</w:t>
      </w:r>
      <w:r w:rsidRPr="00104041">
        <w:rPr>
          <w:rFonts w:ascii="Calibri" w:hAnsi="Calibri" w:hint="cs"/>
          <w:vertAlign w:val="baseline"/>
          <w:rtl/>
        </w:rPr>
        <w:t>،</w:t>
      </w:r>
      <w:r w:rsidRPr="00104041">
        <w:rPr>
          <w:rFonts w:ascii="Calibri" w:hAnsi="Calibri"/>
          <w:vertAlign w:val="baseline"/>
          <w:rtl/>
        </w:rPr>
        <w:t xml:space="preserve"> </w:t>
      </w:r>
      <w:r w:rsidRPr="00104041">
        <w:rPr>
          <w:rFonts w:ascii="Calibri" w:hAnsi="Calibri" w:hint="cs"/>
          <w:vertAlign w:val="baseline"/>
          <w:rtl/>
        </w:rPr>
        <w:t>ص</w:t>
      </w:r>
      <w:r w:rsidRPr="00104041">
        <w:rPr>
          <w:rFonts w:ascii="Calibri" w:hAnsi="Calibri"/>
          <w:vertAlign w:val="baseline"/>
          <w:rtl/>
        </w:rPr>
        <w:t xml:space="preserve"> 213-216)</w:t>
      </w:r>
      <w:r w:rsidRPr="00104041">
        <w:rPr>
          <w:vertAlign w:val="baseline"/>
        </w:rPr>
        <w:t>AKTEPE</w:t>
      </w:r>
      <w:r>
        <w:rPr>
          <w:vertAlign w:val="baseline"/>
        </w:rPr>
        <w:t>,</w:t>
      </w:r>
      <w:r w:rsidRPr="00104041">
        <w:rPr>
          <w:vertAlign w:val="baseline"/>
        </w:rPr>
        <w:t xml:space="preserve"> Münir, “ Abdülhamid I”, </w:t>
      </w:r>
      <w:r w:rsidRPr="00104041">
        <w:rPr>
          <w:b/>
          <w:bCs/>
          <w:vertAlign w:val="baseline"/>
        </w:rPr>
        <w:t>Türkiye Diyanet Vakf</w:t>
      </w:r>
      <w:r w:rsidRPr="00104041">
        <w:rPr>
          <w:rFonts w:eastAsia="Times New Roman" w:hint="cs"/>
          <w:b/>
          <w:bCs/>
          <w:vertAlign w:val="baseline"/>
        </w:rPr>
        <w:t>ı</w:t>
      </w:r>
      <w:r w:rsidRPr="00104041">
        <w:rPr>
          <w:b/>
          <w:bCs/>
          <w:vertAlign w:val="baseline"/>
        </w:rPr>
        <w:t xml:space="preserve"> </w:t>
      </w:r>
      <w:r w:rsidRPr="00104041">
        <w:rPr>
          <w:rFonts w:ascii="Times New Roman" w:hAnsi="Times New Roman" w:cs="Times New Roman"/>
          <w:b/>
          <w:bCs/>
          <w:vertAlign w:val="baseline"/>
        </w:rPr>
        <w:t>İ</w:t>
      </w:r>
      <w:r w:rsidRPr="00104041">
        <w:rPr>
          <w:b/>
          <w:bCs/>
          <w:vertAlign w:val="baseline"/>
        </w:rPr>
        <w:t>slâm Ansiklopedisi</w:t>
      </w:r>
      <w:r w:rsidRPr="00104041">
        <w:rPr>
          <w:vertAlign w:val="baseline"/>
        </w:rPr>
        <w:t>, Ankara, Türkiye Diyanet Vakf</w:t>
      </w:r>
      <w:r w:rsidRPr="00104041">
        <w:rPr>
          <w:rFonts w:eastAsia="Times New Roman" w:hint="cs"/>
          <w:vertAlign w:val="baseline"/>
        </w:rPr>
        <w:t>ı</w:t>
      </w:r>
      <w:r w:rsidRPr="00104041">
        <w:rPr>
          <w:vertAlign w:val="baseline"/>
        </w:rPr>
        <w:t>, c1, s. 213 – 216.</w:t>
      </w:r>
    </w:p>
    <w:p w:rsidR="005F44B2" w:rsidRDefault="005F44B2" w:rsidP="006D59AD">
      <w:pPr>
        <w:pStyle w:val="a4"/>
        <w:spacing w:line="312" w:lineRule="auto"/>
      </w:pPr>
      <w:r w:rsidRPr="00104041">
        <w:rPr>
          <w:rFonts w:hint="cs"/>
          <w:vertAlign w:val="baseline"/>
          <w:rtl/>
        </w:rPr>
        <w:t>الموسوعة</w:t>
      </w:r>
      <w:r w:rsidRPr="00104041">
        <w:rPr>
          <w:vertAlign w:val="baseline"/>
          <w:rtl/>
        </w:rPr>
        <w:t xml:space="preserve"> الإسلامية للأوقاف الدينية التركية: تتكون من 44 مجبدًا، طُبع الجلد الأول في سنة 1988، وتم طبع آخر مجلد في 2013، وسيشار الى هذه الموسوعة فيما بعد بـ " </w:t>
      </w:r>
      <w:r w:rsidRPr="00104041">
        <w:rPr>
          <w:vertAlign w:val="baseline"/>
        </w:rPr>
        <w:t>D</w:t>
      </w:r>
      <w:r w:rsidRPr="00104041">
        <w:rPr>
          <w:rFonts w:ascii="Times New Roman" w:hAnsi="Times New Roman" w:cs="Times New Roman"/>
          <w:vertAlign w:val="baseline"/>
        </w:rPr>
        <w:t>İ</w:t>
      </w:r>
      <w:r w:rsidRPr="00104041">
        <w:rPr>
          <w:vertAlign w:val="baseline"/>
        </w:rPr>
        <w:t>A</w:t>
      </w:r>
      <w:r w:rsidRPr="00104041">
        <w:rPr>
          <w:vertAlign w:val="baseline"/>
          <w:rtl/>
        </w:rPr>
        <w:t xml:space="preserve"> ".</w:t>
      </w:r>
    </w:p>
  </w:footnote>
  <w:footnote w:id="45">
    <w:p w:rsidR="005F44B2" w:rsidRDefault="005F44B2" w:rsidP="006D59AD">
      <w:pPr>
        <w:pStyle w:val="a4"/>
        <w:spacing w:line="312" w:lineRule="auto"/>
      </w:pPr>
      <w:r w:rsidRPr="006E7704">
        <w:rPr>
          <w:rtl/>
        </w:rPr>
        <w:t>(</w:t>
      </w:r>
      <w:r w:rsidRPr="006E7704">
        <w:rPr>
          <w:rStyle w:val="FootnoteReference"/>
          <w:rFonts w:cs="Arabic Transparent"/>
        </w:rPr>
        <w:footnoteRef/>
      </w:r>
      <w:r w:rsidRPr="006E7704">
        <w:rPr>
          <w:rtl/>
        </w:rPr>
        <w:t>)</w:t>
      </w:r>
      <w:r w:rsidRPr="006E7704">
        <w:rPr>
          <w:rFonts w:hint="cs"/>
          <w:vertAlign w:val="baseline"/>
          <w:rtl/>
        </w:rPr>
        <w:t>أنظر</w:t>
      </w:r>
      <w:r w:rsidRPr="006E7704">
        <w:rPr>
          <w:vertAlign w:val="baseline"/>
          <w:rtl/>
        </w:rPr>
        <w:t xml:space="preserve">: (بَيْدِلِّ، كمال، " السليم الثالث"، </w:t>
      </w:r>
      <w:r w:rsidRPr="006E7704">
        <w:rPr>
          <w:rFonts w:ascii="Calibri" w:hAnsi="Calibri" w:hint="cs"/>
          <w:vertAlign w:val="baseline"/>
          <w:rtl/>
        </w:rPr>
        <w:t>الموسوعة</w:t>
      </w:r>
      <w:r w:rsidRPr="006E7704">
        <w:rPr>
          <w:rFonts w:ascii="Calibri" w:hAnsi="Calibri"/>
          <w:vertAlign w:val="baseline"/>
          <w:rtl/>
        </w:rPr>
        <w:t xml:space="preserve"> </w:t>
      </w:r>
      <w:r w:rsidRPr="006E7704">
        <w:rPr>
          <w:rFonts w:ascii="Calibri" w:hAnsi="Calibri" w:hint="cs"/>
          <w:vertAlign w:val="baseline"/>
          <w:rtl/>
        </w:rPr>
        <w:t>الإسلامية</w:t>
      </w:r>
      <w:r w:rsidRPr="006E7704">
        <w:rPr>
          <w:rFonts w:ascii="Calibri" w:hAnsi="Calibri"/>
          <w:vertAlign w:val="baseline"/>
          <w:rtl/>
        </w:rPr>
        <w:t xml:space="preserve"> </w:t>
      </w:r>
      <w:r w:rsidRPr="006E7704">
        <w:rPr>
          <w:rFonts w:ascii="Calibri" w:hAnsi="Calibri" w:hint="cs"/>
          <w:vertAlign w:val="baseline"/>
          <w:rtl/>
        </w:rPr>
        <w:t>للأوقاف</w:t>
      </w:r>
      <w:r w:rsidRPr="006E7704">
        <w:rPr>
          <w:rFonts w:ascii="Calibri" w:hAnsi="Calibri"/>
          <w:vertAlign w:val="baseline"/>
          <w:rtl/>
        </w:rPr>
        <w:t xml:space="preserve"> </w:t>
      </w:r>
      <w:r w:rsidRPr="006E7704">
        <w:rPr>
          <w:rFonts w:ascii="Calibri" w:hAnsi="Calibri" w:hint="cs"/>
          <w:vertAlign w:val="baseline"/>
          <w:rtl/>
        </w:rPr>
        <w:t>الدينية</w:t>
      </w:r>
      <w:r w:rsidRPr="006E7704">
        <w:rPr>
          <w:rFonts w:ascii="Calibri" w:hAnsi="Calibri"/>
          <w:vertAlign w:val="baseline"/>
          <w:rtl/>
        </w:rPr>
        <w:t xml:space="preserve"> </w:t>
      </w:r>
      <w:r w:rsidRPr="006E7704">
        <w:rPr>
          <w:rFonts w:ascii="Calibri" w:hAnsi="Calibri" w:hint="cs"/>
          <w:vertAlign w:val="baseline"/>
          <w:rtl/>
        </w:rPr>
        <w:t>التركية،</w:t>
      </w:r>
      <w:r w:rsidRPr="006E7704">
        <w:rPr>
          <w:rFonts w:ascii="Calibri" w:hAnsi="Calibri"/>
          <w:vertAlign w:val="baseline"/>
          <w:rtl/>
        </w:rPr>
        <w:t xml:space="preserve"> </w:t>
      </w:r>
      <w:r w:rsidRPr="006E7704">
        <w:rPr>
          <w:rFonts w:ascii="Calibri" w:hAnsi="Calibri" w:hint="cs"/>
          <w:vertAlign w:val="baseline"/>
          <w:rtl/>
        </w:rPr>
        <w:t>ج</w:t>
      </w:r>
      <w:r w:rsidRPr="006E7704">
        <w:rPr>
          <w:rFonts w:ascii="Calibri" w:hAnsi="Calibri"/>
          <w:vertAlign w:val="baseline"/>
          <w:rtl/>
        </w:rPr>
        <w:t>36</w:t>
      </w:r>
      <w:r w:rsidRPr="006E7704">
        <w:rPr>
          <w:rFonts w:ascii="Calibri" w:hAnsi="Calibri" w:hint="cs"/>
          <w:vertAlign w:val="baseline"/>
          <w:rtl/>
        </w:rPr>
        <w:t>،</w:t>
      </w:r>
      <w:r w:rsidRPr="006E7704">
        <w:rPr>
          <w:rFonts w:ascii="Calibri" w:hAnsi="Calibri"/>
          <w:vertAlign w:val="baseline"/>
          <w:rtl/>
        </w:rPr>
        <w:t xml:space="preserve"> </w:t>
      </w:r>
      <w:r w:rsidRPr="006E7704">
        <w:rPr>
          <w:rFonts w:ascii="Calibri" w:hAnsi="Calibri" w:hint="cs"/>
          <w:vertAlign w:val="baseline"/>
          <w:rtl/>
        </w:rPr>
        <w:t>ص</w:t>
      </w:r>
      <w:r w:rsidRPr="006E7704">
        <w:rPr>
          <w:rFonts w:ascii="Calibri" w:hAnsi="Calibri"/>
          <w:vertAlign w:val="baseline"/>
          <w:rtl/>
        </w:rPr>
        <w:t>421 -425)</w:t>
      </w:r>
      <w:r w:rsidRPr="00104041">
        <w:rPr>
          <w:vertAlign w:val="baseline"/>
        </w:rPr>
        <w:t>BEYD</w:t>
      </w:r>
      <w:r w:rsidRPr="00104041">
        <w:rPr>
          <w:rFonts w:ascii="Times New Roman" w:hAnsi="Times New Roman" w:cs="Times New Roman"/>
          <w:vertAlign w:val="baseline"/>
        </w:rPr>
        <w:t>İ</w:t>
      </w:r>
      <w:r w:rsidRPr="00104041">
        <w:rPr>
          <w:vertAlign w:val="baseline"/>
        </w:rPr>
        <w:t>LL</w:t>
      </w:r>
      <w:r w:rsidRPr="00104041">
        <w:rPr>
          <w:rFonts w:ascii="Times New Roman" w:hAnsi="Times New Roman" w:cs="Times New Roman"/>
          <w:vertAlign w:val="baseline"/>
        </w:rPr>
        <w:t>İ</w:t>
      </w:r>
      <w:r>
        <w:rPr>
          <w:vertAlign w:val="baseline"/>
        </w:rPr>
        <w:t>,</w:t>
      </w:r>
      <w:r w:rsidRPr="00104041">
        <w:rPr>
          <w:vertAlign w:val="baseline"/>
        </w:rPr>
        <w:t xml:space="preserve"> Kemal, “ SEL</w:t>
      </w:r>
      <w:r w:rsidRPr="00104041">
        <w:rPr>
          <w:rFonts w:ascii="Times New Roman" w:hAnsi="Times New Roman" w:cs="Times New Roman"/>
          <w:vertAlign w:val="baseline"/>
        </w:rPr>
        <w:t>İ</w:t>
      </w:r>
      <w:r w:rsidRPr="00104041">
        <w:rPr>
          <w:vertAlign w:val="baseline"/>
        </w:rPr>
        <w:t>M III”, D</w:t>
      </w:r>
      <w:r w:rsidRPr="00104041">
        <w:rPr>
          <w:rFonts w:ascii="Times New Roman" w:hAnsi="Times New Roman" w:cs="Times New Roman"/>
          <w:vertAlign w:val="baseline"/>
        </w:rPr>
        <w:t>İ</w:t>
      </w:r>
      <w:r w:rsidRPr="00104041">
        <w:rPr>
          <w:vertAlign w:val="baseline"/>
        </w:rPr>
        <w:t>A, c36, s. 421 – 425.</w:t>
      </w:r>
    </w:p>
  </w:footnote>
  <w:footnote w:id="46">
    <w:p w:rsidR="005F44B2" w:rsidRDefault="005F44B2" w:rsidP="006D59AD">
      <w:pPr>
        <w:pStyle w:val="a4"/>
        <w:spacing w:line="312" w:lineRule="auto"/>
      </w:pPr>
      <w:r w:rsidRPr="006E7704">
        <w:rPr>
          <w:rtl/>
        </w:rPr>
        <w:t>(</w:t>
      </w:r>
      <w:r w:rsidRPr="006E7704">
        <w:rPr>
          <w:rStyle w:val="FootnoteReference"/>
          <w:rFonts w:cs="Arabic Transparent"/>
        </w:rPr>
        <w:footnoteRef/>
      </w:r>
      <w:r w:rsidRPr="006E7704">
        <w:rPr>
          <w:rtl/>
        </w:rPr>
        <w:t>)</w:t>
      </w:r>
      <w:r w:rsidRPr="006E7704">
        <w:rPr>
          <w:vertAlign w:val="baseline"/>
          <w:rtl/>
        </w:rPr>
        <w:t xml:space="preserve"> أنظر: (بَيْدِلِّ، كمال، "مصطفى الر</w:t>
      </w:r>
      <w:r w:rsidRPr="006E7704">
        <w:rPr>
          <w:rFonts w:hint="cs"/>
          <w:vertAlign w:val="baseline"/>
          <w:rtl/>
        </w:rPr>
        <w:t>ابع</w:t>
      </w:r>
      <w:r w:rsidRPr="006E7704">
        <w:rPr>
          <w:vertAlign w:val="baseline"/>
          <w:rtl/>
        </w:rPr>
        <w:t xml:space="preserve">"، </w:t>
      </w:r>
      <w:r w:rsidRPr="006E7704">
        <w:rPr>
          <w:rFonts w:ascii="Calibri" w:hAnsi="Calibri" w:hint="cs"/>
          <w:vertAlign w:val="baseline"/>
          <w:rtl/>
        </w:rPr>
        <w:t>الموسوعة</w:t>
      </w:r>
      <w:r w:rsidRPr="006E7704">
        <w:rPr>
          <w:rFonts w:ascii="Calibri" w:hAnsi="Calibri"/>
          <w:vertAlign w:val="baseline"/>
          <w:rtl/>
        </w:rPr>
        <w:t xml:space="preserve"> </w:t>
      </w:r>
      <w:r w:rsidRPr="006E7704">
        <w:rPr>
          <w:rFonts w:ascii="Calibri" w:hAnsi="Calibri" w:hint="cs"/>
          <w:vertAlign w:val="baseline"/>
          <w:rtl/>
        </w:rPr>
        <w:t>الإسلامية</w:t>
      </w:r>
      <w:r w:rsidRPr="006E7704">
        <w:rPr>
          <w:rFonts w:ascii="Calibri" w:hAnsi="Calibri"/>
          <w:vertAlign w:val="baseline"/>
          <w:rtl/>
        </w:rPr>
        <w:t xml:space="preserve"> </w:t>
      </w:r>
      <w:r w:rsidRPr="006E7704">
        <w:rPr>
          <w:rFonts w:ascii="Calibri" w:hAnsi="Calibri" w:hint="cs"/>
          <w:vertAlign w:val="baseline"/>
          <w:rtl/>
        </w:rPr>
        <w:t>للأوقاف</w:t>
      </w:r>
      <w:r w:rsidRPr="006E7704">
        <w:rPr>
          <w:rFonts w:ascii="Calibri" w:hAnsi="Calibri"/>
          <w:vertAlign w:val="baseline"/>
          <w:rtl/>
        </w:rPr>
        <w:t xml:space="preserve"> </w:t>
      </w:r>
      <w:r w:rsidRPr="006E7704">
        <w:rPr>
          <w:rFonts w:ascii="Calibri" w:hAnsi="Calibri" w:hint="cs"/>
          <w:vertAlign w:val="baseline"/>
          <w:rtl/>
        </w:rPr>
        <w:t>الدينية</w:t>
      </w:r>
      <w:r w:rsidRPr="006E7704">
        <w:rPr>
          <w:rFonts w:ascii="Calibri" w:hAnsi="Calibri"/>
          <w:vertAlign w:val="baseline"/>
          <w:rtl/>
        </w:rPr>
        <w:t xml:space="preserve"> </w:t>
      </w:r>
      <w:r w:rsidRPr="006E7704">
        <w:rPr>
          <w:rFonts w:ascii="Calibri" w:hAnsi="Calibri" w:hint="cs"/>
          <w:vertAlign w:val="baseline"/>
          <w:rtl/>
        </w:rPr>
        <w:t>التركية،</w:t>
      </w:r>
      <w:r w:rsidRPr="006E7704">
        <w:rPr>
          <w:rFonts w:ascii="Calibri" w:hAnsi="Calibri"/>
          <w:vertAlign w:val="baseline"/>
          <w:rtl/>
        </w:rPr>
        <w:t xml:space="preserve"> </w:t>
      </w:r>
      <w:r w:rsidRPr="006E7704">
        <w:rPr>
          <w:rFonts w:ascii="Calibri" w:hAnsi="Calibri" w:hint="cs"/>
          <w:vertAlign w:val="baseline"/>
          <w:rtl/>
        </w:rPr>
        <w:t>ج</w:t>
      </w:r>
      <w:r w:rsidRPr="006E7704">
        <w:rPr>
          <w:rFonts w:ascii="Calibri" w:hAnsi="Calibri"/>
          <w:vertAlign w:val="baseline"/>
          <w:rtl/>
        </w:rPr>
        <w:t>31</w:t>
      </w:r>
      <w:r w:rsidRPr="006E7704">
        <w:rPr>
          <w:rFonts w:ascii="Calibri" w:hAnsi="Calibri" w:hint="cs"/>
          <w:vertAlign w:val="baseline"/>
          <w:rtl/>
        </w:rPr>
        <w:t>،</w:t>
      </w:r>
      <w:r w:rsidRPr="006E7704">
        <w:rPr>
          <w:rFonts w:ascii="Calibri" w:hAnsi="Calibri"/>
          <w:vertAlign w:val="baseline"/>
          <w:rtl/>
        </w:rPr>
        <w:t xml:space="preserve"> </w:t>
      </w:r>
      <w:r w:rsidRPr="006E7704">
        <w:rPr>
          <w:rFonts w:ascii="Calibri" w:hAnsi="Calibri" w:hint="cs"/>
          <w:vertAlign w:val="baseline"/>
          <w:rtl/>
        </w:rPr>
        <w:t>ص</w:t>
      </w:r>
      <w:r w:rsidRPr="006E7704">
        <w:rPr>
          <w:rFonts w:ascii="Calibri" w:hAnsi="Calibri"/>
          <w:vertAlign w:val="baseline"/>
          <w:rtl/>
        </w:rPr>
        <w:t xml:space="preserve"> 283-285.)</w:t>
      </w:r>
      <w:r w:rsidRPr="00104041">
        <w:rPr>
          <w:vertAlign w:val="baseline"/>
        </w:rPr>
        <w:t>BEYD</w:t>
      </w:r>
      <w:r w:rsidRPr="00104041">
        <w:rPr>
          <w:rFonts w:ascii="Times New Roman" w:hAnsi="Times New Roman" w:cs="Times New Roman"/>
          <w:vertAlign w:val="baseline"/>
        </w:rPr>
        <w:t>İ</w:t>
      </w:r>
      <w:r w:rsidRPr="00104041">
        <w:rPr>
          <w:vertAlign w:val="baseline"/>
        </w:rPr>
        <w:t>LL</w:t>
      </w:r>
      <w:r w:rsidRPr="00104041">
        <w:rPr>
          <w:rFonts w:ascii="Times New Roman" w:hAnsi="Times New Roman" w:cs="Times New Roman"/>
          <w:vertAlign w:val="baseline"/>
        </w:rPr>
        <w:t>İ</w:t>
      </w:r>
      <w:r>
        <w:rPr>
          <w:vertAlign w:val="baseline"/>
        </w:rPr>
        <w:t>,</w:t>
      </w:r>
      <w:r w:rsidRPr="00104041">
        <w:rPr>
          <w:vertAlign w:val="baseline"/>
        </w:rPr>
        <w:t xml:space="preserve"> Kemal, “ MUSTAFA IV”, D</w:t>
      </w:r>
      <w:r w:rsidRPr="00104041">
        <w:rPr>
          <w:rFonts w:ascii="Times New Roman" w:hAnsi="Times New Roman" w:cs="Times New Roman"/>
          <w:vertAlign w:val="baseline"/>
        </w:rPr>
        <w:t>İ</w:t>
      </w:r>
      <w:r w:rsidRPr="00104041">
        <w:rPr>
          <w:vertAlign w:val="baseline"/>
        </w:rPr>
        <w:t>A, c31, s. 283 – 285.</w:t>
      </w:r>
    </w:p>
  </w:footnote>
  <w:footnote w:id="47">
    <w:p w:rsidR="005F44B2" w:rsidRDefault="005F44B2" w:rsidP="006D59AD">
      <w:pPr>
        <w:pStyle w:val="a4"/>
        <w:spacing w:line="312" w:lineRule="auto"/>
      </w:pPr>
      <w:r w:rsidRPr="000C2566">
        <w:rPr>
          <w:rtl/>
        </w:rPr>
        <w:t>(</w:t>
      </w:r>
      <w:r w:rsidRPr="000C2566">
        <w:rPr>
          <w:rStyle w:val="FootnoteReference"/>
          <w:rFonts w:cs="Arabic Transparent"/>
          <w:u w:val="single"/>
        </w:rPr>
        <w:footnoteRef/>
      </w:r>
      <w:r w:rsidRPr="000C2566">
        <w:rPr>
          <w:rtl/>
        </w:rPr>
        <w:t>)</w:t>
      </w:r>
      <w:r w:rsidRPr="00104041">
        <w:rPr>
          <w:rFonts w:hint="cs"/>
          <w:vertAlign w:val="baseline"/>
          <w:rtl/>
        </w:rPr>
        <w:t>أنظر</w:t>
      </w:r>
      <w:r w:rsidRPr="00104041">
        <w:rPr>
          <w:vertAlign w:val="baseline"/>
          <w:rtl/>
        </w:rPr>
        <w:t xml:space="preserve">: (بَيْدِلِّ، كمال، " محمود الثاني"، </w:t>
      </w:r>
      <w:r w:rsidRPr="00104041">
        <w:rPr>
          <w:rFonts w:ascii="Calibri" w:hAnsi="Calibri" w:hint="cs"/>
          <w:vertAlign w:val="baseline"/>
          <w:rtl/>
        </w:rPr>
        <w:t>الموسوعة</w:t>
      </w:r>
      <w:r w:rsidRPr="00104041">
        <w:rPr>
          <w:rFonts w:ascii="Calibri" w:hAnsi="Calibri"/>
          <w:vertAlign w:val="baseline"/>
          <w:rtl/>
        </w:rPr>
        <w:t xml:space="preserve"> </w:t>
      </w:r>
      <w:r w:rsidRPr="00104041">
        <w:rPr>
          <w:rFonts w:ascii="Calibri" w:hAnsi="Calibri" w:hint="cs"/>
          <w:vertAlign w:val="baseline"/>
          <w:rtl/>
        </w:rPr>
        <w:t>الإسلامية</w:t>
      </w:r>
      <w:r w:rsidRPr="00104041">
        <w:rPr>
          <w:rFonts w:ascii="Calibri" w:hAnsi="Calibri"/>
          <w:vertAlign w:val="baseline"/>
          <w:rtl/>
        </w:rPr>
        <w:t xml:space="preserve"> </w:t>
      </w:r>
      <w:r w:rsidRPr="00104041">
        <w:rPr>
          <w:rFonts w:ascii="Calibri" w:hAnsi="Calibri" w:hint="cs"/>
          <w:vertAlign w:val="baseline"/>
          <w:rtl/>
        </w:rPr>
        <w:t>للأوقاف</w:t>
      </w:r>
      <w:r w:rsidRPr="00104041">
        <w:rPr>
          <w:rFonts w:ascii="Calibri" w:hAnsi="Calibri"/>
          <w:vertAlign w:val="baseline"/>
          <w:rtl/>
        </w:rPr>
        <w:t xml:space="preserve"> </w:t>
      </w:r>
      <w:r w:rsidRPr="00104041">
        <w:rPr>
          <w:rFonts w:ascii="Calibri" w:hAnsi="Calibri" w:hint="cs"/>
          <w:vertAlign w:val="baseline"/>
          <w:rtl/>
        </w:rPr>
        <w:t>الدينية</w:t>
      </w:r>
      <w:r w:rsidRPr="00104041">
        <w:rPr>
          <w:rFonts w:ascii="Calibri" w:hAnsi="Calibri"/>
          <w:vertAlign w:val="baseline"/>
          <w:rtl/>
        </w:rPr>
        <w:t xml:space="preserve"> </w:t>
      </w:r>
      <w:r w:rsidRPr="00104041">
        <w:rPr>
          <w:rFonts w:ascii="Calibri" w:hAnsi="Calibri" w:hint="cs"/>
          <w:vertAlign w:val="baseline"/>
          <w:rtl/>
        </w:rPr>
        <w:t>التركية،</w:t>
      </w:r>
      <w:r w:rsidRPr="00104041">
        <w:rPr>
          <w:rFonts w:ascii="Calibri" w:hAnsi="Calibri"/>
          <w:vertAlign w:val="baseline"/>
          <w:rtl/>
        </w:rPr>
        <w:t xml:space="preserve"> </w:t>
      </w:r>
      <w:r w:rsidRPr="00104041">
        <w:rPr>
          <w:rFonts w:ascii="Calibri" w:hAnsi="Calibri" w:hint="cs"/>
          <w:vertAlign w:val="baseline"/>
          <w:rtl/>
        </w:rPr>
        <w:t>ج</w:t>
      </w:r>
      <w:r w:rsidRPr="00104041">
        <w:rPr>
          <w:rFonts w:ascii="Calibri" w:hAnsi="Calibri"/>
          <w:vertAlign w:val="baseline"/>
          <w:rtl/>
        </w:rPr>
        <w:t>27</w:t>
      </w:r>
      <w:r w:rsidRPr="00104041">
        <w:rPr>
          <w:rFonts w:ascii="Calibri" w:hAnsi="Calibri" w:hint="cs"/>
          <w:vertAlign w:val="baseline"/>
          <w:rtl/>
        </w:rPr>
        <w:t>،</w:t>
      </w:r>
      <w:r w:rsidRPr="00104041">
        <w:rPr>
          <w:rFonts w:ascii="Calibri" w:hAnsi="Calibri"/>
          <w:vertAlign w:val="baseline"/>
          <w:rtl/>
        </w:rPr>
        <w:t xml:space="preserve"> </w:t>
      </w:r>
      <w:r w:rsidRPr="00104041">
        <w:rPr>
          <w:rFonts w:ascii="Calibri" w:hAnsi="Calibri" w:hint="cs"/>
          <w:vertAlign w:val="baseline"/>
          <w:rtl/>
        </w:rPr>
        <w:t>ص</w:t>
      </w:r>
      <w:r w:rsidRPr="00104041">
        <w:rPr>
          <w:rFonts w:ascii="Calibri" w:hAnsi="Calibri"/>
          <w:vertAlign w:val="baseline"/>
          <w:rtl/>
        </w:rPr>
        <w:t xml:space="preserve">352-357.)     </w:t>
      </w:r>
      <w:r w:rsidRPr="00104041">
        <w:rPr>
          <w:vertAlign w:val="baseline"/>
        </w:rPr>
        <w:t>BEYD</w:t>
      </w:r>
      <w:r w:rsidRPr="00104041">
        <w:rPr>
          <w:rFonts w:ascii="Times New Roman" w:hAnsi="Times New Roman" w:cs="Times New Roman"/>
          <w:vertAlign w:val="baseline"/>
        </w:rPr>
        <w:t>İ</w:t>
      </w:r>
      <w:r w:rsidRPr="00104041">
        <w:rPr>
          <w:vertAlign w:val="baseline"/>
        </w:rPr>
        <w:t>LL</w:t>
      </w:r>
      <w:r w:rsidRPr="00104041">
        <w:rPr>
          <w:rFonts w:ascii="Times New Roman" w:hAnsi="Times New Roman" w:cs="Times New Roman"/>
          <w:vertAlign w:val="baseline"/>
        </w:rPr>
        <w:t>İ</w:t>
      </w:r>
      <w:r>
        <w:rPr>
          <w:vertAlign w:val="baseline"/>
        </w:rPr>
        <w:t>,</w:t>
      </w:r>
      <w:r w:rsidRPr="00104041">
        <w:rPr>
          <w:vertAlign w:val="baseline"/>
        </w:rPr>
        <w:t xml:space="preserve"> Kemal, “ MAHMUD II”, D</w:t>
      </w:r>
      <w:r w:rsidRPr="00104041">
        <w:rPr>
          <w:rFonts w:ascii="Times New Roman" w:hAnsi="Times New Roman" w:cs="Times New Roman"/>
          <w:vertAlign w:val="baseline"/>
        </w:rPr>
        <w:t>İ</w:t>
      </w:r>
      <w:r w:rsidRPr="00104041">
        <w:rPr>
          <w:vertAlign w:val="baseline"/>
        </w:rPr>
        <w:t>A, c27, s. 352 – 357.</w:t>
      </w:r>
    </w:p>
  </w:footnote>
  <w:footnote w:id="48">
    <w:p w:rsidR="005F44B2" w:rsidRPr="00D751DA" w:rsidRDefault="005F44B2" w:rsidP="006D59AD">
      <w:pPr>
        <w:pStyle w:val="a4"/>
        <w:spacing w:line="312" w:lineRule="auto"/>
        <w:rPr>
          <w:vertAlign w:val="baseline"/>
        </w:rPr>
      </w:pPr>
      <w:r w:rsidRPr="000C2566">
        <w:rPr>
          <w:rtl/>
        </w:rPr>
        <w:t>(</w:t>
      </w:r>
      <w:r w:rsidRPr="000C2566">
        <w:rPr>
          <w:rStyle w:val="FootnoteReference"/>
          <w:rFonts w:cs="Arabic Transparent"/>
        </w:rPr>
        <w:footnoteRef/>
      </w:r>
      <w:r w:rsidRPr="000C2566">
        <w:rPr>
          <w:rtl/>
        </w:rPr>
        <w:t>)</w:t>
      </w:r>
      <w:r w:rsidRPr="00D751DA">
        <w:rPr>
          <w:vertAlign w:val="baseline"/>
          <w:rtl/>
        </w:rPr>
        <w:t xml:space="preserve"> أنظر: الدكتور صالح علي الشورة، </w:t>
      </w:r>
      <w:r w:rsidRPr="00D751DA">
        <w:rPr>
          <w:rFonts w:hint="cs"/>
          <w:b/>
          <w:bCs/>
          <w:vertAlign w:val="baseline"/>
          <w:rtl/>
        </w:rPr>
        <w:t>أحمد</w:t>
      </w:r>
      <w:r w:rsidRPr="00D751DA">
        <w:rPr>
          <w:b/>
          <w:bCs/>
          <w:vertAlign w:val="baseline"/>
          <w:rtl/>
        </w:rPr>
        <w:t xml:space="preserve"> باشا الجزار من الرق إلى سدة الحكم</w:t>
      </w:r>
      <w:r w:rsidRPr="00D751DA">
        <w:rPr>
          <w:rFonts w:hint="cs"/>
          <w:vertAlign w:val="baseline"/>
          <w:rtl/>
        </w:rPr>
        <w:t>،</w:t>
      </w:r>
      <w:r w:rsidRPr="00D751DA">
        <w:rPr>
          <w:vertAlign w:val="baseline"/>
          <w:rtl/>
        </w:rPr>
        <w:t xml:space="preserve"> الطبعة الأولى، عمان، دار </w:t>
      </w:r>
      <w:r w:rsidRPr="00761A6A">
        <w:rPr>
          <w:rFonts w:hint="cs"/>
          <w:vertAlign w:val="baseline"/>
          <w:rtl/>
        </w:rPr>
        <w:t>كنوز</w:t>
      </w:r>
      <w:r w:rsidRPr="00761A6A">
        <w:rPr>
          <w:vertAlign w:val="baseline"/>
          <w:rtl/>
        </w:rPr>
        <w:t xml:space="preserve"> المعرفة العلمية، 2014م، ص 101-106، 168-170؛ ( أَمَجنْ، فريدون، "جزّار أحمد باشا"، </w:t>
      </w:r>
      <w:r w:rsidRPr="00761A6A">
        <w:rPr>
          <w:rFonts w:ascii="Calibri" w:hAnsi="Calibri" w:hint="cs"/>
          <w:vertAlign w:val="baseline"/>
          <w:rtl/>
        </w:rPr>
        <w:t>الموسوعة</w:t>
      </w:r>
      <w:r w:rsidRPr="00761A6A">
        <w:rPr>
          <w:rFonts w:ascii="Calibri" w:hAnsi="Calibri"/>
          <w:vertAlign w:val="baseline"/>
          <w:rtl/>
        </w:rPr>
        <w:t xml:space="preserve"> </w:t>
      </w:r>
      <w:r w:rsidRPr="00761A6A">
        <w:rPr>
          <w:rFonts w:ascii="Calibri" w:hAnsi="Calibri" w:hint="cs"/>
          <w:vertAlign w:val="baseline"/>
          <w:rtl/>
        </w:rPr>
        <w:t>الإسلامية</w:t>
      </w:r>
      <w:r w:rsidRPr="00761A6A">
        <w:rPr>
          <w:rFonts w:ascii="Calibri" w:hAnsi="Calibri"/>
          <w:vertAlign w:val="baseline"/>
          <w:rtl/>
        </w:rPr>
        <w:t xml:space="preserve"> </w:t>
      </w:r>
      <w:r w:rsidRPr="00761A6A">
        <w:rPr>
          <w:rFonts w:ascii="Calibri" w:hAnsi="Calibri" w:hint="cs"/>
          <w:vertAlign w:val="baseline"/>
          <w:rtl/>
        </w:rPr>
        <w:t>للأوقاف</w:t>
      </w:r>
      <w:r w:rsidRPr="00761A6A">
        <w:rPr>
          <w:rFonts w:ascii="Calibri" w:hAnsi="Calibri"/>
          <w:vertAlign w:val="baseline"/>
          <w:rtl/>
        </w:rPr>
        <w:t xml:space="preserve"> </w:t>
      </w:r>
      <w:r w:rsidRPr="00761A6A">
        <w:rPr>
          <w:rFonts w:ascii="Calibri" w:hAnsi="Calibri" w:hint="cs"/>
          <w:vertAlign w:val="baseline"/>
          <w:rtl/>
        </w:rPr>
        <w:t>الدينية</w:t>
      </w:r>
      <w:r w:rsidRPr="00761A6A">
        <w:rPr>
          <w:rFonts w:ascii="Calibri" w:hAnsi="Calibri"/>
          <w:vertAlign w:val="baseline"/>
          <w:rtl/>
        </w:rPr>
        <w:t xml:space="preserve"> </w:t>
      </w:r>
      <w:r w:rsidRPr="00761A6A">
        <w:rPr>
          <w:rFonts w:ascii="Calibri" w:hAnsi="Calibri" w:hint="cs"/>
          <w:vertAlign w:val="baseline"/>
          <w:rtl/>
        </w:rPr>
        <w:t>التركية،</w:t>
      </w:r>
      <w:r w:rsidRPr="00761A6A">
        <w:rPr>
          <w:rFonts w:ascii="Calibri" w:hAnsi="Calibri"/>
          <w:vertAlign w:val="baseline"/>
          <w:rtl/>
        </w:rPr>
        <w:t xml:space="preserve"> </w:t>
      </w:r>
      <w:r w:rsidRPr="00761A6A">
        <w:rPr>
          <w:rFonts w:ascii="Calibri" w:hAnsi="Calibri" w:hint="cs"/>
          <w:vertAlign w:val="baseline"/>
          <w:rtl/>
        </w:rPr>
        <w:t>ج</w:t>
      </w:r>
      <w:r w:rsidRPr="00761A6A">
        <w:rPr>
          <w:rFonts w:ascii="Calibri" w:hAnsi="Calibri"/>
          <w:vertAlign w:val="baseline"/>
          <w:rtl/>
        </w:rPr>
        <w:t>7</w:t>
      </w:r>
      <w:r w:rsidRPr="00761A6A">
        <w:rPr>
          <w:rFonts w:ascii="Calibri" w:hAnsi="Calibri" w:hint="cs"/>
          <w:vertAlign w:val="baseline"/>
          <w:rtl/>
        </w:rPr>
        <w:t>،</w:t>
      </w:r>
      <w:r w:rsidRPr="00761A6A">
        <w:rPr>
          <w:rFonts w:ascii="Calibri" w:hAnsi="Calibri"/>
          <w:vertAlign w:val="baseline"/>
          <w:rtl/>
        </w:rPr>
        <w:t xml:space="preserve"> </w:t>
      </w:r>
      <w:r w:rsidRPr="00761A6A">
        <w:rPr>
          <w:rFonts w:ascii="Calibri" w:hAnsi="Calibri" w:hint="cs"/>
          <w:vertAlign w:val="baseline"/>
          <w:rtl/>
        </w:rPr>
        <w:t>ص</w:t>
      </w:r>
      <w:r w:rsidRPr="00761A6A">
        <w:rPr>
          <w:rFonts w:ascii="Calibri" w:hAnsi="Calibri"/>
          <w:vertAlign w:val="baseline"/>
          <w:rtl/>
        </w:rPr>
        <w:t xml:space="preserve"> 516 – 518.)</w:t>
      </w:r>
    </w:p>
    <w:p w:rsidR="005F44B2" w:rsidRDefault="005F44B2" w:rsidP="006D59AD">
      <w:pPr>
        <w:pStyle w:val="a4"/>
        <w:spacing w:line="312" w:lineRule="auto"/>
      </w:pPr>
      <w:r w:rsidRPr="00D751DA">
        <w:rPr>
          <w:vertAlign w:val="baseline"/>
        </w:rPr>
        <w:t>EMECEN</w:t>
      </w:r>
      <w:r>
        <w:rPr>
          <w:vertAlign w:val="baseline"/>
        </w:rPr>
        <w:t>,</w:t>
      </w:r>
      <w:r w:rsidRPr="00D751DA">
        <w:rPr>
          <w:vertAlign w:val="baseline"/>
        </w:rPr>
        <w:t xml:space="preserve"> Feridun, “ CEZZ</w:t>
      </w:r>
      <w:r w:rsidRPr="00D751DA">
        <w:rPr>
          <w:rFonts w:ascii="Times New Roman" w:hAnsi="Times New Roman" w:cs="Times New Roman"/>
          <w:vertAlign w:val="baseline"/>
        </w:rPr>
        <w:t>Â</w:t>
      </w:r>
      <w:r w:rsidRPr="00D751DA">
        <w:rPr>
          <w:vertAlign w:val="baseline"/>
        </w:rPr>
        <w:t>R AHMED PA</w:t>
      </w:r>
      <w:r w:rsidRPr="00D751DA">
        <w:rPr>
          <w:rFonts w:ascii="Times New Roman" w:hAnsi="Times New Roman" w:cs="Times New Roman"/>
          <w:vertAlign w:val="baseline"/>
        </w:rPr>
        <w:t>Ş</w:t>
      </w:r>
      <w:r w:rsidRPr="00D751DA">
        <w:rPr>
          <w:vertAlign w:val="baseline"/>
        </w:rPr>
        <w:t>A”, D</w:t>
      </w:r>
      <w:r w:rsidRPr="00D751DA">
        <w:rPr>
          <w:rFonts w:ascii="Times New Roman" w:hAnsi="Times New Roman" w:cs="Times New Roman"/>
          <w:vertAlign w:val="baseline"/>
        </w:rPr>
        <w:t>İ</w:t>
      </w:r>
      <w:r w:rsidRPr="00D751DA">
        <w:rPr>
          <w:vertAlign w:val="baseline"/>
        </w:rPr>
        <w:t>A, c7, s. 516 – 518.</w:t>
      </w:r>
    </w:p>
  </w:footnote>
  <w:footnote w:id="4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751DA">
        <w:rPr>
          <w:vertAlign w:val="baseline"/>
          <w:rtl/>
        </w:rPr>
        <w:t xml:space="preserve"> أنظر: الفرفور، ابن عابدين وأثره، ص192، 193.</w:t>
      </w:r>
    </w:p>
  </w:footnote>
  <w:footnote w:id="50">
    <w:p w:rsidR="005F44B2" w:rsidRDefault="005F44B2" w:rsidP="006D59AD">
      <w:pPr>
        <w:pStyle w:val="a4"/>
        <w:spacing w:line="312" w:lineRule="auto"/>
        <w:rPr>
          <w:rFonts w:ascii="Calibri" w:hAnsi="Calibri"/>
          <w:vertAlign w:val="baseline"/>
        </w:rPr>
      </w:pPr>
      <w:r w:rsidRPr="000C2566">
        <w:rPr>
          <w:rtl/>
        </w:rPr>
        <w:t>(</w:t>
      </w:r>
      <w:r w:rsidRPr="000C2566">
        <w:rPr>
          <w:rStyle w:val="FootnoteReference"/>
          <w:rFonts w:cs="Arabic Transparent"/>
        </w:rPr>
        <w:footnoteRef/>
      </w:r>
      <w:r w:rsidRPr="000C2566">
        <w:rPr>
          <w:rtl/>
        </w:rPr>
        <w:t>)</w:t>
      </w:r>
      <w:r w:rsidRPr="00D751DA">
        <w:rPr>
          <w:vertAlign w:val="baseline"/>
          <w:rtl/>
        </w:rPr>
        <w:t xml:space="preserve"> أنظر: (بُزْبِنار، شِتْ توفان، "الشام–</w:t>
      </w:r>
      <w:r w:rsidRPr="00D751DA">
        <w:rPr>
          <w:rFonts w:hint="cs"/>
          <w:vertAlign w:val="baseline"/>
          <w:rtl/>
        </w:rPr>
        <w:t>عهد</w:t>
      </w:r>
      <w:r w:rsidRPr="00D751DA">
        <w:rPr>
          <w:vertAlign w:val="baseline"/>
          <w:rtl/>
        </w:rPr>
        <w:t xml:space="preserve"> العثمانية" </w:t>
      </w:r>
      <w:r w:rsidRPr="00D751DA">
        <w:rPr>
          <w:rFonts w:ascii="Calibri" w:hAnsi="Calibri" w:hint="cs"/>
          <w:vertAlign w:val="baseline"/>
          <w:rtl/>
        </w:rPr>
        <w:t>الموسوعة</w:t>
      </w:r>
      <w:r w:rsidRPr="00D751DA">
        <w:rPr>
          <w:rFonts w:ascii="Calibri" w:hAnsi="Calibri"/>
          <w:vertAlign w:val="baseline"/>
          <w:rtl/>
        </w:rPr>
        <w:t xml:space="preserve"> </w:t>
      </w:r>
      <w:r w:rsidRPr="00D751DA">
        <w:rPr>
          <w:rFonts w:ascii="Calibri" w:hAnsi="Calibri" w:hint="cs"/>
          <w:vertAlign w:val="baseline"/>
          <w:rtl/>
        </w:rPr>
        <w:t>الإسلامية</w:t>
      </w:r>
      <w:r w:rsidRPr="00D751DA">
        <w:rPr>
          <w:rFonts w:ascii="Calibri" w:hAnsi="Calibri"/>
          <w:vertAlign w:val="baseline"/>
          <w:rtl/>
        </w:rPr>
        <w:t xml:space="preserve"> </w:t>
      </w:r>
      <w:r w:rsidRPr="00D751DA">
        <w:rPr>
          <w:rFonts w:ascii="Calibri" w:hAnsi="Calibri" w:hint="cs"/>
          <w:vertAlign w:val="baseline"/>
          <w:rtl/>
        </w:rPr>
        <w:t>للأوقاف</w:t>
      </w:r>
      <w:r w:rsidRPr="00D751DA">
        <w:rPr>
          <w:rFonts w:ascii="Calibri" w:hAnsi="Calibri"/>
          <w:vertAlign w:val="baseline"/>
          <w:rtl/>
        </w:rPr>
        <w:t xml:space="preserve"> </w:t>
      </w:r>
      <w:r w:rsidRPr="00D751DA">
        <w:rPr>
          <w:rFonts w:ascii="Calibri" w:hAnsi="Calibri" w:hint="cs"/>
          <w:vertAlign w:val="baseline"/>
          <w:rtl/>
        </w:rPr>
        <w:t>الدينية</w:t>
      </w:r>
      <w:r w:rsidRPr="00D751DA">
        <w:rPr>
          <w:rFonts w:ascii="Calibri" w:hAnsi="Calibri"/>
          <w:vertAlign w:val="baseline"/>
          <w:rtl/>
        </w:rPr>
        <w:t xml:space="preserve"> </w:t>
      </w:r>
      <w:r w:rsidRPr="00D751DA">
        <w:rPr>
          <w:rFonts w:ascii="Calibri" w:hAnsi="Calibri" w:hint="cs"/>
          <w:vertAlign w:val="baseline"/>
          <w:rtl/>
        </w:rPr>
        <w:t>التركية،</w:t>
      </w:r>
      <w:r w:rsidRPr="00D751DA">
        <w:rPr>
          <w:rFonts w:ascii="Calibri" w:hAnsi="Calibri"/>
          <w:vertAlign w:val="baseline"/>
          <w:rtl/>
        </w:rPr>
        <w:t xml:space="preserve"> </w:t>
      </w:r>
      <w:r w:rsidRPr="00D751DA">
        <w:rPr>
          <w:rFonts w:ascii="Calibri" w:hAnsi="Calibri" w:hint="cs"/>
          <w:vertAlign w:val="baseline"/>
          <w:rtl/>
        </w:rPr>
        <w:t>ج</w:t>
      </w:r>
      <w:r w:rsidRPr="00D751DA">
        <w:rPr>
          <w:rFonts w:ascii="Calibri" w:hAnsi="Calibri"/>
          <w:vertAlign w:val="baseline"/>
          <w:rtl/>
        </w:rPr>
        <w:t>38</w:t>
      </w:r>
      <w:r w:rsidRPr="00D751DA">
        <w:rPr>
          <w:rFonts w:ascii="Calibri" w:hAnsi="Calibri" w:hint="cs"/>
          <w:vertAlign w:val="baseline"/>
          <w:rtl/>
        </w:rPr>
        <w:t>،</w:t>
      </w:r>
      <w:r w:rsidRPr="00D751DA">
        <w:rPr>
          <w:rFonts w:ascii="Calibri" w:hAnsi="Calibri"/>
          <w:vertAlign w:val="baseline"/>
          <w:rtl/>
        </w:rPr>
        <w:t xml:space="preserve"> </w:t>
      </w:r>
      <w:r w:rsidRPr="00D751DA">
        <w:rPr>
          <w:rFonts w:ascii="Calibri" w:hAnsi="Calibri" w:hint="cs"/>
          <w:vertAlign w:val="baseline"/>
          <w:rtl/>
        </w:rPr>
        <w:t>ص</w:t>
      </w:r>
      <w:r w:rsidRPr="00D751DA">
        <w:rPr>
          <w:rFonts w:ascii="Calibri" w:hAnsi="Calibri"/>
          <w:vertAlign w:val="baseline"/>
          <w:rtl/>
        </w:rPr>
        <w:t>315-320)</w:t>
      </w:r>
    </w:p>
    <w:p w:rsidR="005F44B2" w:rsidRDefault="005F44B2" w:rsidP="006D59AD">
      <w:pPr>
        <w:pStyle w:val="a4"/>
        <w:spacing w:line="312" w:lineRule="auto"/>
      </w:pPr>
      <w:r w:rsidRPr="00D751DA">
        <w:rPr>
          <w:vertAlign w:val="baseline"/>
        </w:rPr>
        <w:t>BUZPINAR</w:t>
      </w:r>
      <w:r>
        <w:rPr>
          <w:vertAlign w:val="baseline"/>
        </w:rPr>
        <w:t>,</w:t>
      </w:r>
      <w:r w:rsidRPr="00D751DA">
        <w:rPr>
          <w:vertAlign w:val="baseline"/>
        </w:rPr>
        <w:t xml:space="preserve"> </w:t>
      </w:r>
      <w:r w:rsidRPr="00D751DA">
        <w:rPr>
          <w:rFonts w:ascii="Times New Roman" w:hAnsi="Times New Roman" w:cs="Times New Roman"/>
          <w:vertAlign w:val="baseline"/>
        </w:rPr>
        <w:t>Ş</w:t>
      </w:r>
      <w:r w:rsidRPr="00D751DA">
        <w:rPr>
          <w:vertAlign w:val="baseline"/>
        </w:rPr>
        <w:t xml:space="preserve">it Tufan, “ </w:t>
      </w:r>
      <w:r w:rsidRPr="00D751DA">
        <w:rPr>
          <w:rFonts w:ascii="Times New Roman" w:hAnsi="Times New Roman" w:cs="Times New Roman"/>
          <w:vertAlign w:val="baseline"/>
        </w:rPr>
        <w:t>Ş</w:t>
      </w:r>
      <w:r w:rsidRPr="00D751DA">
        <w:rPr>
          <w:vertAlign w:val="baseline"/>
        </w:rPr>
        <w:t>AM- OSMANLI D</w:t>
      </w:r>
      <w:r w:rsidRPr="00D751DA">
        <w:rPr>
          <w:rFonts w:ascii="Times New Roman" w:hAnsi="Times New Roman" w:cs="Times New Roman"/>
          <w:vertAlign w:val="baseline"/>
        </w:rPr>
        <w:t>Ö</w:t>
      </w:r>
      <w:r w:rsidRPr="00D751DA">
        <w:rPr>
          <w:vertAlign w:val="baseline"/>
        </w:rPr>
        <w:t>NEM</w:t>
      </w:r>
      <w:r w:rsidRPr="00D751DA">
        <w:rPr>
          <w:rFonts w:ascii="Times New Roman" w:hAnsi="Times New Roman" w:cs="Times New Roman"/>
          <w:vertAlign w:val="baseline"/>
        </w:rPr>
        <w:t>İ</w:t>
      </w:r>
      <w:r w:rsidRPr="00D751DA">
        <w:rPr>
          <w:rFonts w:eastAsia="Times New Roman" w:hint="eastAsia"/>
          <w:vertAlign w:val="baseline"/>
        </w:rPr>
        <w:t>”</w:t>
      </w:r>
      <w:r w:rsidRPr="00D751DA">
        <w:rPr>
          <w:vertAlign w:val="baseline"/>
        </w:rPr>
        <w:t>, D</w:t>
      </w:r>
      <w:r w:rsidRPr="00D751DA">
        <w:rPr>
          <w:rFonts w:ascii="Times New Roman" w:hAnsi="Times New Roman" w:cs="Times New Roman"/>
          <w:vertAlign w:val="baseline"/>
        </w:rPr>
        <w:t>İ</w:t>
      </w:r>
      <w:r w:rsidRPr="00D751DA">
        <w:rPr>
          <w:vertAlign w:val="baseline"/>
        </w:rPr>
        <w:t>A, c38, s. 315 – 320.</w:t>
      </w:r>
    </w:p>
  </w:footnote>
  <w:footnote w:id="51">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جمع المكس، وهو الضريبة التي يأخذها المكّاس ممَّن يدخل البلد من التجار، انظر: </w:t>
      </w:r>
      <w:r w:rsidRPr="009F07CC">
        <w:rPr>
          <w:rFonts w:hint="cs"/>
          <w:vertAlign w:val="baseline"/>
          <w:rtl/>
        </w:rPr>
        <w:t>مجمع</w:t>
      </w:r>
      <w:r w:rsidRPr="009F07CC">
        <w:rPr>
          <w:vertAlign w:val="baseline"/>
          <w:rtl/>
        </w:rPr>
        <w:t xml:space="preserve"> اللغة العربية بالقاهرة(إبراهيم مصطفى، أحمد الزيات، حامد عبد القادر، محمد النجار) ، </w:t>
      </w:r>
      <w:r w:rsidRPr="009F07CC">
        <w:rPr>
          <w:rFonts w:hint="cs"/>
          <w:b/>
          <w:bCs/>
          <w:vertAlign w:val="baseline"/>
          <w:rtl/>
        </w:rPr>
        <w:t>المعجم</w:t>
      </w:r>
      <w:r w:rsidRPr="009F07CC">
        <w:rPr>
          <w:b/>
          <w:bCs/>
          <w:vertAlign w:val="baseline"/>
          <w:rtl/>
        </w:rPr>
        <w:t xml:space="preserve"> الوسيط</w:t>
      </w:r>
      <w:r w:rsidRPr="009F07CC">
        <w:rPr>
          <w:rFonts w:hint="cs"/>
          <w:vertAlign w:val="baseline"/>
          <w:rtl/>
        </w:rPr>
        <w:t>،</w:t>
      </w:r>
      <w:r w:rsidRPr="009F07CC">
        <w:rPr>
          <w:vertAlign w:val="baseline"/>
          <w:rtl/>
        </w:rPr>
        <w:t xml:space="preserve"> ط4، مكتبة الشروق الدولية، 2004</w:t>
      </w:r>
      <w:r>
        <w:rPr>
          <w:rFonts w:hint="cs"/>
          <w:vertAlign w:val="baseline"/>
          <w:rtl/>
        </w:rPr>
        <w:t>م،</w:t>
      </w:r>
      <w:r>
        <w:rPr>
          <w:vertAlign w:val="baseline"/>
          <w:rtl/>
        </w:rPr>
        <w:t xml:space="preserve"> ج2، ص881.</w:t>
      </w:r>
    </w:p>
  </w:footnote>
  <w:footnote w:id="5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أنظر: الفرفور، ابن عابدين وأثره، ص196، 197.</w:t>
      </w:r>
    </w:p>
  </w:footnote>
  <w:footnote w:id="5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rFonts w:hint="cs"/>
          <w:vertAlign w:val="baseline"/>
          <w:rtl/>
        </w:rPr>
        <w:t>ابن</w:t>
      </w:r>
      <w:r w:rsidRPr="00A74FA2">
        <w:rPr>
          <w:vertAlign w:val="baseline"/>
          <w:rtl/>
        </w:rPr>
        <w:t xml:space="preserve"> منظور، </w:t>
      </w:r>
      <w:r w:rsidRPr="00E25804">
        <w:rPr>
          <w:rFonts w:hint="cs"/>
          <w:vertAlign w:val="baseline"/>
          <w:rtl/>
        </w:rPr>
        <w:t>محمد</w:t>
      </w:r>
      <w:r w:rsidRPr="00E25804">
        <w:rPr>
          <w:vertAlign w:val="baseline"/>
          <w:rtl/>
        </w:rPr>
        <w:t xml:space="preserve"> بن مكرم بن على، أبو الفضل، جمال الدين ابن منظور الأنصاري الرويفعى الإفريقى</w:t>
      </w:r>
      <w:r w:rsidRPr="00A74FA2">
        <w:rPr>
          <w:vertAlign w:val="baseline"/>
          <w:rtl/>
        </w:rPr>
        <w:t xml:space="preserve">(711هـ)، </w:t>
      </w:r>
      <w:r w:rsidRPr="00A74FA2">
        <w:rPr>
          <w:rFonts w:hint="cs"/>
          <w:b/>
          <w:bCs/>
          <w:vertAlign w:val="baseline"/>
          <w:rtl/>
        </w:rPr>
        <w:t>لسان</w:t>
      </w:r>
      <w:r w:rsidRPr="00A74FA2">
        <w:rPr>
          <w:b/>
          <w:bCs/>
          <w:vertAlign w:val="baseline"/>
          <w:rtl/>
        </w:rPr>
        <w:t xml:space="preserve"> العرب</w:t>
      </w:r>
      <w:r>
        <w:rPr>
          <w:rFonts w:hint="cs"/>
          <w:vertAlign w:val="baseline"/>
          <w:rtl/>
        </w:rPr>
        <w:t>،</w:t>
      </w:r>
      <w:r>
        <w:rPr>
          <w:vertAlign w:val="baseline"/>
          <w:rtl/>
        </w:rPr>
        <w:t xml:space="preserve"> </w:t>
      </w:r>
      <w:r w:rsidRPr="00A74FA2">
        <w:rPr>
          <w:rFonts w:hint="cs"/>
          <w:vertAlign w:val="baseline"/>
          <w:rtl/>
        </w:rPr>
        <w:t>تحقيق</w:t>
      </w:r>
      <w:r w:rsidRPr="00A74FA2">
        <w:rPr>
          <w:vertAlign w:val="baseline"/>
          <w:rtl/>
        </w:rPr>
        <w:t xml:space="preserve"> عبدالله على الكبير-محمد أحمد حسبالله-حاشم محمد الشاذلى، القاهرة، دار المعارف،  1119، ج3، ص2149.</w:t>
      </w:r>
    </w:p>
  </w:footnote>
  <w:footnote w:id="5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rFonts w:hint="cs"/>
          <w:vertAlign w:val="baseline"/>
          <w:rtl/>
        </w:rPr>
        <w:t>البخاري،</w:t>
      </w:r>
      <w:r w:rsidRPr="00A74FA2">
        <w:rPr>
          <w:vertAlign w:val="baseline"/>
          <w:rtl/>
        </w:rPr>
        <w:t xml:space="preserve"> أبو عبد الله محمد بي إسماعيل البخاري (256هـ)، </w:t>
      </w:r>
      <w:r w:rsidRPr="00D37897">
        <w:rPr>
          <w:rFonts w:hint="cs"/>
          <w:b/>
          <w:bCs/>
          <w:vertAlign w:val="baseline"/>
          <w:rtl/>
        </w:rPr>
        <w:t>الجامع</w:t>
      </w:r>
      <w:r w:rsidRPr="00D37897">
        <w:rPr>
          <w:b/>
          <w:bCs/>
          <w:vertAlign w:val="baseline"/>
          <w:rtl/>
        </w:rPr>
        <w:t xml:space="preserve"> المسند الصحيح المختصر من أمور رسول الله صلى الله عليه وسلم وسننه وأيامه مشهور بصحيح البخاري</w:t>
      </w:r>
      <w:r w:rsidRPr="00A74FA2">
        <w:rPr>
          <w:rFonts w:hint="cs"/>
          <w:vertAlign w:val="baseline"/>
          <w:rtl/>
        </w:rPr>
        <w:t>،</w:t>
      </w:r>
      <w:r>
        <w:rPr>
          <w:vertAlign w:val="baseline"/>
          <w:rtl/>
        </w:rPr>
        <w:t xml:space="preserve"> ا</w:t>
      </w:r>
      <w:r w:rsidRPr="00D37897">
        <w:rPr>
          <w:rFonts w:hint="cs"/>
          <w:vertAlign w:val="baseline"/>
          <w:rtl/>
        </w:rPr>
        <w:t>لمحقق</w:t>
      </w:r>
      <w:r w:rsidRPr="00D37897">
        <w:rPr>
          <w:vertAlign w:val="baseline"/>
          <w:rtl/>
        </w:rPr>
        <w:t>: محمد زهير بن ناصر الناصر</w:t>
      </w:r>
      <w:r>
        <w:rPr>
          <w:rFonts w:hint="cs"/>
          <w:vertAlign w:val="baseline"/>
          <w:rtl/>
        </w:rPr>
        <w:t>،</w:t>
      </w:r>
      <w:r w:rsidRPr="00A74FA2">
        <w:rPr>
          <w:vertAlign w:val="baseline"/>
          <w:rtl/>
        </w:rPr>
        <w:t xml:space="preserve"> ط1، </w:t>
      </w:r>
      <w:r w:rsidRPr="00D37897">
        <w:rPr>
          <w:rFonts w:hint="cs"/>
          <w:vertAlign w:val="baseline"/>
          <w:rtl/>
        </w:rPr>
        <w:t>دار</w:t>
      </w:r>
      <w:r w:rsidRPr="00D37897">
        <w:rPr>
          <w:vertAlign w:val="baseline"/>
          <w:rtl/>
        </w:rPr>
        <w:t xml:space="preserve"> طوق النجاة</w:t>
      </w:r>
      <w:r w:rsidRPr="00A74FA2">
        <w:rPr>
          <w:rFonts w:hint="cs"/>
          <w:vertAlign w:val="baseline"/>
          <w:rtl/>
        </w:rPr>
        <w:t>،</w:t>
      </w:r>
      <w:r w:rsidRPr="00D37897">
        <w:rPr>
          <w:vertAlign w:val="baseline"/>
          <w:rtl/>
        </w:rPr>
        <w:t>1422هـ</w:t>
      </w:r>
      <w:r>
        <w:rPr>
          <w:rFonts w:hint="cs"/>
          <w:vertAlign w:val="baseline"/>
          <w:rtl/>
        </w:rPr>
        <w:t>،</w:t>
      </w:r>
      <w:r>
        <w:rPr>
          <w:vertAlign w:val="baseline"/>
          <w:rtl/>
        </w:rPr>
        <w:t xml:space="preserve"> كتاب أحاديث الأنبياء، باب ما ذكر عن بني إسرائيل، رقم الحديث 3455، ج4، ص169.</w:t>
      </w:r>
    </w:p>
  </w:footnote>
  <w:footnote w:id="5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الزبيدي، محمّد بن محمّد بن عبد الرزّاق الحسيني الملقب بمرتضى (1205هـ)، </w:t>
      </w:r>
      <w:r w:rsidRPr="00A74FA2">
        <w:rPr>
          <w:rFonts w:hint="cs"/>
          <w:b/>
          <w:bCs/>
          <w:vertAlign w:val="baseline"/>
          <w:rtl/>
        </w:rPr>
        <w:t>تاج</w:t>
      </w:r>
      <w:r w:rsidRPr="00A74FA2">
        <w:rPr>
          <w:b/>
          <w:bCs/>
          <w:vertAlign w:val="baseline"/>
          <w:rtl/>
        </w:rPr>
        <w:t xml:space="preserve"> العروس من جواهر القاموس</w:t>
      </w:r>
      <w:r w:rsidRPr="00A74FA2">
        <w:rPr>
          <w:rFonts w:hint="cs"/>
          <w:vertAlign w:val="baseline"/>
          <w:rtl/>
        </w:rPr>
        <w:t>،</w:t>
      </w:r>
      <w:r w:rsidRPr="00A74FA2">
        <w:rPr>
          <w:vertAlign w:val="baseline"/>
          <w:rtl/>
        </w:rPr>
        <w:t xml:space="preserve"> ط2، تحقيق محمود محمد الطناحي، الكويت، مطبعة حكومة الكويت، 2004م، ج16، ص157</w:t>
      </w:r>
    </w:p>
  </w:footnote>
  <w:footnote w:id="5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ابن منظور، لسان العرب، ج25، ص2238.</w:t>
      </w:r>
    </w:p>
  </w:footnote>
  <w:footnote w:id="5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المرجع السابق.</w:t>
      </w:r>
    </w:p>
  </w:footnote>
  <w:footnote w:id="5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المرجع السابق.</w:t>
      </w:r>
    </w:p>
  </w:footnote>
  <w:footnote w:id="59">
    <w:p w:rsidR="005F44B2" w:rsidRDefault="005F44B2" w:rsidP="003D5455">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ابن عابدين، محمد أمين الشهير بابن عابدين (ت1252هـ)، </w:t>
      </w:r>
      <w:r w:rsidRPr="009F07CC">
        <w:rPr>
          <w:rFonts w:hint="cs"/>
          <w:b/>
          <w:bCs/>
          <w:vertAlign w:val="baseline"/>
          <w:rtl/>
        </w:rPr>
        <w:t>رد</w:t>
      </w:r>
      <w:r w:rsidRPr="009F07CC">
        <w:rPr>
          <w:b/>
          <w:bCs/>
          <w:vertAlign w:val="baseline"/>
          <w:rtl/>
        </w:rPr>
        <w:t xml:space="preserve"> المحتار على ا</w:t>
      </w:r>
      <w:r w:rsidRPr="009F07CC">
        <w:rPr>
          <w:rFonts w:hint="cs"/>
          <w:b/>
          <w:bCs/>
          <w:vertAlign w:val="baseline"/>
          <w:rtl/>
        </w:rPr>
        <w:t>لدر</w:t>
      </w:r>
      <w:r w:rsidRPr="009F07CC">
        <w:rPr>
          <w:b/>
          <w:bCs/>
          <w:vertAlign w:val="baseline"/>
          <w:rtl/>
        </w:rPr>
        <w:t xml:space="preserve"> المختار شرح تنوير الأبصار، مع تكملة ابن عابدين لنجل المؤلف</w:t>
      </w:r>
      <w:r w:rsidRPr="009F07CC">
        <w:rPr>
          <w:rFonts w:hint="cs"/>
          <w:vertAlign w:val="baseline"/>
          <w:rtl/>
        </w:rPr>
        <w:t>،</w:t>
      </w:r>
      <w:r w:rsidRPr="009F07CC">
        <w:rPr>
          <w:vertAlign w:val="baseline"/>
          <w:rtl/>
        </w:rPr>
        <w:t xml:space="preserve">  دراسة وتحقيق وتعديل الشيخ عادل أحمد عبد الموجود والشيخ علي محمد معوض، وقدم له محمد بكر إسماعيل، بيروت، دار الكتب العلمية، 1994م، ج6، ص20.</w:t>
      </w:r>
    </w:p>
  </w:footnote>
  <w:footnote w:id="60">
    <w:p w:rsidR="005F44B2" w:rsidRDefault="005F44B2" w:rsidP="000A2882">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البجيرمي هو سليمان بن محمد بن عمر البجيرمي، فقيه مصري، ولد في بجيرم (1131 هـ </w:t>
      </w:r>
      <w:r w:rsidRPr="00896F71">
        <w:rPr>
          <w:vertAlign w:val="baseline"/>
          <w:rtl/>
        </w:rPr>
        <w:softHyphen/>
        <w:t>- 1719 م)، فتعلم في الأزهر، ودرس،، له التجريد، وهو حاشية على ش</w:t>
      </w:r>
      <w:r w:rsidRPr="00896F71">
        <w:rPr>
          <w:rFonts w:hint="cs"/>
          <w:vertAlign w:val="baseline"/>
          <w:rtl/>
        </w:rPr>
        <w:t>رح</w:t>
      </w:r>
      <w:r w:rsidRPr="00896F71">
        <w:rPr>
          <w:vertAlign w:val="baseline"/>
          <w:rtl/>
        </w:rPr>
        <w:t xml:space="preserve"> المنهج في فقه الشافعية</w:t>
      </w:r>
      <w:r w:rsidRPr="00896F71">
        <w:rPr>
          <w:rFonts w:hint="cs"/>
          <w:vertAlign w:val="baseline"/>
          <w:rtl/>
        </w:rPr>
        <w:t>،</w:t>
      </w:r>
      <w:r w:rsidRPr="00896F71">
        <w:rPr>
          <w:vertAlign w:val="baseline"/>
          <w:rtl/>
        </w:rPr>
        <w:t xml:space="preserve"> وتحفة الحبيب، حاشية على شرح الخطيب،وتوفي في قرية مصطية، بالقرب من بجيرم (1221 هـ - 1806 م). أنظر: الزركلي، الأعلام، ج3، ص133.  </w:t>
      </w:r>
    </w:p>
  </w:footnote>
  <w:footnote w:id="61">
    <w:p w:rsidR="005F44B2" w:rsidRDefault="005F44B2" w:rsidP="000A2882">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البجيرمي،</w:t>
      </w:r>
      <w:r w:rsidRPr="00896F71">
        <w:rPr>
          <w:vertAlign w:val="baseline"/>
          <w:rtl/>
        </w:rPr>
        <w:t xml:space="preserve"> سليمان بن محمد بن عمر البجيرمي (ت 1221 هـ)، </w:t>
      </w:r>
      <w:r w:rsidRPr="00FC4330">
        <w:rPr>
          <w:rFonts w:hint="cs"/>
          <w:b/>
          <w:bCs/>
          <w:vertAlign w:val="baseline"/>
          <w:rtl/>
        </w:rPr>
        <w:t>التجريد</w:t>
      </w:r>
      <w:r w:rsidRPr="00FC4330">
        <w:rPr>
          <w:b/>
          <w:bCs/>
          <w:vertAlign w:val="baseline"/>
          <w:rtl/>
        </w:rPr>
        <w:t xml:space="preserve"> لنفع العبيد = حاشية البجيرمي على شرح المنهج</w:t>
      </w:r>
      <w:r w:rsidRPr="00896F71">
        <w:rPr>
          <w:vertAlign w:val="baseline"/>
          <w:rtl/>
        </w:rPr>
        <w:t xml:space="preserve"> (منهج الطلاب اختصره زكريا الأنصاري من منهاج الطالبين للنووي ثم شرحه في شرح منهج الطلاب)، مطبعة الحلبي، 1950 م، ج2، ص178.</w:t>
      </w:r>
    </w:p>
  </w:footnote>
  <w:footnote w:id="62">
    <w:p w:rsidR="005F44B2" w:rsidRDefault="005F44B2" w:rsidP="0055045C">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عطوة، عبد العال أحمد، </w:t>
      </w:r>
      <w:r w:rsidRPr="00896F71">
        <w:rPr>
          <w:rFonts w:hint="cs"/>
          <w:b/>
          <w:bCs/>
          <w:vertAlign w:val="baseline"/>
          <w:rtl/>
        </w:rPr>
        <w:t>المدخا</w:t>
      </w:r>
      <w:r w:rsidRPr="00896F71">
        <w:rPr>
          <w:b/>
          <w:bCs/>
          <w:vertAlign w:val="baseline"/>
          <w:rtl/>
        </w:rPr>
        <w:t xml:space="preserve"> إلى السياسة الشرعية</w:t>
      </w:r>
      <w:r w:rsidRPr="00896F71">
        <w:rPr>
          <w:rFonts w:hint="cs"/>
          <w:vertAlign w:val="baseline"/>
          <w:rtl/>
        </w:rPr>
        <w:t>،</w:t>
      </w:r>
      <w:r w:rsidRPr="00896F71">
        <w:rPr>
          <w:vertAlign w:val="baseline"/>
          <w:rtl/>
        </w:rPr>
        <w:t xml:space="preserve"> ط1، رياض، جامعة الإمام محمد بن سعود الإسلامية، 1993م، ص56. </w:t>
      </w:r>
    </w:p>
  </w:footnote>
  <w:footnote w:id="6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74FA2">
        <w:rPr>
          <w:vertAlign w:val="baseline"/>
          <w:rtl/>
        </w:rPr>
        <w:t xml:space="preserve"> قدّم الباحث تعريف الإيالة، لأن إمام الحرمين الجويني استخدم مصطلح الإيالة محل السياسة، وس</w:t>
      </w:r>
      <w:r>
        <w:rPr>
          <w:rFonts w:hint="cs"/>
          <w:vertAlign w:val="baseline"/>
          <w:rtl/>
        </w:rPr>
        <w:t>ي</w:t>
      </w:r>
      <w:r w:rsidRPr="00A74FA2">
        <w:rPr>
          <w:rFonts w:hint="cs"/>
          <w:vertAlign w:val="baseline"/>
          <w:rtl/>
        </w:rPr>
        <w:t>شير</w:t>
      </w:r>
      <w:r w:rsidRPr="00A74FA2">
        <w:rPr>
          <w:vertAlign w:val="baseline"/>
          <w:rtl/>
        </w:rPr>
        <w:t xml:space="preserve"> إليه في ال</w:t>
      </w:r>
      <w:r>
        <w:rPr>
          <w:rFonts w:hint="cs"/>
          <w:vertAlign w:val="baseline"/>
          <w:rtl/>
        </w:rPr>
        <w:t>مطلب</w:t>
      </w:r>
      <w:r>
        <w:rPr>
          <w:vertAlign w:val="baseline"/>
          <w:rtl/>
        </w:rPr>
        <w:t xml:space="preserve"> الثاني، من هذه الرسالة، ص35، 36.</w:t>
      </w:r>
    </w:p>
  </w:footnote>
  <w:footnote w:id="6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الجوهري، أبو نصر إسماعيل بن حماد الجوهري الفارابي (393هـ)، </w:t>
      </w:r>
      <w:r w:rsidRPr="009F07CC">
        <w:rPr>
          <w:rFonts w:hint="cs"/>
          <w:bCs/>
          <w:vertAlign w:val="baseline"/>
          <w:rtl/>
        </w:rPr>
        <w:t>الصحاح</w:t>
      </w:r>
      <w:r w:rsidRPr="009F07CC">
        <w:rPr>
          <w:bCs/>
          <w:vertAlign w:val="baseline"/>
          <w:rtl/>
        </w:rPr>
        <w:t xml:space="preserve"> تاج اللغة وصحاح العربية</w:t>
      </w:r>
      <w:r w:rsidRPr="009F07CC">
        <w:rPr>
          <w:rFonts w:hint="cs"/>
          <w:vertAlign w:val="baseline"/>
          <w:rtl/>
        </w:rPr>
        <w:t>،</w:t>
      </w:r>
      <w:r w:rsidRPr="009F07CC">
        <w:rPr>
          <w:vertAlign w:val="baseline"/>
          <w:rtl/>
        </w:rPr>
        <w:t xml:space="preserve"> تحقيق: أحمد عبد الغفور عطار، ط4،</w:t>
      </w:r>
      <w:r>
        <w:rPr>
          <w:vertAlign w:val="baseline"/>
          <w:rtl/>
        </w:rPr>
        <w:t xml:space="preserve"> 6م،</w:t>
      </w:r>
      <w:r w:rsidRPr="009F07CC">
        <w:rPr>
          <w:rFonts w:hint="cs"/>
          <w:vertAlign w:val="baseline"/>
          <w:rtl/>
        </w:rPr>
        <w:t>دار</w:t>
      </w:r>
      <w:r w:rsidRPr="009F07CC">
        <w:rPr>
          <w:vertAlign w:val="baseline"/>
          <w:rtl/>
        </w:rPr>
        <w:t xml:space="preserve"> العلم للملايين،بيروت، 1987</w:t>
      </w:r>
      <w:r>
        <w:rPr>
          <w:rFonts w:hint="cs"/>
          <w:vertAlign w:val="baseline"/>
          <w:rtl/>
        </w:rPr>
        <w:t>م</w:t>
      </w:r>
      <w:r>
        <w:rPr>
          <w:vertAlign w:val="baseline"/>
          <w:rtl/>
        </w:rPr>
        <w:t>.</w:t>
      </w:r>
    </w:p>
  </w:footnote>
  <w:footnote w:id="6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rFonts w:hint="cs"/>
          <w:vertAlign w:val="baseline"/>
          <w:rtl/>
        </w:rPr>
        <w:t>مجمع</w:t>
      </w:r>
      <w:r w:rsidRPr="009F07CC">
        <w:rPr>
          <w:vertAlign w:val="baseline"/>
          <w:rtl/>
        </w:rPr>
        <w:t xml:space="preserve"> اللغة العربية بالقاهرة(إبراهيم مصطفى، أحمد الزيات، حامد عبد القادر، محمد النجار) ، </w:t>
      </w:r>
      <w:r w:rsidRPr="009F07CC">
        <w:rPr>
          <w:rFonts w:hint="cs"/>
          <w:b/>
          <w:bCs/>
          <w:vertAlign w:val="baseline"/>
          <w:rtl/>
        </w:rPr>
        <w:t>المعجم</w:t>
      </w:r>
      <w:r w:rsidRPr="009F07CC">
        <w:rPr>
          <w:b/>
          <w:bCs/>
          <w:vertAlign w:val="baseline"/>
          <w:rtl/>
        </w:rPr>
        <w:t xml:space="preserve"> الوسيط</w:t>
      </w:r>
      <w:r w:rsidRPr="009F07CC">
        <w:rPr>
          <w:rFonts w:hint="cs"/>
          <w:vertAlign w:val="baseline"/>
          <w:rtl/>
        </w:rPr>
        <w:t>،</w:t>
      </w:r>
      <w:r w:rsidRPr="009F07CC">
        <w:rPr>
          <w:vertAlign w:val="baseline"/>
          <w:rtl/>
        </w:rPr>
        <w:t xml:space="preserve"> ط4، مكتبة الشروق الدولية، 2004</w:t>
      </w:r>
      <w:r>
        <w:rPr>
          <w:rFonts w:hint="cs"/>
          <w:vertAlign w:val="baseline"/>
          <w:rtl/>
        </w:rPr>
        <w:t>م</w:t>
      </w:r>
      <w:r w:rsidRPr="009F07CC">
        <w:rPr>
          <w:rFonts w:hint="cs"/>
          <w:vertAlign w:val="baseline"/>
          <w:rtl/>
        </w:rPr>
        <w:t>،</w:t>
      </w:r>
      <w:r w:rsidRPr="009F07CC">
        <w:rPr>
          <w:vertAlign w:val="baseline"/>
          <w:rtl/>
        </w:rPr>
        <w:t xml:space="preserve"> ص63.</w:t>
      </w:r>
    </w:p>
  </w:footnote>
  <w:footnote w:id="6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rFonts w:hint="cs"/>
          <w:vertAlign w:val="baseline"/>
          <w:rtl/>
        </w:rPr>
        <w:t>الفيومي،</w:t>
      </w:r>
      <w:r w:rsidRPr="009F07CC">
        <w:rPr>
          <w:vertAlign w:val="baseline"/>
          <w:rtl/>
        </w:rPr>
        <w:t xml:space="preserve"> أحمد بن محمد بن علي الفيومي ثم الحموي ( 770هـ)، </w:t>
      </w:r>
      <w:r w:rsidRPr="009F07CC">
        <w:rPr>
          <w:rFonts w:hint="cs"/>
          <w:b/>
          <w:bCs/>
          <w:vertAlign w:val="baseline"/>
          <w:rtl/>
        </w:rPr>
        <w:t>المصباح</w:t>
      </w:r>
      <w:r w:rsidRPr="009F07CC">
        <w:rPr>
          <w:b/>
          <w:bCs/>
          <w:vertAlign w:val="baseline"/>
          <w:rtl/>
        </w:rPr>
        <w:t xml:space="preserve"> المنير في غري</w:t>
      </w:r>
      <w:r w:rsidRPr="009F07CC">
        <w:rPr>
          <w:rFonts w:hint="cs"/>
          <w:b/>
          <w:bCs/>
          <w:vertAlign w:val="baseline"/>
          <w:rtl/>
        </w:rPr>
        <w:t>ب</w:t>
      </w:r>
      <w:r w:rsidRPr="009F07CC">
        <w:rPr>
          <w:b/>
          <w:bCs/>
          <w:vertAlign w:val="baseline"/>
          <w:rtl/>
        </w:rPr>
        <w:t xml:space="preserve"> الشرح الكبير</w:t>
      </w:r>
      <w:r w:rsidRPr="009F07CC">
        <w:rPr>
          <w:rFonts w:hint="cs"/>
          <w:vertAlign w:val="baseline"/>
          <w:rtl/>
        </w:rPr>
        <w:t>،</w:t>
      </w:r>
      <w:r w:rsidRPr="009F07CC">
        <w:rPr>
          <w:vertAlign w:val="baseline"/>
          <w:rtl/>
        </w:rPr>
        <w:t xml:space="preserve"> بيروت، المكتبة العلمية، ج2، ص462.</w:t>
      </w:r>
    </w:p>
  </w:footnote>
  <w:footnote w:id="6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rFonts w:hint="cs"/>
          <w:vertAlign w:val="baseline"/>
          <w:rtl/>
        </w:rPr>
        <w:t>ابن</w:t>
      </w:r>
      <w:r w:rsidRPr="009F07CC">
        <w:rPr>
          <w:vertAlign w:val="baseline"/>
          <w:rtl/>
        </w:rPr>
        <w:t xml:space="preserve"> منظور، لسان العرب، ج5، ص3348.</w:t>
      </w:r>
    </w:p>
  </w:footnote>
  <w:footnote w:id="68">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w:t>
      </w:r>
      <w:r w:rsidRPr="00FB5347">
        <w:rPr>
          <w:vertAlign w:val="baseline"/>
          <w:rtl/>
        </w:rPr>
        <w:t xml:space="preserve"> البهوتي،  منصور بن يونس بن صلاح الدين ابن حسن بن إدريس البهوتى الحنبلى (ت: 1051هـ)، </w:t>
      </w:r>
      <w:r w:rsidRPr="00FB5347">
        <w:rPr>
          <w:rFonts w:hint="cs"/>
          <w:b/>
          <w:bCs/>
          <w:vertAlign w:val="baseline"/>
          <w:rtl/>
        </w:rPr>
        <w:t>دقائق</w:t>
      </w:r>
      <w:r w:rsidRPr="00FB5347">
        <w:rPr>
          <w:b/>
          <w:bCs/>
          <w:vertAlign w:val="baseline"/>
          <w:rtl/>
        </w:rPr>
        <w:t xml:space="preserve"> أولي النهى لشر</w:t>
      </w:r>
      <w:r w:rsidRPr="00FB5347">
        <w:rPr>
          <w:rFonts w:hint="cs"/>
          <w:b/>
          <w:bCs/>
          <w:vertAlign w:val="baseline"/>
          <w:rtl/>
        </w:rPr>
        <w:t>ح</w:t>
      </w:r>
      <w:r w:rsidRPr="00FB5347">
        <w:rPr>
          <w:b/>
          <w:bCs/>
          <w:vertAlign w:val="baseline"/>
          <w:rtl/>
        </w:rPr>
        <w:t xml:space="preserve"> المنتهى المعروف بشرح منتهى الإرادات</w:t>
      </w:r>
      <w:r w:rsidRPr="00FB5347">
        <w:rPr>
          <w:rFonts w:hint="cs"/>
          <w:vertAlign w:val="baseline"/>
          <w:rtl/>
        </w:rPr>
        <w:t>،</w:t>
      </w:r>
      <w:r w:rsidRPr="00FB5347">
        <w:rPr>
          <w:vertAlign w:val="baseline"/>
          <w:rtl/>
        </w:rPr>
        <w:t xml:space="preserve"> ط1، عالم الكتب، </w:t>
      </w:r>
      <w:r>
        <w:rPr>
          <w:vertAlign w:val="baseline"/>
          <w:rtl/>
        </w:rPr>
        <w:t>1414هـ</w:t>
      </w:r>
      <w:r>
        <w:rPr>
          <w:vertAlign w:val="baseline"/>
        </w:rPr>
        <w:t>/</w:t>
      </w:r>
      <w:r w:rsidRPr="00FB5347">
        <w:rPr>
          <w:vertAlign w:val="baseline"/>
          <w:rtl/>
        </w:rPr>
        <w:t>1993م</w:t>
      </w:r>
      <w:r>
        <w:rPr>
          <w:rFonts w:hint="cs"/>
          <w:vertAlign w:val="baseline"/>
          <w:rtl/>
        </w:rPr>
        <w:t>،</w:t>
      </w:r>
      <w:r>
        <w:rPr>
          <w:vertAlign w:val="baseline"/>
          <w:rtl/>
        </w:rPr>
        <w:t xml:space="preserve"> ج3، ص483.</w:t>
      </w:r>
    </w:p>
  </w:footnote>
  <w:footnote w:id="69">
    <w:p w:rsidR="005F44B2" w:rsidRDefault="005F44B2" w:rsidP="006D59AD">
      <w:pPr>
        <w:pStyle w:val="a4"/>
        <w:spacing w:line="312" w:lineRule="auto"/>
      </w:pPr>
      <w:r>
        <w:rPr>
          <w:rtl/>
        </w:rPr>
        <w:t>(</w:t>
      </w:r>
      <w:r>
        <w:rPr>
          <w:rStyle w:val="FootnoteReference"/>
          <w:rFonts w:cs="Arabic Transparent"/>
        </w:rPr>
        <w:footnoteRef/>
      </w:r>
      <w:r>
        <w:rPr>
          <w:rtl/>
        </w:rPr>
        <w:t>)</w:t>
      </w:r>
      <w:r w:rsidRPr="00DF02C9">
        <w:rPr>
          <w:rFonts w:hint="cs"/>
          <w:vertAlign w:val="baseline"/>
          <w:rtl/>
        </w:rPr>
        <w:t>أبو</w:t>
      </w:r>
      <w:r w:rsidRPr="00DF02C9">
        <w:rPr>
          <w:vertAlign w:val="baseline"/>
          <w:rtl/>
        </w:rPr>
        <w:t xml:space="preserve"> العباس شهاب الدين أحمد بن إدريس بن عبد الرحمن المالكي الشهير بالقرافي (ت 684هـ)، </w:t>
      </w:r>
      <w:r w:rsidRPr="00DF02C9">
        <w:rPr>
          <w:rFonts w:hint="cs"/>
          <w:b/>
          <w:bCs/>
          <w:vertAlign w:val="baseline"/>
          <w:rtl/>
        </w:rPr>
        <w:t>الذخيرة</w:t>
      </w:r>
      <w:r w:rsidRPr="00DF02C9">
        <w:rPr>
          <w:rFonts w:hint="cs"/>
          <w:vertAlign w:val="baseline"/>
          <w:rtl/>
        </w:rPr>
        <w:t>،</w:t>
      </w:r>
      <w:r w:rsidRPr="007B3107">
        <w:rPr>
          <w:rFonts w:hint="cs"/>
          <w:vertAlign w:val="baseline"/>
          <w:rtl/>
        </w:rPr>
        <w:t>تحقيق</w:t>
      </w:r>
      <w:r w:rsidRPr="007B3107">
        <w:rPr>
          <w:vertAlign w:val="baseline"/>
          <w:rtl/>
        </w:rPr>
        <w:t>: محمد حجي، و سعيد أعراب، و محمد بو خبزة</w:t>
      </w:r>
      <w:r>
        <w:rPr>
          <w:rFonts w:hint="cs"/>
          <w:vertAlign w:val="baseline"/>
          <w:rtl/>
        </w:rPr>
        <w:t>،</w:t>
      </w:r>
      <w:r w:rsidRPr="00DF02C9">
        <w:rPr>
          <w:vertAlign w:val="baseline"/>
          <w:rtl/>
        </w:rPr>
        <w:t xml:space="preserve"> ط1، دا</w:t>
      </w:r>
      <w:r>
        <w:rPr>
          <w:rFonts w:hint="cs"/>
          <w:vertAlign w:val="baseline"/>
          <w:rtl/>
        </w:rPr>
        <w:t>ر</w:t>
      </w:r>
      <w:r>
        <w:rPr>
          <w:vertAlign w:val="baseline"/>
          <w:rtl/>
        </w:rPr>
        <w:t xml:space="preserve"> الغرب الإسلامي، بيروت، 1994م، ج10، ص121.</w:t>
      </w:r>
    </w:p>
  </w:footnote>
  <w:footnote w:id="7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أنظر: ابن منظو</w:t>
      </w:r>
      <w:r w:rsidRPr="009F07CC">
        <w:rPr>
          <w:rFonts w:hint="cs"/>
          <w:vertAlign w:val="baseline"/>
          <w:rtl/>
        </w:rPr>
        <w:t>ر،</w:t>
      </w:r>
      <w:r w:rsidRPr="009F07CC">
        <w:rPr>
          <w:vertAlign w:val="baseline"/>
          <w:rtl/>
        </w:rPr>
        <w:t xml:space="preserve"> ل،صسان العرب، ج2، ص951.</w:t>
      </w:r>
    </w:p>
  </w:footnote>
  <w:footnote w:id="7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سورة مريم، الآية:12.</w:t>
      </w:r>
    </w:p>
  </w:footnote>
  <w:footnote w:id="7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w:t>
      </w:r>
      <w:r w:rsidRPr="009F07CC">
        <w:rPr>
          <w:rFonts w:hint="cs"/>
          <w:vertAlign w:val="baseline"/>
          <w:rtl/>
        </w:rPr>
        <w:t>ابن</w:t>
      </w:r>
      <w:r w:rsidRPr="009F07CC">
        <w:rPr>
          <w:vertAlign w:val="baseline"/>
          <w:rtl/>
        </w:rPr>
        <w:t xml:space="preserve"> منظور، ل،صسان العرب، ج2، ص951، 952.</w:t>
      </w:r>
    </w:p>
  </w:footnote>
  <w:footnote w:id="73">
    <w:p w:rsidR="005F44B2" w:rsidRDefault="005F44B2" w:rsidP="00071C02">
      <w:pPr>
        <w:pStyle w:val="a4"/>
      </w:pPr>
      <w:r>
        <w:rPr>
          <w:rtl/>
        </w:rPr>
        <w:t>(</w:t>
      </w:r>
      <w:r>
        <w:rPr>
          <w:rStyle w:val="FootnoteReference"/>
          <w:rFonts w:cs="Arabic Transparent"/>
        </w:rPr>
        <w:footnoteRef/>
      </w:r>
      <w:r>
        <w:rPr>
          <w:rtl/>
        </w:rPr>
        <w:t>)</w:t>
      </w:r>
      <w:r>
        <w:rPr>
          <w:vertAlign w:val="baseline"/>
          <w:rtl/>
        </w:rPr>
        <w:t xml:space="preserve"> يعني لايوجد جمع تكثيره إلّا أحكام.</w:t>
      </w:r>
    </w:p>
  </w:footnote>
  <w:footnote w:id="7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rFonts w:hint="cs"/>
          <w:vertAlign w:val="baseline"/>
          <w:rtl/>
        </w:rPr>
        <w:t>الزبيدي،</w:t>
      </w:r>
      <w:r w:rsidRPr="009F07CC">
        <w:rPr>
          <w:vertAlign w:val="baseline"/>
          <w:rtl/>
        </w:rPr>
        <w:t xml:space="preserve"> تاج العروس، ج31، ص526.</w:t>
      </w:r>
    </w:p>
  </w:footnote>
  <w:footnote w:id="75">
    <w:p w:rsidR="005F44B2" w:rsidRDefault="005F44B2" w:rsidP="006D59AD">
      <w:pPr>
        <w:pStyle w:val="a4"/>
        <w:spacing w:line="312" w:lineRule="auto"/>
      </w:pPr>
      <w:r>
        <w:rPr>
          <w:rtl/>
        </w:rPr>
        <w:t>(</w:t>
      </w:r>
      <w:r>
        <w:rPr>
          <w:rStyle w:val="FootnoteReference"/>
          <w:rFonts w:cs="Arabic Transparent"/>
        </w:rPr>
        <w:footnoteRef/>
      </w:r>
      <w:r>
        <w:rPr>
          <w:rtl/>
        </w:rPr>
        <w:t>)</w:t>
      </w:r>
      <w:r w:rsidRPr="00EF1C10">
        <w:rPr>
          <w:rFonts w:hint="cs"/>
          <w:vertAlign w:val="baseline"/>
          <w:rtl/>
        </w:rPr>
        <w:t>الشوكاني،</w:t>
      </w:r>
      <w:r w:rsidRPr="00EF1C10">
        <w:rPr>
          <w:vertAlign w:val="baseline"/>
          <w:rtl/>
        </w:rPr>
        <w:t xml:space="preserve"> محمد بن علي بن محمد بن عبد الله الشوكاني اليمني (1250هـ)، </w:t>
      </w:r>
      <w:r w:rsidRPr="00EF1C10">
        <w:rPr>
          <w:rFonts w:hint="cs"/>
          <w:b/>
          <w:bCs/>
          <w:vertAlign w:val="baseline"/>
          <w:rtl/>
        </w:rPr>
        <w:t>إرشاد</w:t>
      </w:r>
      <w:r w:rsidRPr="00EF1C10">
        <w:rPr>
          <w:b/>
          <w:bCs/>
          <w:vertAlign w:val="baseline"/>
          <w:rtl/>
        </w:rPr>
        <w:t xml:space="preserve"> الفحول إلي تحقيق الحق من علم الأصول</w:t>
      </w:r>
      <w:r w:rsidRPr="00EF1C10">
        <w:rPr>
          <w:rFonts w:hint="cs"/>
          <w:vertAlign w:val="baseline"/>
          <w:rtl/>
        </w:rPr>
        <w:t>،</w:t>
      </w:r>
      <w:r w:rsidRPr="00EF1C10">
        <w:rPr>
          <w:vertAlign w:val="baseline"/>
          <w:rtl/>
        </w:rPr>
        <w:t xml:space="preserve"> </w:t>
      </w:r>
      <w:r w:rsidRPr="0050109F">
        <w:rPr>
          <w:rFonts w:hint="cs"/>
          <w:vertAlign w:val="baseline"/>
          <w:rtl/>
        </w:rPr>
        <w:t>المحقق</w:t>
      </w:r>
      <w:r w:rsidRPr="0050109F">
        <w:rPr>
          <w:vertAlign w:val="baseline"/>
          <w:rtl/>
        </w:rPr>
        <w:t>: الشيخ أحمد عزو عناية، دمشق - كفر بطنا</w:t>
      </w:r>
      <w:r>
        <w:rPr>
          <w:rFonts w:hint="cs"/>
          <w:vertAlign w:val="baseline"/>
          <w:rtl/>
        </w:rPr>
        <w:t>،</w:t>
      </w:r>
      <w:r>
        <w:rPr>
          <w:vertAlign w:val="baseline"/>
          <w:rtl/>
        </w:rPr>
        <w:t xml:space="preserve"> </w:t>
      </w:r>
      <w:r w:rsidRPr="0050109F">
        <w:rPr>
          <w:rFonts w:hint="cs"/>
          <w:vertAlign w:val="baseline"/>
          <w:rtl/>
        </w:rPr>
        <w:t>قدم</w:t>
      </w:r>
      <w:r w:rsidRPr="0050109F">
        <w:rPr>
          <w:vertAlign w:val="baseline"/>
          <w:rtl/>
        </w:rPr>
        <w:t xml:space="preserve"> له: الشيخ خليل الميس والدكتور ولي الدين صالح فرفور</w:t>
      </w:r>
      <w:r>
        <w:rPr>
          <w:rFonts w:hint="cs"/>
          <w:vertAlign w:val="baseline"/>
          <w:rtl/>
        </w:rPr>
        <w:t>،</w:t>
      </w:r>
      <w:r>
        <w:rPr>
          <w:vertAlign w:val="baseline"/>
          <w:rtl/>
        </w:rPr>
        <w:t xml:space="preserve"> ط1،</w:t>
      </w:r>
      <w:r w:rsidRPr="00EF1C10">
        <w:rPr>
          <w:vertAlign w:val="baseline"/>
          <w:rtl/>
        </w:rPr>
        <w:t xml:space="preserve"> دار </w:t>
      </w:r>
      <w:r>
        <w:rPr>
          <w:rFonts w:hint="cs"/>
          <w:vertAlign w:val="baseline"/>
          <w:rtl/>
        </w:rPr>
        <w:t>الكتاب</w:t>
      </w:r>
      <w:r>
        <w:rPr>
          <w:vertAlign w:val="baseline"/>
          <w:rtl/>
        </w:rPr>
        <w:t xml:space="preserve"> العربي، </w:t>
      </w:r>
      <w:r w:rsidRPr="0050109F">
        <w:rPr>
          <w:vertAlign w:val="baseline"/>
          <w:rtl/>
        </w:rPr>
        <w:t xml:space="preserve">1419هـ </w:t>
      </w:r>
      <w:r>
        <w:rPr>
          <w:vertAlign w:val="baseline"/>
          <w:rtl/>
        </w:rPr>
        <w:t>/</w:t>
      </w:r>
      <w:r w:rsidRPr="0050109F">
        <w:rPr>
          <w:vertAlign w:val="baseline"/>
          <w:rtl/>
        </w:rPr>
        <w:t xml:space="preserve"> 1999م</w:t>
      </w:r>
      <w:r w:rsidRPr="00EF1C10">
        <w:rPr>
          <w:rFonts w:hint="cs"/>
          <w:vertAlign w:val="baseline"/>
          <w:rtl/>
        </w:rPr>
        <w:t>،</w:t>
      </w:r>
      <w:r w:rsidRPr="00EF1C10">
        <w:rPr>
          <w:vertAlign w:val="baseline"/>
          <w:rtl/>
        </w:rPr>
        <w:t xml:space="preserve"> ج</w:t>
      </w:r>
      <w:r>
        <w:rPr>
          <w:vertAlign w:val="baseline"/>
          <w:rtl/>
        </w:rPr>
        <w:t>1</w:t>
      </w:r>
      <w:r w:rsidRPr="00EF1C10">
        <w:rPr>
          <w:rFonts w:hint="cs"/>
          <w:vertAlign w:val="baseline"/>
          <w:rtl/>
        </w:rPr>
        <w:t>،</w:t>
      </w:r>
      <w:r w:rsidRPr="00EF1C10">
        <w:rPr>
          <w:vertAlign w:val="baseline"/>
          <w:rtl/>
        </w:rPr>
        <w:t xml:space="preserve"> ص</w:t>
      </w:r>
      <w:r>
        <w:rPr>
          <w:vertAlign w:val="baseline"/>
          <w:rtl/>
        </w:rPr>
        <w:t>25</w:t>
      </w:r>
      <w:r w:rsidRPr="00EF1C10">
        <w:rPr>
          <w:vertAlign w:val="baseline"/>
          <w:rtl/>
        </w:rPr>
        <w:t>.</w:t>
      </w:r>
    </w:p>
  </w:footnote>
  <w:footnote w:id="76">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السبكي، </w:t>
      </w:r>
      <w:r w:rsidRPr="00F86F8D">
        <w:rPr>
          <w:rFonts w:hint="cs"/>
          <w:vertAlign w:val="baseline"/>
          <w:rtl/>
        </w:rPr>
        <w:t>تاج</w:t>
      </w:r>
      <w:r w:rsidRPr="00F86F8D">
        <w:rPr>
          <w:vertAlign w:val="baseline"/>
          <w:rtl/>
        </w:rPr>
        <w:t xml:space="preserve"> الدين عبد الوهاب بن تقي الدين السبكي (</w:t>
      </w:r>
      <w:r>
        <w:rPr>
          <w:rFonts w:hint="cs"/>
          <w:vertAlign w:val="baseline"/>
          <w:rtl/>
        </w:rPr>
        <w:t>ت</w:t>
      </w:r>
      <w:r w:rsidRPr="00F86F8D">
        <w:rPr>
          <w:vertAlign w:val="baseline"/>
          <w:rtl/>
        </w:rPr>
        <w:t>: 771هـ)</w:t>
      </w:r>
      <w:r>
        <w:rPr>
          <w:rFonts w:hint="cs"/>
          <w:vertAlign w:val="baseline"/>
          <w:rtl/>
        </w:rPr>
        <w:t>،</w:t>
      </w:r>
      <w:r>
        <w:rPr>
          <w:vertAlign w:val="baseline"/>
          <w:rtl/>
        </w:rPr>
        <w:t xml:space="preserve"> </w:t>
      </w:r>
      <w:r w:rsidRPr="00F86F8D">
        <w:rPr>
          <w:rFonts w:hint="cs"/>
          <w:b/>
          <w:bCs/>
          <w:vertAlign w:val="baseline"/>
          <w:rtl/>
        </w:rPr>
        <w:t>رفع</w:t>
      </w:r>
      <w:r w:rsidRPr="00F86F8D">
        <w:rPr>
          <w:b/>
          <w:bCs/>
          <w:vertAlign w:val="baseline"/>
          <w:rtl/>
        </w:rPr>
        <w:t xml:space="preserve"> الحاجب عن مختصر ابن الحاجب</w:t>
      </w:r>
      <w:r>
        <w:rPr>
          <w:rFonts w:hint="cs"/>
          <w:vertAlign w:val="baseline"/>
          <w:rtl/>
        </w:rPr>
        <w:t>،</w:t>
      </w:r>
      <w:r>
        <w:rPr>
          <w:vertAlign w:val="baseline"/>
          <w:rtl/>
        </w:rPr>
        <w:t xml:space="preserve"> </w:t>
      </w:r>
      <w:r w:rsidRPr="00F86F8D">
        <w:rPr>
          <w:rFonts w:hint="cs"/>
          <w:vertAlign w:val="baseline"/>
          <w:rtl/>
        </w:rPr>
        <w:t>المحقق</w:t>
      </w:r>
      <w:r w:rsidRPr="00F86F8D">
        <w:rPr>
          <w:vertAlign w:val="baseline"/>
          <w:rtl/>
        </w:rPr>
        <w:t>: علي محمد معوض، عادل أحمد عبد الموجود</w:t>
      </w:r>
      <w:r>
        <w:rPr>
          <w:rFonts w:hint="cs"/>
          <w:vertAlign w:val="baseline"/>
          <w:rtl/>
        </w:rPr>
        <w:t>،</w:t>
      </w:r>
      <w:r>
        <w:rPr>
          <w:vertAlign w:val="baseline"/>
          <w:rtl/>
        </w:rPr>
        <w:t xml:space="preserve"> ط1، عال</w:t>
      </w:r>
      <w:r>
        <w:rPr>
          <w:rFonts w:hint="cs"/>
          <w:vertAlign w:val="baseline"/>
          <w:rtl/>
        </w:rPr>
        <w:t>م</w:t>
      </w:r>
      <w:r>
        <w:rPr>
          <w:vertAlign w:val="baseline"/>
          <w:rtl/>
        </w:rPr>
        <w:t xml:space="preserve"> الكتب،بيروت ،</w:t>
      </w:r>
      <w:r w:rsidRPr="00F86F8D">
        <w:rPr>
          <w:vertAlign w:val="baseline"/>
          <w:rtl/>
        </w:rPr>
        <w:t xml:space="preserve"> 1419هـ</w:t>
      </w:r>
      <w:r>
        <w:rPr>
          <w:vertAlign w:val="baseline"/>
          <w:rtl/>
        </w:rPr>
        <w:t xml:space="preserve"> / </w:t>
      </w:r>
      <w:r w:rsidRPr="00F86F8D">
        <w:rPr>
          <w:vertAlign w:val="baseline"/>
          <w:rtl/>
        </w:rPr>
        <w:t>1999م</w:t>
      </w:r>
      <w:r>
        <w:rPr>
          <w:rFonts w:hint="cs"/>
          <w:vertAlign w:val="baseline"/>
          <w:rtl/>
        </w:rPr>
        <w:t>،</w:t>
      </w:r>
      <w:r>
        <w:rPr>
          <w:vertAlign w:val="baseline"/>
          <w:rtl/>
        </w:rPr>
        <w:t xml:space="preserve"> ج1، ص482.</w:t>
      </w:r>
    </w:p>
  </w:footnote>
  <w:footnote w:id="77">
    <w:p w:rsidR="005F44B2" w:rsidRDefault="005F44B2" w:rsidP="000A2882">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ابن عابدين</w:t>
      </w:r>
      <w:r w:rsidRPr="000A2882">
        <w:rPr>
          <w:rFonts w:hint="cs"/>
          <w:vertAlign w:val="baseline"/>
          <w:rtl/>
        </w:rPr>
        <w:t>،</w:t>
      </w:r>
      <w:r w:rsidRPr="000A2882">
        <w:rPr>
          <w:vertAlign w:val="baseline"/>
          <w:rtl/>
        </w:rPr>
        <w:t xml:space="preserve"> رد المحتار، ج6،</w:t>
      </w:r>
      <w:r w:rsidRPr="009F07CC">
        <w:rPr>
          <w:vertAlign w:val="baseline"/>
          <w:rtl/>
        </w:rPr>
        <w:t xml:space="preserve"> ص20.</w:t>
      </w:r>
    </w:p>
  </w:footnote>
  <w:footnote w:id="7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ابن عابدين، رد المحتار، ج6، ص20.</w:t>
      </w:r>
    </w:p>
  </w:footnote>
  <w:footnote w:id="7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ابن عابدين، رد المحتار، ج6، ص20 .</w:t>
      </w:r>
    </w:p>
  </w:footnote>
  <w:footnote w:id="8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ابن عابدين، رد المحتار، ج6، ص20.</w:t>
      </w:r>
    </w:p>
  </w:footnote>
  <w:footnote w:id="8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rFonts w:hint="cs"/>
          <w:vertAlign w:val="baseline"/>
          <w:rtl/>
        </w:rPr>
        <w:t>ابن</w:t>
      </w:r>
      <w:r w:rsidRPr="009F07CC">
        <w:rPr>
          <w:vertAlign w:val="baseline"/>
          <w:rtl/>
        </w:rPr>
        <w:t xml:space="preserve"> عابدين، رد المحتار، ج6، ص20.</w:t>
      </w:r>
    </w:p>
  </w:footnote>
  <w:footnote w:id="8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9F07CC">
        <w:rPr>
          <w:vertAlign w:val="baseline"/>
          <w:rtl/>
        </w:rPr>
        <w:t xml:space="preserve"> هو المولى كمال الدين المعروف بدده خليفة الحنفي أو داده جنقي أفندي الأماسي (ت 973)، كان أميا حتى بلغ عمره على العشرين، وتوفي سنة ثلاث وسبعين وتسعمائة، كان رحمه الله عالما فاضلا مجتهدا في اقتناء العلوم وجمع المعارف آية في الحفظ والاحاطة له اليد الطولى في الفقه والتفسير وكتب رحمه الله تعالى حاشية على شرح التفتازاني في الصرف وبسط الكلام وبالغ في جمع الفوائد والمهمات وله منظومة في علم الفقه وعدة رسائل من فنون عديدة رحمه الله، أ</w:t>
      </w:r>
      <w:r w:rsidRPr="009F07CC">
        <w:rPr>
          <w:rFonts w:hint="cs"/>
          <w:vertAlign w:val="baseline"/>
          <w:rtl/>
        </w:rPr>
        <w:t>نظر</w:t>
      </w:r>
      <w:r w:rsidRPr="009F07CC">
        <w:rPr>
          <w:vertAlign w:val="baseline"/>
          <w:rtl/>
        </w:rPr>
        <w:t xml:space="preserve">: أحمد بن مصطفى بن خليل، أبو الخير، عصام الدين طاشْكُبْري زَادَهْ (المتوفى: 968هـ)، </w:t>
      </w:r>
      <w:r w:rsidRPr="009F07CC">
        <w:rPr>
          <w:rFonts w:hint="cs"/>
          <w:b/>
          <w:bCs/>
          <w:vertAlign w:val="baseline"/>
          <w:rtl/>
        </w:rPr>
        <w:t>الشقائق</w:t>
      </w:r>
      <w:r w:rsidRPr="009F07CC">
        <w:rPr>
          <w:b/>
          <w:bCs/>
          <w:vertAlign w:val="baseline"/>
          <w:rtl/>
        </w:rPr>
        <w:t xml:space="preserve"> النعمانية في علماء الدولة العثمانية</w:t>
      </w:r>
      <w:r w:rsidRPr="009F07CC">
        <w:rPr>
          <w:rFonts w:hint="cs"/>
          <w:vertAlign w:val="baseline"/>
          <w:rtl/>
        </w:rPr>
        <w:t>،</w:t>
      </w:r>
      <w:r w:rsidRPr="009F07CC">
        <w:rPr>
          <w:vertAlign w:val="baseline"/>
          <w:rtl/>
        </w:rPr>
        <w:t xml:space="preserve"> بيروت، دار الكتاب العربي، ص374، 375.</w:t>
      </w:r>
    </w:p>
  </w:footnote>
  <w:footnote w:id="8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913C7">
        <w:rPr>
          <w:vertAlign w:val="baseline"/>
          <w:rtl/>
        </w:rPr>
        <w:t xml:space="preserve">  دده أفندي، إبراهيم بن يحيى خليفة (ت 973 هـ)، </w:t>
      </w:r>
      <w:r w:rsidRPr="007913C7">
        <w:rPr>
          <w:rFonts w:hint="cs"/>
          <w:b/>
          <w:bCs/>
          <w:vertAlign w:val="baseline"/>
          <w:rtl/>
        </w:rPr>
        <w:t>السياسة</w:t>
      </w:r>
      <w:r w:rsidRPr="007913C7">
        <w:rPr>
          <w:b/>
          <w:bCs/>
          <w:vertAlign w:val="baseline"/>
          <w:rtl/>
        </w:rPr>
        <w:t xml:space="preserve"> الشرعية،</w:t>
      </w:r>
      <w:r w:rsidRPr="007913C7">
        <w:rPr>
          <w:vertAlign w:val="baseline"/>
          <w:rtl/>
        </w:rPr>
        <w:t xml:space="preserve"> بدون طبعة، تحقيق وتعليق المستشار الدكتور فؤاد عبد المنعم، الاسكندرية، الناشر مؤسسة شباب الجامعة، ص73، 74</w:t>
      </w:r>
    </w:p>
  </w:footnote>
  <w:footnote w:id="8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913C7">
        <w:rPr>
          <w:vertAlign w:val="baseline"/>
          <w:rtl/>
        </w:rPr>
        <w:t xml:space="preserve"> ابن عابدين، رد المحتار، ج6، ص20</w:t>
      </w:r>
    </w:p>
  </w:footnote>
  <w:footnote w:id="8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913C7">
        <w:rPr>
          <w:vertAlign w:val="baseline"/>
          <w:rtl/>
        </w:rPr>
        <w:t xml:space="preserve"> الكيلاني، عبدالله إبراهيم زيد، </w:t>
      </w:r>
      <w:r w:rsidRPr="007913C7">
        <w:rPr>
          <w:rFonts w:hint="cs"/>
          <w:b/>
          <w:bCs/>
          <w:vertAlign w:val="baseline"/>
          <w:rtl/>
        </w:rPr>
        <w:t>السياسة</w:t>
      </w:r>
      <w:r w:rsidRPr="007913C7">
        <w:rPr>
          <w:b/>
          <w:bCs/>
          <w:vertAlign w:val="baseline"/>
          <w:rtl/>
        </w:rPr>
        <w:t xml:space="preserve"> الشرعية مدخل إلى تجديد الخطاب الإ</w:t>
      </w:r>
      <w:r w:rsidRPr="007913C7">
        <w:rPr>
          <w:rFonts w:hint="cs"/>
          <w:b/>
          <w:bCs/>
          <w:vertAlign w:val="baseline"/>
          <w:rtl/>
        </w:rPr>
        <w:t>سلامي</w:t>
      </w:r>
      <w:r w:rsidRPr="007913C7">
        <w:rPr>
          <w:rFonts w:hint="cs"/>
          <w:vertAlign w:val="baseline"/>
          <w:rtl/>
        </w:rPr>
        <w:t>،</w:t>
      </w:r>
      <w:r w:rsidRPr="007913C7">
        <w:rPr>
          <w:vertAlign w:val="baseline"/>
          <w:rtl/>
        </w:rPr>
        <w:t xml:space="preserve"> عمان، دار الفرقان، 2009م، ص18.</w:t>
      </w:r>
    </w:p>
  </w:footnote>
  <w:footnote w:id="8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913C7">
        <w:rPr>
          <w:vertAlign w:val="baseline"/>
          <w:rtl/>
        </w:rPr>
        <w:t xml:space="preserve"> ابن عابدين، رد المحتار، ج6، ص20</w:t>
      </w:r>
    </w:p>
  </w:footnote>
  <w:footnote w:id="8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913C7">
        <w:rPr>
          <w:vertAlign w:val="baseline"/>
          <w:rtl/>
        </w:rPr>
        <w:t xml:space="preserve"> أنظر: الطرابلسي، علاء الدين أبو الحسن علي بن خليل الطرابلسي الحنفي (ت844هـ)، </w:t>
      </w:r>
      <w:r w:rsidRPr="007913C7">
        <w:rPr>
          <w:rFonts w:hint="cs"/>
          <w:b/>
          <w:bCs/>
          <w:vertAlign w:val="baseline"/>
          <w:rtl/>
        </w:rPr>
        <w:t>معين</w:t>
      </w:r>
      <w:r w:rsidRPr="007913C7">
        <w:rPr>
          <w:b/>
          <w:bCs/>
          <w:vertAlign w:val="baseline"/>
          <w:rtl/>
        </w:rPr>
        <w:t xml:space="preserve"> الحكام فيما يتردد بين الخصمين من الأحكام</w:t>
      </w:r>
      <w:r w:rsidRPr="007913C7">
        <w:rPr>
          <w:rFonts w:hint="cs"/>
          <w:vertAlign w:val="baseline"/>
          <w:rtl/>
        </w:rPr>
        <w:t>،</w:t>
      </w:r>
      <w:r w:rsidRPr="007913C7">
        <w:rPr>
          <w:vertAlign w:val="baseline"/>
          <w:rtl/>
        </w:rPr>
        <w:t xml:space="preserve"> بدون طبعة وبدون تاريخ، دار ال</w:t>
      </w:r>
      <w:r w:rsidRPr="007913C7">
        <w:rPr>
          <w:rFonts w:hint="cs"/>
          <w:vertAlign w:val="baseline"/>
          <w:rtl/>
        </w:rPr>
        <w:t>فكر،</w:t>
      </w:r>
      <w:r w:rsidRPr="007913C7">
        <w:rPr>
          <w:vertAlign w:val="baseline"/>
          <w:rtl/>
        </w:rPr>
        <w:t xml:space="preserve"> ص169.</w:t>
      </w:r>
    </w:p>
  </w:footnote>
  <w:footnote w:id="8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ابن</w:t>
      </w:r>
      <w:r w:rsidRPr="00877655">
        <w:rPr>
          <w:vertAlign w:val="baseline"/>
          <w:rtl/>
        </w:rPr>
        <w:t xml:space="preserve"> عابدين، رد المحتار، ج6، ص20.</w:t>
      </w:r>
    </w:p>
  </w:footnote>
  <w:footnote w:id="8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vertAlign w:val="baseline"/>
          <w:rtl/>
        </w:rPr>
        <w:t xml:space="preserve"> أنظر: ابن عابدين، رد المحتار، ج6، ص103.</w:t>
      </w:r>
    </w:p>
  </w:footnote>
  <w:footnote w:id="90">
    <w:p w:rsidR="005F44B2" w:rsidRDefault="005F44B2" w:rsidP="00C829A7">
      <w:pPr>
        <w:pStyle w:val="a4"/>
      </w:pPr>
      <w:r>
        <w:rPr>
          <w:rtl/>
        </w:rPr>
        <w:t>(</w:t>
      </w:r>
      <w:r>
        <w:rPr>
          <w:rStyle w:val="FootnoteReference"/>
          <w:rFonts w:cs="Arabic Transparent"/>
        </w:rPr>
        <w:footnoteRef/>
      </w:r>
      <w:r>
        <w:rPr>
          <w:rtl/>
        </w:rPr>
        <w:t>)</w:t>
      </w:r>
      <w:r>
        <w:rPr>
          <w:vertAlign w:val="baseline"/>
          <w:rtl/>
        </w:rPr>
        <w:t xml:space="preserve"> وهو: </w:t>
      </w:r>
      <w:r w:rsidRPr="00C829A7">
        <w:rPr>
          <w:rFonts w:hint="cs"/>
          <w:vertAlign w:val="baseline"/>
          <w:rtl/>
        </w:rPr>
        <w:t>استصلاح</w:t>
      </w:r>
      <w:r w:rsidRPr="00C829A7">
        <w:rPr>
          <w:vertAlign w:val="baseline"/>
          <w:rtl/>
        </w:rPr>
        <w:t xml:space="preserve"> الخلق بإرشادهم </w:t>
      </w:r>
      <w:r w:rsidRPr="00C829A7">
        <w:rPr>
          <w:rFonts w:hint="cs"/>
          <w:vertAlign w:val="baseline"/>
          <w:rtl/>
        </w:rPr>
        <w:t>إلى</w:t>
      </w:r>
      <w:r w:rsidRPr="00C829A7">
        <w:rPr>
          <w:vertAlign w:val="baseline"/>
          <w:rtl/>
        </w:rPr>
        <w:t xml:space="preserve"> الطريق المنجي في الدنيا والآخرة</w:t>
      </w:r>
      <w:r>
        <w:rPr>
          <w:vertAlign w:val="baseline"/>
          <w:rtl/>
        </w:rPr>
        <w:t>.</w:t>
      </w:r>
    </w:p>
  </w:footnote>
  <w:footnote w:id="91">
    <w:p w:rsidR="005F44B2" w:rsidRDefault="005F44B2" w:rsidP="00C829A7">
      <w:pPr>
        <w:pStyle w:val="a4"/>
      </w:pPr>
      <w:r>
        <w:rPr>
          <w:rtl/>
        </w:rPr>
        <w:t>(</w:t>
      </w:r>
      <w:r>
        <w:rPr>
          <w:rStyle w:val="FootnoteReference"/>
          <w:rFonts w:cs="Arabic Transparent"/>
        </w:rPr>
        <w:footnoteRef/>
      </w:r>
      <w:r>
        <w:rPr>
          <w:rtl/>
        </w:rPr>
        <w:t>)</w:t>
      </w:r>
      <w:r>
        <w:rPr>
          <w:vertAlign w:val="baseline"/>
          <w:rtl/>
        </w:rPr>
        <w:t xml:space="preserve"> وهما: </w:t>
      </w:r>
      <w:r w:rsidRPr="00C829A7">
        <w:rPr>
          <w:rFonts w:hint="cs"/>
          <w:vertAlign w:val="baseline"/>
          <w:rtl/>
        </w:rPr>
        <w:t>تغليظ</w:t>
      </w:r>
      <w:r w:rsidRPr="00C829A7">
        <w:rPr>
          <w:vertAlign w:val="baseline"/>
          <w:rtl/>
        </w:rPr>
        <w:t xml:space="preserve"> جناية لها حكم شرعي حسمًا لمادة الفساد</w:t>
      </w:r>
      <w:r>
        <w:rPr>
          <w:rFonts w:hint="cs"/>
          <w:vertAlign w:val="baseline"/>
          <w:rtl/>
        </w:rPr>
        <w:t>،</w:t>
      </w:r>
      <w:r>
        <w:rPr>
          <w:vertAlign w:val="baseline"/>
          <w:rtl/>
        </w:rPr>
        <w:t xml:space="preserve"> و</w:t>
      </w:r>
      <w:r w:rsidRPr="00C829A7">
        <w:rPr>
          <w:rFonts w:hint="cs"/>
          <w:vertAlign w:val="baseline"/>
          <w:rtl/>
        </w:rPr>
        <w:t>السياسة</w:t>
      </w:r>
      <w:r w:rsidRPr="00C829A7">
        <w:rPr>
          <w:vertAlign w:val="baseline"/>
          <w:rtl/>
        </w:rPr>
        <w:t xml:space="preserve"> شرع مغلظ</w:t>
      </w:r>
      <w:r>
        <w:rPr>
          <w:vertAlign w:val="baseline"/>
          <w:rtl/>
        </w:rPr>
        <w:t>.</w:t>
      </w:r>
    </w:p>
  </w:footnote>
  <w:footnote w:id="9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vertAlign w:val="baseline"/>
          <w:rtl/>
        </w:rPr>
        <w:t xml:space="preserve"> ابن عابدين، رد المحتار، ج6، ص20.</w:t>
      </w:r>
    </w:p>
  </w:footnote>
  <w:footnote w:id="9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ابن</w:t>
      </w:r>
      <w:r w:rsidRPr="00877655">
        <w:rPr>
          <w:vertAlign w:val="baseline"/>
          <w:rtl/>
        </w:rPr>
        <w:t xml:space="preserve"> عابدين، رد المحتار، ج6، ص20.</w:t>
      </w:r>
    </w:p>
  </w:footnote>
  <w:footnote w:id="9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زين</w:t>
      </w:r>
      <w:r w:rsidRPr="00877655">
        <w:rPr>
          <w:vertAlign w:val="baseline"/>
          <w:rtl/>
        </w:rPr>
        <w:t xml:space="preserve"> الدين بن إبراهيم بن محمد، الشهير بابن نجيم: فقيه حنفي، </w:t>
      </w:r>
      <w:r w:rsidRPr="00877655">
        <w:rPr>
          <w:rFonts w:hint="cs"/>
          <w:vertAlign w:val="baseline"/>
          <w:rtl/>
        </w:rPr>
        <w:t>من</w:t>
      </w:r>
      <w:r w:rsidRPr="00877655">
        <w:rPr>
          <w:vertAlign w:val="baseline"/>
          <w:rtl/>
        </w:rPr>
        <w:t xml:space="preserve"> العلماء. مصري متوفى ف</w:t>
      </w:r>
      <w:r w:rsidRPr="00877655">
        <w:rPr>
          <w:rFonts w:hint="cs"/>
          <w:vertAlign w:val="baseline"/>
          <w:rtl/>
        </w:rPr>
        <w:t>ي</w:t>
      </w:r>
      <w:r w:rsidRPr="00877655">
        <w:rPr>
          <w:vertAlign w:val="baseline"/>
          <w:rtl/>
        </w:rPr>
        <w:t xml:space="preserve"> عام 970هـ الموافق لـ 1563م، من مؤلفاته: الأشباه والنظائر والبحر الرائق في شرح كنز الدقائق والرسائل الزينية. أنظر: الزركلي، الأعلام، ج3، ص64.</w:t>
      </w:r>
    </w:p>
  </w:footnote>
  <w:footnote w:id="9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ابن</w:t>
      </w:r>
      <w:r w:rsidRPr="00877655">
        <w:rPr>
          <w:vertAlign w:val="baseline"/>
          <w:rtl/>
        </w:rPr>
        <w:t xml:space="preserve"> نجيم</w:t>
      </w:r>
      <w:r>
        <w:rPr>
          <w:rFonts w:hint="cs"/>
          <w:vertAlign w:val="baseline"/>
          <w:rtl/>
        </w:rPr>
        <w:t>،</w:t>
      </w:r>
      <w:r>
        <w:rPr>
          <w:vertAlign w:val="baseline"/>
          <w:rtl/>
        </w:rPr>
        <w:t xml:space="preserve"> </w:t>
      </w:r>
      <w:r w:rsidRPr="00877655">
        <w:rPr>
          <w:rFonts w:hint="cs"/>
          <w:vertAlign w:val="baseline"/>
          <w:rtl/>
        </w:rPr>
        <w:t>زين</w:t>
      </w:r>
      <w:r w:rsidRPr="00877655">
        <w:rPr>
          <w:vertAlign w:val="baseline"/>
          <w:rtl/>
        </w:rPr>
        <w:t xml:space="preserve"> الدين بن إبراهيم بن محمد، الشهير بابن نجيم (ت 970هـ)، </w:t>
      </w:r>
      <w:r w:rsidRPr="00877655">
        <w:rPr>
          <w:rFonts w:hint="cs"/>
          <w:b/>
          <w:bCs/>
          <w:vertAlign w:val="baseline"/>
          <w:rtl/>
        </w:rPr>
        <w:t>البحر</w:t>
      </w:r>
      <w:r w:rsidRPr="00877655">
        <w:rPr>
          <w:b/>
          <w:bCs/>
          <w:vertAlign w:val="baseline"/>
          <w:rtl/>
        </w:rPr>
        <w:t xml:space="preserve"> الرائق شرح كنز الدقائق</w:t>
      </w:r>
      <w:r w:rsidRPr="00877655">
        <w:rPr>
          <w:rFonts w:hint="cs"/>
          <w:vertAlign w:val="baseline"/>
          <w:rtl/>
        </w:rPr>
        <w:t>،</w:t>
      </w:r>
      <w:r w:rsidRPr="00877655">
        <w:rPr>
          <w:vertAlign w:val="baseline"/>
          <w:rtl/>
        </w:rPr>
        <w:t xml:space="preserve"> ط1، تحقيق الشيخ زكريّا عميرات، بيروت، دار الكتب العلمية، 1997م، ج5، ص18.</w:t>
      </w:r>
    </w:p>
  </w:footnote>
  <w:footnote w:id="9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vertAlign w:val="baseline"/>
          <w:rtl/>
        </w:rPr>
        <w:t xml:space="preserve"> المرجع السابق، ج5، ص118.</w:t>
      </w:r>
    </w:p>
  </w:footnote>
  <w:footnote w:id="9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المرجع</w:t>
      </w:r>
      <w:r w:rsidRPr="00877655">
        <w:rPr>
          <w:vertAlign w:val="baseline"/>
          <w:rtl/>
        </w:rPr>
        <w:t xml:space="preserve"> السابق، ج5، ص118.</w:t>
      </w:r>
    </w:p>
  </w:footnote>
  <w:footnote w:id="9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vertAlign w:val="baseline"/>
          <w:rtl/>
        </w:rPr>
        <w:t xml:space="preserve"> الرفاعي، جميلة عبد القادر شعبان، </w:t>
      </w:r>
      <w:r w:rsidRPr="00877655">
        <w:rPr>
          <w:b/>
          <w:bCs/>
          <w:vertAlign w:val="baseline"/>
          <w:rtl/>
        </w:rPr>
        <w:t xml:space="preserve"> السياسة الشرعية عند الإمام ابن قيّم الجوزية</w:t>
      </w:r>
      <w:r w:rsidRPr="00877655">
        <w:rPr>
          <w:rFonts w:hint="cs"/>
          <w:vertAlign w:val="baseline"/>
          <w:rtl/>
        </w:rPr>
        <w:t>،</w:t>
      </w:r>
      <w:r w:rsidRPr="00877655">
        <w:rPr>
          <w:vertAlign w:val="baseline"/>
          <w:rtl/>
        </w:rPr>
        <w:t xml:space="preserve"> ط1، عمان، دار الفرقان، 2004م، ص48.</w:t>
      </w:r>
    </w:p>
  </w:footnote>
  <w:footnote w:id="9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علي</w:t>
      </w:r>
      <w:r w:rsidRPr="00877655">
        <w:rPr>
          <w:vertAlign w:val="baseline"/>
          <w:rtl/>
        </w:rPr>
        <w:t xml:space="preserve"> بن خليل الطرابلسي، أبو الحسن، علاء الدين متوفى 844هـ : فقيه حنفي. كان قاضيا بالقدس. له " معين الحكام فيما يتر</w:t>
      </w:r>
      <w:r w:rsidRPr="00877655">
        <w:rPr>
          <w:rFonts w:hint="cs"/>
          <w:vertAlign w:val="baseline"/>
          <w:rtl/>
        </w:rPr>
        <w:t>دد</w:t>
      </w:r>
      <w:r w:rsidRPr="00877655">
        <w:rPr>
          <w:vertAlign w:val="baseline"/>
          <w:rtl/>
        </w:rPr>
        <w:t xml:space="preserve"> بين الخصمين من الأحكام في فقه الحنفية. أنظر: الزركلي، الأعلام، ج4، ص286</w:t>
      </w:r>
    </w:p>
  </w:footnote>
  <w:footnote w:id="10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77655">
        <w:rPr>
          <w:rFonts w:hint="cs"/>
          <w:vertAlign w:val="baseline"/>
          <w:rtl/>
        </w:rPr>
        <w:t>الطرابلسي</w:t>
      </w:r>
      <w:r w:rsidRPr="00DA7E22">
        <w:rPr>
          <w:rFonts w:hint="cs"/>
          <w:vertAlign w:val="baseline"/>
          <w:rtl/>
        </w:rPr>
        <w:t>،</w:t>
      </w:r>
      <w:r w:rsidRPr="00DA7E22">
        <w:rPr>
          <w:vertAlign w:val="baseline"/>
          <w:rtl/>
        </w:rPr>
        <w:t xml:space="preserve"> مع</w:t>
      </w:r>
      <w:r w:rsidRPr="00DA7E22">
        <w:rPr>
          <w:rFonts w:hint="cs"/>
          <w:vertAlign w:val="baseline"/>
          <w:rtl/>
        </w:rPr>
        <w:t>ين</w:t>
      </w:r>
      <w:r w:rsidRPr="00DA7E22">
        <w:rPr>
          <w:vertAlign w:val="baseline"/>
          <w:rtl/>
        </w:rPr>
        <w:t xml:space="preserve"> الحكام فيما يتردد بين الخصمين من الأحكام</w:t>
      </w:r>
      <w:r w:rsidRPr="00877655">
        <w:rPr>
          <w:rFonts w:hint="cs"/>
          <w:vertAlign w:val="baseline"/>
          <w:rtl/>
        </w:rPr>
        <w:t>،</w:t>
      </w:r>
      <w:r w:rsidRPr="00877655">
        <w:rPr>
          <w:vertAlign w:val="baseline"/>
          <w:rtl/>
        </w:rPr>
        <w:t xml:space="preserve"> ص169. </w:t>
      </w:r>
    </w:p>
  </w:footnote>
  <w:footnote w:id="10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838E4">
        <w:rPr>
          <w:vertAlign w:val="baseline"/>
          <w:rtl/>
        </w:rPr>
        <w:t xml:space="preserve"> دده أفندي، إبراهيم بن يحيى خليفة (ت 973 هـ)، </w:t>
      </w:r>
      <w:r w:rsidRPr="00D41F11">
        <w:rPr>
          <w:rFonts w:hint="cs"/>
          <w:vertAlign w:val="baseline"/>
          <w:rtl/>
        </w:rPr>
        <w:t>السياسة</w:t>
      </w:r>
      <w:r w:rsidRPr="00D41F11">
        <w:rPr>
          <w:vertAlign w:val="baseline"/>
          <w:rtl/>
        </w:rPr>
        <w:t xml:space="preserve"> الشرعية</w:t>
      </w:r>
      <w:r w:rsidRPr="007838E4">
        <w:rPr>
          <w:rFonts w:hint="cs"/>
          <w:b/>
          <w:bCs/>
          <w:vertAlign w:val="baseline"/>
          <w:rtl/>
        </w:rPr>
        <w:t>،</w:t>
      </w:r>
      <w:r w:rsidRPr="007838E4">
        <w:rPr>
          <w:vertAlign w:val="baseline"/>
          <w:rtl/>
        </w:rPr>
        <w:t xml:space="preserve"> ص73، 74</w:t>
      </w:r>
      <w:r>
        <w:rPr>
          <w:vertAlign w:val="baseline"/>
          <w:rtl/>
        </w:rPr>
        <w:t>.</w:t>
      </w:r>
    </w:p>
  </w:footnote>
  <w:footnote w:id="10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838E4">
        <w:rPr>
          <w:vertAlign w:val="baseline"/>
          <w:rtl/>
        </w:rPr>
        <w:t xml:space="preserve"> هذه الرسالة، ص</w:t>
      </w:r>
      <w:r>
        <w:rPr>
          <w:vertAlign w:val="baseline"/>
          <w:rtl/>
        </w:rPr>
        <w:t>29</w:t>
      </w:r>
      <w:r w:rsidRPr="007838E4">
        <w:rPr>
          <w:vertAlign w:val="baseline"/>
          <w:rtl/>
        </w:rPr>
        <w:t>.</w:t>
      </w:r>
    </w:p>
  </w:footnote>
  <w:footnote w:id="10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7838E4">
        <w:rPr>
          <w:vertAlign w:val="baseline"/>
          <w:rtl/>
        </w:rPr>
        <w:t xml:space="preserve"> هو محمد بن عبد الباقي بن يوسف بن أحمد بن علوان الزرقان</w:t>
      </w:r>
      <w:r w:rsidRPr="007838E4">
        <w:rPr>
          <w:rFonts w:hint="cs"/>
          <w:vertAlign w:val="baseline"/>
          <w:rtl/>
        </w:rPr>
        <w:t>ي</w:t>
      </w:r>
      <w:r w:rsidRPr="007838E4">
        <w:rPr>
          <w:vertAlign w:val="baseline"/>
          <w:rtl/>
        </w:rPr>
        <w:t xml:space="preserve"> المصري الأزهري المالكي، خاتمة المحدثين بالديار المصرية. مولده (1055هـ = 1645م) ووفاته</w:t>
      </w:r>
      <w:r>
        <w:rPr>
          <w:vertAlign w:val="baseline"/>
          <w:rtl/>
        </w:rPr>
        <w:t>(</w:t>
      </w:r>
      <w:r w:rsidRPr="007838E4">
        <w:rPr>
          <w:vertAlign w:val="baseline"/>
          <w:rtl/>
        </w:rPr>
        <w:t>1122هـ = 1710م) بالقاهرة، ونسبته إلى زرقان، من كتبه: تلخيص المقاصد الحسنة ، وشرح البيقونية، وشرح المواهب اللدنية وشرح موطأ الإمام مالك.أنظر: الزركلي، الأعلام، ج6، ص184، 185.</w:t>
      </w:r>
    </w:p>
  </w:footnote>
  <w:footnote w:id="10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B2726">
        <w:rPr>
          <w:rFonts w:hint="cs"/>
          <w:vertAlign w:val="baseline"/>
          <w:rtl/>
        </w:rPr>
        <w:t>ابن</w:t>
      </w:r>
      <w:r w:rsidRPr="00BB2726">
        <w:rPr>
          <w:vertAlign w:val="baseline"/>
          <w:rtl/>
        </w:rPr>
        <w:t xml:space="preserve"> ماجة، أبو عبد الله محمد بن يزيد القزويني(ت: 273هـ)، </w:t>
      </w:r>
      <w:r w:rsidRPr="00BB2726">
        <w:rPr>
          <w:rFonts w:hint="cs"/>
          <w:b/>
          <w:bCs/>
          <w:vertAlign w:val="baseline"/>
          <w:rtl/>
        </w:rPr>
        <w:t>سنن</w:t>
      </w:r>
      <w:r w:rsidRPr="00BB2726">
        <w:rPr>
          <w:b/>
          <w:bCs/>
          <w:vertAlign w:val="baseline"/>
          <w:rtl/>
        </w:rPr>
        <w:t xml:space="preserve"> ابن ماجة</w:t>
      </w:r>
      <w:r>
        <w:rPr>
          <w:rFonts w:hint="cs"/>
          <w:vertAlign w:val="baseline"/>
          <w:rtl/>
        </w:rPr>
        <w:t>،</w:t>
      </w:r>
      <w:r>
        <w:rPr>
          <w:vertAlign w:val="baseline"/>
          <w:rtl/>
        </w:rPr>
        <w:t xml:space="preserve"> </w:t>
      </w:r>
      <w:r>
        <w:rPr>
          <w:rFonts w:hint="cs"/>
          <w:vertAlign w:val="baseline"/>
          <w:rtl/>
        </w:rPr>
        <w:t>حقّقه</w:t>
      </w:r>
      <w:r>
        <w:rPr>
          <w:vertAlign w:val="baseline"/>
          <w:rtl/>
        </w:rPr>
        <w:t xml:space="preserve"> وخرّج أحادثه وعل</w:t>
      </w:r>
      <w:r w:rsidRPr="00BB2726">
        <w:rPr>
          <w:rFonts w:hint="cs"/>
          <w:vertAlign w:val="baseline"/>
          <w:rtl/>
        </w:rPr>
        <w:t>ّق</w:t>
      </w:r>
      <w:r w:rsidRPr="00BB2726">
        <w:rPr>
          <w:vertAlign w:val="baseline"/>
          <w:rtl/>
        </w:rPr>
        <w:t xml:space="preserve"> عليه الدكتور بشّار عوّاد معروف، ط1، بيروت، دار الجيل، 1998م، باب: المستشار مؤتمن، رقم الحديث: 3745؛ البخاري، محمد بن إسماعيل بن إبراهيم بن المغيرة البخاري (ت: 256هـ)، </w:t>
      </w:r>
      <w:r w:rsidRPr="00BB2726">
        <w:rPr>
          <w:rFonts w:hint="cs"/>
          <w:b/>
          <w:bCs/>
          <w:vertAlign w:val="baseline"/>
          <w:rtl/>
        </w:rPr>
        <w:t>صحيح</w:t>
      </w:r>
      <w:r w:rsidRPr="00BB2726">
        <w:rPr>
          <w:b/>
          <w:bCs/>
          <w:vertAlign w:val="baseline"/>
          <w:rtl/>
        </w:rPr>
        <w:t xml:space="preserve"> الأدب المفرد للإمام البخاري</w:t>
      </w:r>
      <w:r w:rsidRPr="00BB2726">
        <w:rPr>
          <w:rFonts w:hint="cs"/>
          <w:vertAlign w:val="baseline"/>
          <w:rtl/>
        </w:rPr>
        <w:t>،</w:t>
      </w:r>
      <w:r w:rsidRPr="00BB2726">
        <w:rPr>
          <w:vertAlign w:val="baseline"/>
          <w:rtl/>
        </w:rPr>
        <w:t xml:space="preserve"> حقق أحاديثه وعلق عليه: محمد ناص</w:t>
      </w:r>
      <w:r w:rsidRPr="00BB2726">
        <w:rPr>
          <w:rFonts w:hint="cs"/>
          <w:vertAlign w:val="baseline"/>
          <w:rtl/>
        </w:rPr>
        <w:t>ر</w:t>
      </w:r>
      <w:r w:rsidRPr="00BB2726">
        <w:rPr>
          <w:vertAlign w:val="baseline"/>
          <w:rtl/>
        </w:rPr>
        <w:t xml:space="preserve"> الدين الألباني، ط4، دار الصديق، 1997 م، بَابُ الْمُسْتَشَارُ مؤتمن، رقم الحديث 114.</w:t>
      </w:r>
    </w:p>
  </w:footnote>
  <w:footnote w:id="10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B2726">
        <w:rPr>
          <w:vertAlign w:val="baseline"/>
          <w:rtl/>
        </w:rPr>
        <w:t xml:space="preserve"> الزرقاني، أبو عبد الله محمد بن عبد الباقي بن يوسف بن أحمد بن شهاب ا</w:t>
      </w:r>
      <w:r w:rsidRPr="00BB2726">
        <w:rPr>
          <w:rFonts w:hint="cs"/>
          <w:vertAlign w:val="baseline"/>
          <w:rtl/>
        </w:rPr>
        <w:t>لدين</w:t>
      </w:r>
      <w:r w:rsidRPr="00BB2726">
        <w:rPr>
          <w:vertAlign w:val="baseline"/>
          <w:rtl/>
        </w:rPr>
        <w:t xml:space="preserve"> بن محمد الزرقاني ال</w:t>
      </w:r>
      <w:r w:rsidRPr="00BB2726">
        <w:rPr>
          <w:rFonts w:hint="cs"/>
          <w:vertAlign w:val="baseline"/>
          <w:rtl/>
        </w:rPr>
        <w:t>مالكي</w:t>
      </w:r>
      <w:r w:rsidRPr="00BB2726">
        <w:rPr>
          <w:vertAlign w:val="baseline"/>
          <w:rtl/>
        </w:rPr>
        <w:t xml:space="preserve"> (ت: 1122هـ)، </w:t>
      </w:r>
      <w:r w:rsidRPr="00BB2726">
        <w:rPr>
          <w:rFonts w:hint="cs"/>
          <w:b/>
          <w:bCs/>
          <w:vertAlign w:val="baseline"/>
          <w:rtl/>
        </w:rPr>
        <w:t>شرح</w:t>
      </w:r>
      <w:r w:rsidRPr="00BB2726">
        <w:rPr>
          <w:b/>
          <w:bCs/>
          <w:vertAlign w:val="baseline"/>
          <w:rtl/>
        </w:rPr>
        <w:t xml:space="preserve"> الزرقاني على المواهب اللدنية بالمنح المحمدية</w:t>
      </w:r>
      <w:r w:rsidRPr="00BB2726">
        <w:rPr>
          <w:rFonts w:hint="cs"/>
          <w:vertAlign w:val="baseline"/>
          <w:rtl/>
        </w:rPr>
        <w:t>،</w:t>
      </w:r>
      <w:r w:rsidRPr="00BB2726">
        <w:rPr>
          <w:vertAlign w:val="baseline"/>
          <w:rtl/>
        </w:rPr>
        <w:t xml:space="preserve"> ضبطه وصححه محمد عبد العزيز الخالدي، ط1، بيروت، دار الكتب العلمية،1996م، ج5، ص343. </w:t>
      </w:r>
    </w:p>
  </w:footnote>
  <w:footnote w:id="10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B2726">
        <w:rPr>
          <w:rFonts w:hint="cs"/>
          <w:vertAlign w:val="baseline"/>
          <w:rtl/>
        </w:rPr>
        <w:t>ابن</w:t>
      </w:r>
      <w:r w:rsidRPr="00BB2726">
        <w:rPr>
          <w:vertAlign w:val="baseline"/>
          <w:rtl/>
        </w:rPr>
        <w:t xml:space="preserve"> فرحون(ت 799 هـ = 1397 م)، هو إبراهيم بن علي بن محمد، ابن فرحون، برهان الدين اليعمري: ولد ونشأ ومات في المدينة. وهو مغربي الأصل، نسبته إلى يعمر بن مالك، من عدنان. وهو من شيوخ المالكية، له الديباج المذهب، و تبصرة الحكام في أصول الأقضية ومناهج الأحكام، و درة الغواص في محاضرة الخواص. .أنظر: الزركلي، الأعلام، ج1، ص52.</w:t>
      </w:r>
    </w:p>
  </w:footnote>
  <w:footnote w:id="10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7838E4">
        <w:rPr>
          <w:rFonts w:hint="cs"/>
          <w:vertAlign w:val="baseline"/>
          <w:rtl/>
        </w:rPr>
        <w:t>ابن</w:t>
      </w:r>
      <w:r w:rsidRPr="007838E4">
        <w:rPr>
          <w:vertAlign w:val="baseline"/>
          <w:rtl/>
        </w:rPr>
        <w:t xml:space="preserve"> فر</w:t>
      </w:r>
      <w:r w:rsidRPr="007838E4">
        <w:rPr>
          <w:rFonts w:hint="cs"/>
          <w:vertAlign w:val="baseline"/>
          <w:rtl/>
        </w:rPr>
        <w:t>حون</w:t>
      </w:r>
      <w:r>
        <w:rPr>
          <w:rFonts w:hint="cs"/>
          <w:vertAlign w:val="baseline"/>
          <w:rtl/>
        </w:rPr>
        <w:t>،</w:t>
      </w:r>
      <w:r w:rsidRPr="007838E4">
        <w:rPr>
          <w:vertAlign w:val="baseline"/>
          <w:rtl/>
        </w:rPr>
        <w:t xml:space="preserve"> إبراهيم بن علي بن محمد(ت 799 هـ)،</w:t>
      </w:r>
      <w:r w:rsidRPr="007838E4">
        <w:rPr>
          <w:rFonts w:hint="cs"/>
          <w:b/>
          <w:bCs/>
          <w:vertAlign w:val="baseline"/>
          <w:rtl/>
        </w:rPr>
        <w:t>تبصرة</w:t>
      </w:r>
      <w:r w:rsidRPr="007838E4">
        <w:rPr>
          <w:b/>
          <w:bCs/>
          <w:vertAlign w:val="baseline"/>
          <w:rtl/>
        </w:rPr>
        <w:t xml:space="preserve"> الحكام في أصول الأقضية ومناهج الأحكام</w:t>
      </w:r>
      <w:r w:rsidRPr="007838E4">
        <w:rPr>
          <w:rFonts w:hint="cs"/>
          <w:vertAlign w:val="baseline"/>
          <w:rtl/>
        </w:rPr>
        <w:t>،</w:t>
      </w:r>
      <w:r w:rsidRPr="007838E4">
        <w:rPr>
          <w:vertAlign w:val="baseline"/>
          <w:rtl/>
        </w:rPr>
        <w:t xml:space="preserve"> خرّج أحاديثه وعلّق عليه وكتب حواشيه الشيخ جمال عثلي، طبعة خاصة، الرياض، دار عالم الكتب، 2003م، ج2، ص 115.</w:t>
      </w:r>
    </w:p>
  </w:footnote>
  <w:footnote w:id="10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B2726">
        <w:rPr>
          <w:vertAlign w:val="baseline"/>
          <w:rtl/>
        </w:rPr>
        <w:t xml:space="preserve"> أنظر: د. جميلة الرفاعي، السياسة الشرعية عند الإمام ابن قيّم الج</w:t>
      </w:r>
      <w:r w:rsidRPr="00BB2726">
        <w:rPr>
          <w:rFonts w:hint="cs"/>
          <w:vertAlign w:val="baseline"/>
          <w:rtl/>
        </w:rPr>
        <w:t>وزية،</w:t>
      </w:r>
      <w:r w:rsidRPr="00BB2726">
        <w:rPr>
          <w:vertAlign w:val="baseline"/>
          <w:rtl/>
        </w:rPr>
        <w:t xml:space="preserve"> ص55؛ الخامسة قناني</w:t>
      </w:r>
      <w:r w:rsidRPr="00BB2726">
        <w:rPr>
          <w:rFonts w:hint="cs"/>
          <w:vertAlign w:val="baseline"/>
          <w:rtl/>
        </w:rPr>
        <w:t>،</w:t>
      </w:r>
      <w:r w:rsidRPr="00BB2726">
        <w:rPr>
          <w:vertAlign w:val="baseline"/>
          <w:rtl/>
        </w:rPr>
        <w:t xml:space="preserve"> </w:t>
      </w:r>
      <w:r w:rsidRPr="00BB2726">
        <w:rPr>
          <w:rFonts w:hint="cs"/>
          <w:b/>
          <w:bCs/>
          <w:vertAlign w:val="baseline"/>
          <w:rtl/>
        </w:rPr>
        <w:t>الإمام</w:t>
      </w:r>
      <w:r w:rsidRPr="00BB2726">
        <w:rPr>
          <w:b/>
          <w:bCs/>
          <w:vertAlign w:val="baseline"/>
          <w:rtl/>
        </w:rPr>
        <w:t xml:space="preserve"> ابن فرحون ورؤيته في القضاء بالسياسة الشرعية من خلال كتابه تبصرة الحكام</w:t>
      </w:r>
      <w:r w:rsidRPr="00BB2726">
        <w:rPr>
          <w:rFonts w:hint="cs"/>
          <w:vertAlign w:val="baseline"/>
          <w:rtl/>
        </w:rPr>
        <w:t>،مذكرة</w:t>
      </w:r>
      <w:r w:rsidRPr="00BB2726">
        <w:rPr>
          <w:vertAlign w:val="baseline"/>
          <w:rtl/>
        </w:rPr>
        <w:t xml:space="preserve"> لنيل درجة الماجستير في السياسة الشرعية، جامعة الحاج لحضر باتنة، 2010م، ص 72.</w:t>
      </w:r>
    </w:p>
  </w:footnote>
  <w:footnote w:id="10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BB2726">
        <w:rPr>
          <w:rFonts w:hint="cs"/>
          <w:vertAlign w:val="baseline"/>
          <w:rtl/>
        </w:rPr>
        <w:t>ابن</w:t>
      </w:r>
      <w:r w:rsidRPr="00BB2726">
        <w:rPr>
          <w:vertAlign w:val="baseline"/>
          <w:rtl/>
        </w:rPr>
        <w:t xml:space="preserve"> فرحون، تبصرة الحكام، ج2، ص116.</w:t>
      </w:r>
    </w:p>
  </w:footnote>
  <w:footnote w:id="11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ابن فرحون، تبصرة الحكام، ج2، ص121.</w:t>
      </w:r>
    </w:p>
  </w:footnote>
  <w:footnote w:id="11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الرفاعي،</w:t>
      </w:r>
      <w:r w:rsidRPr="00896F71">
        <w:rPr>
          <w:vertAlign w:val="baseline"/>
          <w:rtl/>
        </w:rPr>
        <w:t xml:space="preserve"> السياسة الشرعية عند الإمام ابن قيّم الجوزية، ص52 .</w:t>
      </w:r>
    </w:p>
  </w:footnote>
  <w:footnote w:id="11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الغزالي،</w:t>
      </w:r>
      <w:r w:rsidRPr="00896F71">
        <w:rPr>
          <w:vertAlign w:val="baseline"/>
          <w:rtl/>
        </w:rPr>
        <w:t xml:space="preserve"> هو محمد بن محمد بن محمد الغزالي الطوسي، ولد في عام 450 هـ وتوفي في عام 505 هـ بالطابران، وهو فيلسوف، متصوف. ألّف عدة كتب من كتبه: إحياءعلوم الدين، مقاصد الفلاسفة، البس</w:t>
      </w:r>
      <w:r w:rsidRPr="00896F71">
        <w:rPr>
          <w:rFonts w:hint="cs"/>
          <w:vertAlign w:val="baseline"/>
          <w:rtl/>
        </w:rPr>
        <w:t>يط،</w:t>
      </w:r>
      <w:r w:rsidRPr="00896F71">
        <w:rPr>
          <w:vertAlign w:val="baseline"/>
          <w:rtl/>
        </w:rPr>
        <w:t xml:space="preserve"> بداية الهداية، جواهر القرآن، المستصفى. أنظر: الزركلي، الأعلام، ج7، ص22</w:t>
      </w:r>
    </w:p>
  </w:footnote>
  <w:footnote w:id="11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الغزالي،محمد</w:t>
      </w:r>
      <w:r w:rsidRPr="00896F71">
        <w:rPr>
          <w:vertAlign w:val="baseline"/>
          <w:rtl/>
        </w:rPr>
        <w:t xml:space="preserve"> بن محمد بن محمد الغزالي الطوسي</w:t>
      </w:r>
      <w:r>
        <w:rPr>
          <w:vertAlign w:val="baseline"/>
          <w:rtl/>
        </w:rPr>
        <w:t xml:space="preserve"> ( ت 505 هـ)</w:t>
      </w:r>
      <w:r w:rsidRPr="00896F71">
        <w:rPr>
          <w:rFonts w:hint="cs"/>
          <w:vertAlign w:val="baseline"/>
          <w:rtl/>
        </w:rPr>
        <w:t>،</w:t>
      </w:r>
      <w:r w:rsidRPr="00896F71">
        <w:rPr>
          <w:rFonts w:hint="cs"/>
          <w:b/>
          <w:bCs/>
          <w:vertAlign w:val="baseline"/>
          <w:rtl/>
        </w:rPr>
        <w:t>إحياء</w:t>
      </w:r>
      <w:r w:rsidRPr="00896F71">
        <w:rPr>
          <w:b/>
          <w:bCs/>
          <w:vertAlign w:val="baseline"/>
          <w:rtl/>
        </w:rPr>
        <w:t xml:space="preserve"> علوم الدين</w:t>
      </w:r>
      <w:r w:rsidRPr="00896F71">
        <w:rPr>
          <w:rFonts w:hint="cs"/>
          <w:vertAlign w:val="baseline"/>
          <w:rtl/>
        </w:rPr>
        <w:t>،</w:t>
      </w:r>
      <w:r w:rsidRPr="00896F71">
        <w:rPr>
          <w:vertAlign w:val="baseline"/>
          <w:rtl/>
        </w:rPr>
        <w:t xml:space="preserve"> بيروت، دار المعرفة، ج،1 ص13.</w:t>
      </w:r>
    </w:p>
  </w:footnote>
  <w:footnote w:id="11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المرجع السابق.</w:t>
      </w:r>
    </w:p>
  </w:footnote>
  <w:footnote w:id="11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الرفاعي</w:t>
      </w:r>
      <w:r w:rsidRPr="00896F71">
        <w:rPr>
          <w:rFonts w:hint="cs"/>
          <w:vertAlign w:val="baseline"/>
          <w:rtl/>
        </w:rPr>
        <w:t>،</w:t>
      </w:r>
      <w:r w:rsidRPr="00896F71">
        <w:rPr>
          <w:vertAlign w:val="baseline"/>
          <w:rtl/>
        </w:rPr>
        <w:t xml:space="preserve"> السياسة الشرعية عند ال</w:t>
      </w:r>
      <w:r w:rsidRPr="00896F71">
        <w:rPr>
          <w:rFonts w:hint="cs"/>
          <w:vertAlign w:val="baseline"/>
          <w:rtl/>
        </w:rPr>
        <w:t>إمام</w:t>
      </w:r>
      <w:r w:rsidRPr="00896F71">
        <w:rPr>
          <w:vertAlign w:val="baseline"/>
          <w:rtl/>
        </w:rPr>
        <w:t xml:space="preserve"> ابن قيّم الجوزية، ص52.</w:t>
      </w:r>
    </w:p>
  </w:footnote>
  <w:footnote w:id="11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سليمان</w:t>
      </w:r>
      <w:r w:rsidRPr="00896F71">
        <w:rPr>
          <w:vertAlign w:val="baseline"/>
          <w:rtl/>
        </w:rPr>
        <w:t xml:space="preserve"> بن عمر بن منصور العجيلي الأزهري، المعروف بالجمل، متوفى 1204 هـ، من مؤلفاته: الفتوحات الإلهية (حاشية على تفسير الجلالين)، وفتوحات الوهاب (حاشية على شرح المنهج). . أنظر: الزركلي، الأعلام، ج3، ص131.</w:t>
      </w:r>
    </w:p>
  </w:footnote>
  <w:footnote w:id="11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الجمل،</w:t>
      </w:r>
      <w:r w:rsidRPr="006B6360">
        <w:rPr>
          <w:rFonts w:hint="cs"/>
          <w:vertAlign w:val="baseline"/>
          <w:rtl/>
        </w:rPr>
        <w:t>سليمان</w:t>
      </w:r>
      <w:r w:rsidRPr="006B6360">
        <w:rPr>
          <w:vertAlign w:val="baseline"/>
          <w:rtl/>
        </w:rPr>
        <w:t xml:space="preserve"> بن عمر بن منصور العجيلي الأزهري، المعروف </w:t>
      </w:r>
      <w:r w:rsidRPr="006B6360">
        <w:rPr>
          <w:rFonts w:hint="cs"/>
          <w:vertAlign w:val="baseline"/>
          <w:rtl/>
        </w:rPr>
        <w:t>بالجمل</w:t>
      </w:r>
      <w:r w:rsidRPr="006B6360">
        <w:rPr>
          <w:vertAlign w:val="baseline"/>
          <w:rtl/>
        </w:rPr>
        <w:t xml:space="preserve"> (</w:t>
      </w:r>
      <w:r>
        <w:rPr>
          <w:rFonts w:hint="cs"/>
          <w:vertAlign w:val="baseline"/>
          <w:rtl/>
        </w:rPr>
        <w:t>ت</w:t>
      </w:r>
      <w:r w:rsidRPr="006B6360">
        <w:rPr>
          <w:vertAlign w:val="baseline"/>
          <w:rtl/>
        </w:rPr>
        <w:t xml:space="preserve"> 1204هـ)</w:t>
      </w:r>
      <w:r>
        <w:rPr>
          <w:rFonts w:hint="cs"/>
          <w:vertAlign w:val="baseline"/>
          <w:rtl/>
        </w:rPr>
        <w:t>،</w:t>
      </w:r>
      <w:r w:rsidRPr="006B6360">
        <w:rPr>
          <w:rFonts w:hint="cs"/>
          <w:b/>
          <w:bCs/>
          <w:vertAlign w:val="baseline"/>
          <w:rtl/>
        </w:rPr>
        <w:t>فتوحات</w:t>
      </w:r>
      <w:r w:rsidRPr="006B6360">
        <w:rPr>
          <w:b/>
          <w:bCs/>
          <w:vertAlign w:val="baseline"/>
          <w:rtl/>
        </w:rPr>
        <w:t xml:space="preserve"> الوهاب بتوضيح شرح منهج الطلاب المعروف بحاشية الجمل</w:t>
      </w:r>
      <w:r w:rsidRPr="00896F71">
        <w:rPr>
          <w:rFonts w:hint="cs"/>
          <w:vertAlign w:val="baseline"/>
          <w:rtl/>
        </w:rPr>
        <w:t>،بدون</w:t>
      </w:r>
      <w:r w:rsidRPr="00896F71">
        <w:rPr>
          <w:vertAlign w:val="baseline"/>
          <w:rtl/>
        </w:rPr>
        <w:t xml:space="preserve"> طبعة، دار الفكر، ج3، ص26.</w:t>
      </w:r>
    </w:p>
  </w:footnote>
  <w:footnote w:id="11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أحمد</w:t>
      </w:r>
      <w:r w:rsidRPr="00896F71">
        <w:rPr>
          <w:vertAlign w:val="baseline"/>
          <w:rtl/>
        </w:rPr>
        <w:t xml:space="preserve"> بن أحمد بن سلامة، أبو العباس، شهاب الدين ال</w:t>
      </w:r>
      <w:r w:rsidRPr="00896F71">
        <w:rPr>
          <w:rFonts w:hint="cs"/>
          <w:vertAlign w:val="baseline"/>
          <w:rtl/>
        </w:rPr>
        <w:t>قليوبي</w:t>
      </w:r>
      <w:r w:rsidRPr="00896F71">
        <w:rPr>
          <w:vertAlign w:val="baseline"/>
          <w:rtl/>
        </w:rPr>
        <w:t xml:space="preserve"> متوفى 1069 هـ ، ف</w:t>
      </w:r>
      <w:r w:rsidRPr="00896F71">
        <w:rPr>
          <w:rFonts w:hint="cs"/>
          <w:vertAlign w:val="baseline"/>
          <w:rtl/>
        </w:rPr>
        <w:t>قيه</w:t>
      </w:r>
      <w:r w:rsidRPr="00896F71">
        <w:rPr>
          <w:vertAlign w:val="baseline"/>
          <w:rtl/>
        </w:rPr>
        <w:t xml:space="preserve"> متأدب، من أهل قليوب في مصر، له حواش وشروح ورسائل. أنظر: الزركلي، الأعلام، ج1، ص92.</w:t>
      </w:r>
    </w:p>
  </w:footnote>
  <w:footnote w:id="11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القليوبي</w:t>
      </w:r>
      <w:r>
        <w:rPr>
          <w:rFonts w:hint="cs"/>
          <w:vertAlign w:val="baseline"/>
          <w:rtl/>
        </w:rPr>
        <w:t>،</w:t>
      </w:r>
      <w:r>
        <w:rPr>
          <w:vertAlign w:val="baseline"/>
          <w:rtl/>
        </w:rPr>
        <w:t xml:space="preserve"> </w:t>
      </w:r>
      <w:r w:rsidRPr="00896F71">
        <w:rPr>
          <w:rFonts w:hint="cs"/>
          <w:vertAlign w:val="baseline"/>
          <w:rtl/>
        </w:rPr>
        <w:t>أحمد</w:t>
      </w:r>
      <w:r w:rsidRPr="00896F71">
        <w:rPr>
          <w:vertAlign w:val="baseline"/>
          <w:rtl/>
        </w:rPr>
        <w:t xml:space="preserve"> سلامة القليوبي (ت 1069هـ) وعميرة</w:t>
      </w:r>
      <w:r>
        <w:rPr>
          <w:rFonts w:hint="cs"/>
          <w:vertAlign w:val="baseline"/>
          <w:rtl/>
        </w:rPr>
        <w:t>،</w:t>
      </w:r>
      <w:r w:rsidRPr="00896F71">
        <w:rPr>
          <w:rFonts w:hint="cs"/>
          <w:vertAlign w:val="baseline"/>
          <w:rtl/>
        </w:rPr>
        <w:t>أحمد</w:t>
      </w:r>
      <w:r w:rsidRPr="00896F71">
        <w:rPr>
          <w:vertAlign w:val="baseline"/>
          <w:rtl/>
        </w:rPr>
        <w:t xml:space="preserve"> البرلسي عميرة (ت 957هـ)، </w:t>
      </w:r>
      <w:r w:rsidRPr="00896F71">
        <w:rPr>
          <w:rFonts w:hint="cs"/>
          <w:b/>
          <w:bCs/>
          <w:vertAlign w:val="baseline"/>
          <w:rtl/>
        </w:rPr>
        <w:t>حاشيتا</w:t>
      </w:r>
      <w:r w:rsidRPr="00896F71">
        <w:rPr>
          <w:b/>
          <w:bCs/>
          <w:vertAlign w:val="baseline"/>
          <w:rtl/>
        </w:rPr>
        <w:t xml:space="preserve"> قليوبي وعميرة</w:t>
      </w:r>
      <w:r w:rsidRPr="00896F71">
        <w:rPr>
          <w:rFonts w:hint="cs"/>
          <w:vertAlign w:val="baseline"/>
          <w:rtl/>
        </w:rPr>
        <w:t>،</w:t>
      </w:r>
      <w:r w:rsidRPr="00896F71">
        <w:rPr>
          <w:vertAlign w:val="baseline"/>
          <w:rtl/>
        </w:rPr>
        <w:t xml:space="preserve"> بيروت، دار الفكر، 1995م، ج2 ص198.</w:t>
      </w:r>
    </w:p>
  </w:footnote>
  <w:footnote w:id="12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البجيرمي هو </w:t>
      </w:r>
      <w:r w:rsidRPr="00896F71">
        <w:rPr>
          <w:rFonts w:hint="cs"/>
          <w:vertAlign w:val="baseline"/>
          <w:rtl/>
        </w:rPr>
        <w:t>سليمان</w:t>
      </w:r>
      <w:r w:rsidRPr="00896F71">
        <w:rPr>
          <w:vertAlign w:val="baseline"/>
          <w:rtl/>
        </w:rPr>
        <w:t xml:space="preserve"> بن محمد بن عمر البجيرمي، فقيه مصري، ولد في بجيرم (1131 هـ </w:t>
      </w:r>
      <w:r w:rsidRPr="00896F71">
        <w:rPr>
          <w:vertAlign w:val="baseline"/>
          <w:rtl/>
        </w:rPr>
        <w:softHyphen/>
        <w:t xml:space="preserve">- 1719 م)، فتعلم في الأزهر، ودرس،، له التجريد، وهو حاشية على شرح المنهج في فقه الشافعية، وتحفة الحبيب، حاشية على شرح الخطيب،وتوفي في قرية مصطية، بالقرب من بجيرم (1221 هـ - 1806 م). أنظر: الزركلي، الأعلام، ج3، ص133.  </w:t>
      </w:r>
    </w:p>
  </w:footnote>
  <w:footnote w:id="12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البجيرمي،</w:t>
      </w:r>
      <w:r w:rsidRPr="00896F71">
        <w:rPr>
          <w:vertAlign w:val="baseline"/>
          <w:rtl/>
        </w:rPr>
        <w:t xml:space="preserve"> سليمان بن محمد بن عمر البجيرمي (ت 1221 هـ)، </w:t>
      </w:r>
      <w:r w:rsidRPr="00FC4330">
        <w:rPr>
          <w:rFonts w:hint="cs"/>
          <w:b/>
          <w:bCs/>
          <w:vertAlign w:val="baseline"/>
          <w:rtl/>
        </w:rPr>
        <w:t>التجريد</w:t>
      </w:r>
      <w:r w:rsidRPr="00FC4330">
        <w:rPr>
          <w:b/>
          <w:bCs/>
          <w:vertAlign w:val="baseline"/>
          <w:rtl/>
        </w:rPr>
        <w:t xml:space="preserve"> لنفع العبيد = حاشية البجيرمي على شرح المنهج</w:t>
      </w:r>
      <w:r w:rsidRPr="00896F71">
        <w:rPr>
          <w:vertAlign w:val="baseline"/>
          <w:rtl/>
        </w:rPr>
        <w:t xml:space="preserve"> (منهج الطلاب اختصره زكريا الأنصاري من منهاج الطالبين للنووي ثم شرحه في شرح منهج الط</w:t>
      </w:r>
      <w:r w:rsidRPr="00896F71">
        <w:rPr>
          <w:rFonts w:hint="cs"/>
          <w:vertAlign w:val="baseline"/>
          <w:rtl/>
        </w:rPr>
        <w:t>لاب</w:t>
      </w:r>
      <w:r w:rsidRPr="00896F71">
        <w:rPr>
          <w:vertAlign w:val="baseline"/>
          <w:rtl/>
        </w:rPr>
        <w:t>)، مطبعة الحلبي، 1950 م، ج2، ص178.</w:t>
      </w:r>
    </w:p>
  </w:footnote>
  <w:footnote w:id="12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عبد</w:t>
      </w:r>
      <w:r w:rsidRPr="00896F71">
        <w:rPr>
          <w:vertAlign w:val="baseline"/>
          <w:rtl/>
        </w:rPr>
        <w:t xml:space="preserve"> الفتاح عمرو، </w:t>
      </w:r>
      <w:r w:rsidRPr="00896F71">
        <w:rPr>
          <w:rFonts w:hint="cs"/>
          <w:b/>
          <w:bCs/>
          <w:vertAlign w:val="baseline"/>
          <w:rtl/>
        </w:rPr>
        <w:t>السياسة</w:t>
      </w:r>
      <w:r w:rsidRPr="00896F71">
        <w:rPr>
          <w:b/>
          <w:bCs/>
          <w:vertAlign w:val="baseline"/>
          <w:rtl/>
        </w:rPr>
        <w:t xml:space="preserve"> الشرعية في الأحوال الشخصية</w:t>
      </w:r>
      <w:r w:rsidRPr="00896F71">
        <w:rPr>
          <w:rFonts w:hint="cs"/>
          <w:vertAlign w:val="baseline"/>
          <w:rtl/>
        </w:rPr>
        <w:t>،</w:t>
      </w:r>
      <w:r w:rsidRPr="00896F71">
        <w:rPr>
          <w:vertAlign w:val="baseline"/>
          <w:rtl/>
        </w:rPr>
        <w:t xml:space="preserve"> ط1، عمان، دار النفائس، 1998 م، ص 20.</w:t>
      </w:r>
    </w:p>
  </w:footnote>
  <w:footnote w:id="12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الشربيني، شمس الدين، محمد بن أحمد الخطيب الشربيني (ت 977 هـ)</w:t>
      </w:r>
      <w:r w:rsidRPr="00896F71">
        <w:rPr>
          <w:rFonts w:hint="cs"/>
          <w:vertAlign w:val="baseline"/>
          <w:rtl/>
        </w:rPr>
        <w:t>،</w:t>
      </w:r>
      <w:r w:rsidRPr="00896F71">
        <w:rPr>
          <w:vertAlign w:val="baseline"/>
          <w:rtl/>
        </w:rPr>
        <w:t xml:space="preserve"> </w:t>
      </w:r>
      <w:r w:rsidRPr="00896F71">
        <w:rPr>
          <w:rFonts w:hint="cs"/>
          <w:b/>
          <w:bCs/>
          <w:vertAlign w:val="baseline"/>
          <w:rtl/>
        </w:rPr>
        <w:t>مغني</w:t>
      </w:r>
      <w:r w:rsidRPr="00896F71">
        <w:rPr>
          <w:b/>
          <w:bCs/>
          <w:vertAlign w:val="baseline"/>
          <w:rtl/>
        </w:rPr>
        <w:t xml:space="preserve"> المحتاج إلى معرفة معاني ألفاظ المنهاجعلى متن منهاج الطالبين للنووي</w:t>
      </w:r>
      <w:r w:rsidRPr="00896F71">
        <w:rPr>
          <w:rFonts w:hint="cs"/>
          <w:vertAlign w:val="baseline"/>
          <w:rtl/>
        </w:rPr>
        <w:t>،</w:t>
      </w:r>
      <w:r w:rsidRPr="00896F71">
        <w:rPr>
          <w:vertAlign w:val="baseline"/>
          <w:rtl/>
        </w:rPr>
        <w:t xml:space="preserve"> اعتنى به محمد خليل عيتاني، ط1، دار المعرفة، بيروت، 1997م، ج4، ص239.  </w:t>
      </w:r>
    </w:p>
  </w:footnote>
  <w:footnote w:id="12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عبد</w:t>
      </w:r>
      <w:r w:rsidRPr="00896F71">
        <w:rPr>
          <w:vertAlign w:val="baseline"/>
          <w:rtl/>
        </w:rPr>
        <w:t xml:space="preserve"> الفتاح عمرو، السياسة الشرعية في الأحوال الشخصية، ص20.</w:t>
      </w:r>
    </w:p>
  </w:footnote>
  <w:footnote w:id="12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إمام</w:t>
      </w:r>
      <w:r w:rsidRPr="00896F71">
        <w:rPr>
          <w:vertAlign w:val="baseline"/>
          <w:rtl/>
        </w:rPr>
        <w:t xml:space="preserve"> الحرمين(419 - 478 هـ = 1028 - 1085 م)عبد الملك بن عبد الله بن يوسف بن محمد الجويني، أبو المعالي، ركن الدين، الملقب بإمام الحرمين. أعلم المتأخرين، من أصحاب الشافعي. ولد في جوين (من نواحي نيسابور). له مصنفات كثيرة، منها " غياث الأمم والتياث الظلم " و " العقيدة النظامية في الأركان الإسلامية " و " البرهان " في أصول الفقه، و " نهايةالمطلب في دراية المذهب " في فقه الشافعية، و غير ذلك. أنظر: الزركلي، الأعلام، ج4، ص160.</w:t>
      </w:r>
    </w:p>
  </w:footnote>
  <w:footnote w:id="12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الجويني،عبد الملك بن عبد الله بن يوسف بن محمد الجويني، أبو المعالي، ركن الدين، الملقب بإمام الحرمين</w:t>
      </w:r>
      <w:r>
        <w:rPr>
          <w:vertAlign w:val="baseline"/>
          <w:rtl/>
        </w:rPr>
        <w:t xml:space="preserve"> (ت </w:t>
      </w:r>
      <w:r w:rsidRPr="00896F71">
        <w:rPr>
          <w:vertAlign w:val="baseline"/>
          <w:rtl/>
        </w:rPr>
        <w:t>478 ه</w:t>
      </w:r>
      <w:r>
        <w:rPr>
          <w:rFonts w:hint="cs"/>
          <w:vertAlign w:val="baseline"/>
          <w:rtl/>
        </w:rPr>
        <w:t>ـ</w:t>
      </w:r>
      <w:r>
        <w:rPr>
          <w:vertAlign w:val="baseline"/>
          <w:rtl/>
        </w:rPr>
        <w:t xml:space="preserve">) ، </w:t>
      </w:r>
      <w:r w:rsidRPr="00896F71">
        <w:rPr>
          <w:rFonts w:hint="cs"/>
          <w:b/>
          <w:bCs/>
          <w:vertAlign w:val="baseline"/>
          <w:rtl/>
        </w:rPr>
        <w:t>نهاية</w:t>
      </w:r>
      <w:r w:rsidRPr="00896F71">
        <w:rPr>
          <w:b/>
          <w:bCs/>
          <w:vertAlign w:val="baseline"/>
          <w:rtl/>
        </w:rPr>
        <w:t xml:space="preserve"> المطلب في دراية المذهب</w:t>
      </w:r>
      <w:r w:rsidRPr="00896F71">
        <w:rPr>
          <w:rFonts w:hint="cs"/>
          <w:vertAlign w:val="baseline"/>
          <w:rtl/>
        </w:rPr>
        <w:t>،</w:t>
      </w:r>
      <w:r w:rsidRPr="00896F71">
        <w:rPr>
          <w:vertAlign w:val="baseline"/>
          <w:rtl/>
        </w:rPr>
        <w:t xml:space="preserve"> تحقيق أستاذ دكتور عبد العظيم الديب، ط1، بيروت، دار المنهاج، 2007 م، ج1، ص206.  </w:t>
      </w:r>
    </w:p>
  </w:footnote>
  <w:footnote w:id="127">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لبعض استخدام كلمة الإيالة عند الجويني: الجويني، </w:t>
      </w:r>
      <w:r w:rsidRPr="00364A3C">
        <w:rPr>
          <w:rFonts w:hint="cs"/>
          <w:b/>
          <w:bCs/>
          <w:vertAlign w:val="baseline"/>
          <w:rtl/>
        </w:rPr>
        <w:t>غياث</w:t>
      </w:r>
      <w:r w:rsidRPr="00364A3C">
        <w:rPr>
          <w:b/>
          <w:bCs/>
          <w:vertAlign w:val="baseline"/>
          <w:rtl/>
        </w:rPr>
        <w:t xml:space="preserve"> الأمم في التياث الظلم</w:t>
      </w:r>
      <w:r>
        <w:rPr>
          <w:rFonts w:hint="cs"/>
          <w:vertAlign w:val="baseline"/>
          <w:rtl/>
        </w:rPr>
        <w:t>،</w:t>
      </w:r>
      <w:r>
        <w:rPr>
          <w:vertAlign w:val="baseline"/>
          <w:rtl/>
        </w:rPr>
        <w:t xml:space="preserve"> تحقيق عبد العظيم ا</w:t>
      </w:r>
      <w:r>
        <w:rPr>
          <w:rFonts w:hint="cs"/>
          <w:vertAlign w:val="baseline"/>
          <w:rtl/>
        </w:rPr>
        <w:t>لديب،</w:t>
      </w:r>
      <w:r>
        <w:rPr>
          <w:vertAlign w:val="baseline"/>
          <w:rtl/>
        </w:rPr>
        <w:t xml:space="preserve"> ط2، مكتبة إمام الحرمين، 1401 هـ، ص51، 86، 102، 142، 175.</w:t>
      </w:r>
    </w:p>
  </w:footnote>
  <w:footnote w:id="12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أنظر</w:t>
      </w:r>
      <w:r w:rsidRPr="00896F71">
        <w:rPr>
          <w:vertAlign w:val="baseline"/>
          <w:rtl/>
        </w:rPr>
        <w:t>: الرفاعي، السياسة الشرعية عند الإمام ابن قيّم الجوزية، ص55.</w:t>
      </w:r>
    </w:p>
  </w:footnote>
  <w:footnote w:id="129">
    <w:p w:rsidR="005F44B2" w:rsidRDefault="005F44B2" w:rsidP="00C22B78">
      <w:pPr>
        <w:pStyle w:val="a4"/>
        <w:widowControl w:val="0"/>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ابن</w:t>
      </w:r>
      <w:r w:rsidRPr="00896F71">
        <w:rPr>
          <w:vertAlign w:val="baseline"/>
          <w:rtl/>
        </w:rPr>
        <w:t xml:space="preserve"> عقيل، هو عبد الله بن عبد الرحمن بن عبد الله بن محمد القرشي الهامشي، بهاء الدين ابن عقيل، من أئمة النحاة. مولده (694 هـ = 1294م) ووفاته (769هـ = 1367م) في القاهرة. كان مهيبا، مترفعا عن غشيان الناس ولا يخلو مجلسه من المترددين إليه، كريما، كثير العطاء لتلاميذه، في لس</w:t>
      </w:r>
      <w:r w:rsidRPr="00896F71">
        <w:rPr>
          <w:rFonts w:hint="cs"/>
          <w:vertAlign w:val="baseline"/>
          <w:rtl/>
        </w:rPr>
        <w:t>انه</w:t>
      </w:r>
      <w:r w:rsidRPr="00896F71">
        <w:rPr>
          <w:vertAlign w:val="baseline"/>
          <w:rtl/>
        </w:rPr>
        <w:t xml:space="preserve"> لثغة. له شرحألفية اب</w:t>
      </w:r>
      <w:r w:rsidRPr="00896F71">
        <w:rPr>
          <w:rFonts w:hint="cs"/>
          <w:vertAlign w:val="baseline"/>
          <w:rtl/>
        </w:rPr>
        <w:t>ن</w:t>
      </w:r>
      <w:r w:rsidRPr="00896F71">
        <w:rPr>
          <w:vertAlign w:val="baseline"/>
          <w:rtl/>
        </w:rPr>
        <w:t xml:space="preserve"> مالك، و الجامع النفيس، تيسير الاستعداد لرتبة الاجتهاد. أنظر: الزركلي، الأعلام، ج4، ص96.</w:t>
      </w:r>
    </w:p>
  </w:footnote>
  <w:footnote w:id="130">
    <w:p w:rsidR="005F44B2" w:rsidRDefault="005F44B2" w:rsidP="00C22B78">
      <w:pPr>
        <w:pStyle w:val="a4"/>
        <w:widowControl w:val="0"/>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ابن</w:t>
      </w:r>
      <w:r w:rsidRPr="00896F71">
        <w:rPr>
          <w:vertAlign w:val="baseline"/>
          <w:rtl/>
        </w:rPr>
        <w:t xml:space="preserve"> القيّم، هو محمد بن أبي بكر بن أيوب بن سعد الزر</w:t>
      </w:r>
      <w:r w:rsidRPr="00896F71">
        <w:rPr>
          <w:rFonts w:hint="cs"/>
          <w:vertAlign w:val="baseline"/>
          <w:rtl/>
        </w:rPr>
        <w:t>عي</w:t>
      </w:r>
      <w:r w:rsidRPr="00896F71">
        <w:rPr>
          <w:vertAlign w:val="baseline"/>
          <w:rtl/>
        </w:rPr>
        <w:t xml:space="preserve"> الدمشقي، أبو عبد الله، شمس الدين: من أركان الإصلاح الإسلامي، وأحد كبار العلماء. مولده ووفاته(691 - 751 هـ = 1292 - 1350 م) في دمشق. تتلمذ لشيخ الإسلام ابن تيمية حتى كان لا يخرج عن شئ من أقواله. وألف تصانيف كثيرة منها: إعلام الموقعينوالطرق الحكمية في السياسة الشرعيةوشفاء العليل في مسائل القضاء والقدر والحكمة والتعليل وتحفة المودود بأحكام المولود. أنظر: الزركلي، الأعلام، ج6، ص56.</w:t>
      </w:r>
    </w:p>
  </w:footnote>
  <w:footnote w:id="131">
    <w:p w:rsidR="005F44B2" w:rsidRDefault="005F44B2" w:rsidP="00C22B78">
      <w:pPr>
        <w:pStyle w:val="a4"/>
        <w:widowControl w:val="0"/>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ابن القيم،</w:t>
      </w:r>
      <w:r w:rsidRPr="00B25FEC">
        <w:rPr>
          <w:rFonts w:hint="cs"/>
          <w:vertAlign w:val="baseline"/>
          <w:rtl/>
        </w:rPr>
        <w:t>محمد</w:t>
      </w:r>
      <w:r w:rsidRPr="00B25FEC">
        <w:rPr>
          <w:vertAlign w:val="baseline"/>
          <w:rtl/>
        </w:rPr>
        <w:t xml:space="preserve"> بن أبي بكر بن أيوب بن سعد شمس الدين ابن قيم الجوزية (</w:t>
      </w:r>
      <w:r>
        <w:rPr>
          <w:rFonts w:hint="cs"/>
          <w:vertAlign w:val="baseline"/>
          <w:rtl/>
        </w:rPr>
        <w:t>ت</w:t>
      </w:r>
      <w:r w:rsidRPr="00B25FEC">
        <w:rPr>
          <w:vertAlign w:val="baseline"/>
          <w:rtl/>
        </w:rPr>
        <w:t>: 751هـ)</w:t>
      </w:r>
      <w:r>
        <w:rPr>
          <w:rFonts w:hint="cs"/>
          <w:b/>
          <w:bCs/>
          <w:vertAlign w:val="baseline"/>
          <w:rtl/>
        </w:rPr>
        <w:t>الطرق</w:t>
      </w:r>
      <w:r>
        <w:rPr>
          <w:b/>
          <w:bCs/>
          <w:vertAlign w:val="baseline"/>
          <w:rtl/>
        </w:rPr>
        <w:t xml:space="preserve"> الحكمية</w:t>
      </w:r>
      <w:r w:rsidRPr="00896F71">
        <w:rPr>
          <w:rFonts w:hint="cs"/>
          <w:vertAlign w:val="baseline"/>
          <w:rtl/>
        </w:rPr>
        <w:t>،</w:t>
      </w:r>
      <w:r w:rsidRPr="00896F71">
        <w:rPr>
          <w:vertAlign w:val="baseline"/>
          <w:rtl/>
        </w:rPr>
        <w:t xml:space="preserve"> تحقيق نايف بن أحمد الحمد، بدون طبعة، جدة، دار عالم الفوائد، ج1، ص29.</w:t>
      </w:r>
    </w:p>
  </w:footnote>
  <w:footnote w:id="132">
    <w:p w:rsidR="005F44B2" w:rsidRDefault="005F44B2" w:rsidP="00C22B78">
      <w:pPr>
        <w:pStyle w:val="a4"/>
        <w:widowControl w:val="0"/>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w:t>
      </w:r>
      <w:r w:rsidRPr="00896F71">
        <w:rPr>
          <w:rFonts w:hint="cs"/>
          <w:vertAlign w:val="baseline"/>
          <w:rtl/>
        </w:rPr>
        <w:t>ظر</w:t>
      </w:r>
      <w:r w:rsidRPr="00896F71">
        <w:rPr>
          <w:vertAlign w:val="baseline"/>
          <w:rtl/>
        </w:rPr>
        <w:t>: الرفاعي، السياسة الشر</w:t>
      </w:r>
      <w:r w:rsidRPr="00896F71">
        <w:rPr>
          <w:rFonts w:hint="cs"/>
          <w:vertAlign w:val="baseline"/>
          <w:rtl/>
        </w:rPr>
        <w:t>عية</w:t>
      </w:r>
      <w:r w:rsidRPr="00896F71">
        <w:rPr>
          <w:vertAlign w:val="baseline"/>
          <w:rtl/>
        </w:rPr>
        <w:t xml:space="preserve"> عند الإمام ابن قيّم الجوزية، ص55.</w:t>
      </w:r>
    </w:p>
  </w:footnote>
  <w:footnote w:id="133">
    <w:p w:rsidR="005F44B2" w:rsidRDefault="005F44B2" w:rsidP="00C22B78">
      <w:pPr>
        <w:pStyle w:val="a4"/>
        <w:widowControl w:val="0"/>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عبد</w:t>
      </w:r>
      <w:r w:rsidRPr="00896F71">
        <w:rPr>
          <w:vertAlign w:val="baseline"/>
          <w:rtl/>
        </w:rPr>
        <w:t xml:space="preserve"> الفتاح عمرو، السياسة ا</w:t>
      </w:r>
      <w:r w:rsidRPr="00896F71">
        <w:rPr>
          <w:rFonts w:hint="cs"/>
          <w:vertAlign w:val="baseline"/>
          <w:rtl/>
        </w:rPr>
        <w:t>لشرعية</w:t>
      </w:r>
      <w:r w:rsidRPr="00896F71">
        <w:rPr>
          <w:vertAlign w:val="baseline"/>
          <w:rtl/>
        </w:rPr>
        <w:t xml:space="preserve"> في الأحوال الشخصي</w:t>
      </w:r>
      <w:r w:rsidRPr="00896F71">
        <w:rPr>
          <w:rFonts w:hint="cs"/>
          <w:vertAlign w:val="baseline"/>
          <w:rtl/>
        </w:rPr>
        <w:t>ة،</w:t>
      </w:r>
      <w:r w:rsidRPr="00896F71">
        <w:rPr>
          <w:vertAlign w:val="baseline"/>
          <w:rtl/>
        </w:rPr>
        <w:t xml:space="preserve"> ص21.</w:t>
      </w:r>
    </w:p>
  </w:footnote>
  <w:footnote w:id="13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ابن</w:t>
      </w:r>
      <w:r w:rsidRPr="00896F71">
        <w:rPr>
          <w:vertAlign w:val="baseline"/>
          <w:rtl/>
        </w:rPr>
        <w:t xml:space="preserve"> تيمية هو أحمد بن عبد الحليم بن عبد السلام ابن عبد الله بن أبي القاسم الخضر النميري الحراني الدمشقي الحنبلي، أبو العباس، تقي الدين ابن تيمية: الإمام، شيخ الإسلام. ولد في حران في عام 661 هـ الموافق لـ 1263 م  وتحول به أبوه إلى دمشق فنبغ واشتهر. وطلب إلى مصر من أجل فتوى أفتى بها، فقصدها، فتعصب عليه جماع</w:t>
      </w:r>
      <w:r w:rsidRPr="00896F71">
        <w:rPr>
          <w:rFonts w:hint="cs"/>
          <w:vertAlign w:val="baseline"/>
          <w:rtl/>
        </w:rPr>
        <w:t>ة</w:t>
      </w:r>
      <w:r w:rsidRPr="00896F71">
        <w:rPr>
          <w:vertAlign w:val="baseline"/>
          <w:rtl/>
        </w:rPr>
        <w:t xml:space="preserve"> من أهلها فسجن مدة، ونقل إلى الإسكندرية. ثم أطلق فسافر إلى دمشق سنة 712 هـ واعتقل بها سنة 720 وأطلق، ثم أعيد، ومات في عام 728 هـ الموافق لـ 1328 م معتقلا بقلعة دمشق، له مؤلفات كثيرة ومنها: الفتاوى ومنهاج السنة ومجموع رسائلفيه 29 رسالة والسياسة الشرعية في إصلاح الراعي والرعية. أنظر: الزركلي، الأعلام، ج1، ص144.</w:t>
      </w:r>
    </w:p>
  </w:footnote>
  <w:footnote w:id="13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أنظر</w:t>
      </w:r>
      <w:r w:rsidRPr="00896F71">
        <w:rPr>
          <w:vertAlign w:val="baseline"/>
          <w:rtl/>
        </w:rPr>
        <w:t>: الرفاعي، السياسة الشرعية عند الإمام ابن قيّم الجوزية، ص57؛ عبد الفتاح عمرو، السياسة الشرعية في الأحوال الشخصية، ص21.</w:t>
      </w:r>
    </w:p>
  </w:footnote>
  <w:footnote w:id="13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قيّم الجوزية، ص57.</w:t>
      </w:r>
    </w:p>
  </w:footnote>
  <w:footnote w:id="13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الرفاعي، السياسة الشرعية عند الإمام ابن قيّم الجوزية، ص57؛ عبد الفتاح عمرو، السياسة الشرعية في الأحوال الشخصية، ص21.</w:t>
      </w:r>
    </w:p>
  </w:footnote>
  <w:footnote w:id="13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عبد</w:t>
      </w:r>
      <w:r w:rsidRPr="00896F71">
        <w:rPr>
          <w:vertAlign w:val="baseline"/>
          <w:rtl/>
        </w:rPr>
        <w:t xml:space="preserve"> الفتاح عمرو، السياسة الشرعية في الأحوال الشخصية، ص21.</w:t>
      </w:r>
    </w:p>
  </w:footnote>
  <w:footnote w:id="13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ابن القيم، الطرق الحكمية، ج1، ص32. </w:t>
      </w:r>
    </w:p>
  </w:footnote>
  <w:footnote w:id="14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عبد الفتاح عمرو، السياسة الشرعية في الأحوال الشخصية، ص21. </w:t>
      </w:r>
    </w:p>
  </w:footnote>
  <w:footnote w:id="14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الرفاعي،</w:t>
      </w:r>
      <w:r w:rsidRPr="00896F71">
        <w:rPr>
          <w:vertAlign w:val="baseline"/>
          <w:rtl/>
        </w:rPr>
        <w:t xml:space="preserve"> السياسة الشرعية عند الإمام ابن قيّم الجوزية، ص46.</w:t>
      </w:r>
    </w:p>
  </w:footnote>
  <w:footnote w:id="14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قيّم الجوزية، ص47.</w:t>
      </w:r>
    </w:p>
  </w:footnote>
  <w:footnote w:id="14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عبد الفتاح عمرو، السياسة الشرعية في الأحوال الشخصية، ص21، الهامش الأول؛ الرفاعي، السياسة الشرعية عند الإمام ابن قيّم الجوزية، ص47.</w:t>
      </w:r>
    </w:p>
  </w:footnote>
  <w:footnote w:id="14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أنظر</w:t>
      </w:r>
      <w:r w:rsidRPr="00896F71">
        <w:rPr>
          <w:vertAlign w:val="baseline"/>
          <w:rtl/>
        </w:rPr>
        <w:t>: الرفاعي، السياسة الشرعية عند الإمام ابن قيّم الجوزية، ص71.</w:t>
      </w:r>
    </w:p>
  </w:footnote>
  <w:footnote w:id="14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الدريني</w:t>
      </w:r>
      <w:r>
        <w:rPr>
          <w:rFonts w:hint="cs"/>
          <w:vertAlign w:val="baseline"/>
          <w:rtl/>
        </w:rPr>
        <w:t>،</w:t>
      </w:r>
      <w:r w:rsidRPr="00896F71">
        <w:rPr>
          <w:vertAlign w:val="baseline"/>
          <w:rtl/>
        </w:rPr>
        <w:t xml:space="preserve"> فتحي ، </w:t>
      </w:r>
      <w:r w:rsidRPr="00896F71">
        <w:rPr>
          <w:rFonts w:hint="cs"/>
          <w:b/>
          <w:bCs/>
          <w:vertAlign w:val="baseline"/>
          <w:rtl/>
        </w:rPr>
        <w:t>خصائص</w:t>
      </w:r>
      <w:r w:rsidRPr="00896F71">
        <w:rPr>
          <w:b/>
          <w:bCs/>
          <w:vertAlign w:val="baseline"/>
          <w:rtl/>
        </w:rPr>
        <w:t xml:space="preserve"> التشريع الإسلامي في السسياسة والحكم</w:t>
      </w:r>
      <w:r w:rsidRPr="00896F71">
        <w:rPr>
          <w:rFonts w:hint="cs"/>
          <w:vertAlign w:val="baseline"/>
          <w:rtl/>
        </w:rPr>
        <w:t>،</w:t>
      </w:r>
      <w:r w:rsidRPr="00896F71">
        <w:rPr>
          <w:vertAlign w:val="baseline"/>
          <w:rtl/>
        </w:rPr>
        <w:t xml:space="preserve"> ط2،، بيروت، مؤسسة الرسال</w:t>
      </w:r>
      <w:r w:rsidRPr="00896F71">
        <w:rPr>
          <w:rFonts w:hint="cs"/>
          <w:vertAlign w:val="baseline"/>
          <w:rtl/>
        </w:rPr>
        <w:t>ة،</w:t>
      </w:r>
      <w:r w:rsidRPr="00896F71">
        <w:rPr>
          <w:vertAlign w:val="baseline"/>
          <w:rtl/>
        </w:rPr>
        <w:t xml:space="preserve"> 2013م ص165. </w:t>
      </w:r>
    </w:p>
  </w:footnote>
  <w:footnote w:id="14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الدريني</w:t>
      </w:r>
      <w:r>
        <w:rPr>
          <w:rFonts w:hint="cs"/>
          <w:vertAlign w:val="baseline"/>
          <w:rtl/>
        </w:rPr>
        <w:t>،</w:t>
      </w:r>
      <w:r w:rsidRPr="00896F71">
        <w:rPr>
          <w:vertAlign w:val="baseline"/>
          <w:rtl/>
        </w:rPr>
        <w:t xml:space="preserve"> فتحي</w:t>
      </w:r>
      <w:r w:rsidRPr="00B300C3">
        <w:rPr>
          <w:rFonts w:hint="cs"/>
          <w:vertAlign w:val="baseline"/>
          <w:rtl/>
        </w:rPr>
        <w:t>،</w:t>
      </w:r>
      <w:r w:rsidRPr="00B300C3">
        <w:rPr>
          <w:vertAlign w:val="baseline"/>
          <w:rtl/>
        </w:rPr>
        <w:t xml:space="preserve"> خصائص التشريع،</w:t>
      </w:r>
      <w:r w:rsidRPr="00896F71">
        <w:rPr>
          <w:rFonts w:hint="cs"/>
          <w:vertAlign w:val="baseline"/>
          <w:rtl/>
        </w:rPr>
        <w:t>ص</w:t>
      </w:r>
      <w:r w:rsidRPr="00896F71">
        <w:rPr>
          <w:vertAlign w:val="baseline"/>
          <w:rtl/>
        </w:rPr>
        <w:t xml:space="preserve">165. </w:t>
      </w:r>
    </w:p>
  </w:footnote>
  <w:footnote w:id="14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عمرو،</w:t>
      </w:r>
      <w:r w:rsidRPr="00896F71">
        <w:rPr>
          <w:vertAlign w:val="baseline"/>
          <w:rtl/>
        </w:rPr>
        <w:t xml:space="preserve"> عبد الفتاح ، ال</w:t>
      </w:r>
      <w:r w:rsidRPr="00896F71">
        <w:rPr>
          <w:rFonts w:hint="cs"/>
          <w:vertAlign w:val="baseline"/>
          <w:rtl/>
        </w:rPr>
        <w:t>سياسة</w:t>
      </w:r>
      <w:r w:rsidRPr="00896F71">
        <w:rPr>
          <w:vertAlign w:val="baseline"/>
          <w:rtl/>
        </w:rPr>
        <w:t xml:space="preserve"> الشرعية في الأحوال </w:t>
      </w:r>
      <w:r w:rsidRPr="00896F71">
        <w:rPr>
          <w:rFonts w:hint="cs"/>
          <w:vertAlign w:val="baseline"/>
          <w:rtl/>
        </w:rPr>
        <w:t>الشخصية،</w:t>
      </w:r>
      <w:r w:rsidRPr="00896F71">
        <w:rPr>
          <w:vertAlign w:val="baseline"/>
          <w:rtl/>
        </w:rPr>
        <w:t xml:space="preserve"> ص24.</w:t>
      </w:r>
    </w:p>
  </w:footnote>
  <w:footnote w:id="14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عطوة، عبد العال أحمد، </w:t>
      </w:r>
      <w:r w:rsidRPr="00896F71">
        <w:rPr>
          <w:rFonts w:hint="cs"/>
          <w:b/>
          <w:bCs/>
          <w:vertAlign w:val="baseline"/>
          <w:rtl/>
        </w:rPr>
        <w:t>المدخا</w:t>
      </w:r>
      <w:r w:rsidRPr="00896F71">
        <w:rPr>
          <w:b/>
          <w:bCs/>
          <w:vertAlign w:val="baseline"/>
          <w:rtl/>
        </w:rPr>
        <w:t xml:space="preserve"> إلى السياسة الشرعية</w:t>
      </w:r>
      <w:r w:rsidRPr="00896F71">
        <w:rPr>
          <w:rFonts w:hint="cs"/>
          <w:vertAlign w:val="baseline"/>
          <w:rtl/>
        </w:rPr>
        <w:t>،</w:t>
      </w:r>
      <w:r w:rsidRPr="00896F71">
        <w:rPr>
          <w:vertAlign w:val="baseline"/>
          <w:rtl/>
        </w:rPr>
        <w:t xml:space="preserve"> ط1، رياض، جامعة الإمام محمد بن سعود الإسلامية، 1993م، ص56. </w:t>
      </w:r>
    </w:p>
  </w:footnote>
  <w:footnote w:id="14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خلاف، عبد الوهاب، </w:t>
      </w:r>
      <w:r w:rsidRPr="00896F71">
        <w:rPr>
          <w:rFonts w:hint="cs"/>
          <w:b/>
          <w:bCs/>
          <w:vertAlign w:val="baseline"/>
          <w:rtl/>
        </w:rPr>
        <w:t>السياسة</w:t>
      </w:r>
      <w:r w:rsidRPr="00896F71">
        <w:rPr>
          <w:b/>
          <w:bCs/>
          <w:vertAlign w:val="baseline"/>
          <w:rtl/>
        </w:rPr>
        <w:t xml:space="preserve"> الشرعية في الشئون الدستورية والخارجية والمالية</w:t>
      </w:r>
      <w:r w:rsidRPr="00896F71">
        <w:rPr>
          <w:rFonts w:hint="cs"/>
          <w:vertAlign w:val="baseline"/>
          <w:rtl/>
        </w:rPr>
        <w:t>،</w:t>
      </w:r>
      <w:r w:rsidRPr="00896F71">
        <w:rPr>
          <w:vertAlign w:val="baseline"/>
          <w:rtl/>
        </w:rPr>
        <w:t xml:space="preserve"> بدون طبعة، دار القلم، 1988م، ص7. </w:t>
      </w:r>
    </w:p>
  </w:footnote>
  <w:footnote w:id="15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قيّم الجوزية، ص74.</w:t>
      </w:r>
    </w:p>
  </w:footnote>
  <w:footnote w:id="15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قيّم الجوزية، ص77؛ عبد الفتاح عمرو، السياسة الشرعية في الأحوال الشخصية، ص23. </w:t>
      </w:r>
    </w:p>
  </w:footnote>
  <w:footnote w:id="15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الكيلاني،</w:t>
      </w:r>
      <w:r w:rsidRPr="00896F71">
        <w:rPr>
          <w:vertAlign w:val="baseline"/>
          <w:rtl/>
        </w:rPr>
        <w:t xml:space="preserve"> عبد الله إبراهيم، السياسة الشرعية مدخل إلى تجديد الخطاب الإسلامي، ص7.</w:t>
      </w:r>
    </w:p>
  </w:footnote>
  <w:footnote w:id="15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المرجع السابق.</w:t>
      </w:r>
    </w:p>
  </w:footnote>
  <w:footnote w:id="15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قيّم الجوزية، ص88.</w:t>
      </w:r>
    </w:p>
  </w:footnote>
  <w:footnote w:id="15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لهذه الاستنتاجات أنظر: الرفاعي، السياسة الشرعية عند الإمام ابن قيّم الجوزية، ص79، 80، 81.</w:t>
      </w:r>
    </w:p>
  </w:footnote>
  <w:footnote w:id="15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الرفاعي، السياسة الشرعية عند الإمام ابن قيّم الجوزية، ص87.</w:t>
      </w:r>
    </w:p>
  </w:footnote>
  <w:footnote w:id="157">
    <w:p w:rsidR="005F44B2" w:rsidRDefault="005F44B2" w:rsidP="00452532">
      <w:pPr>
        <w:pStyle w:val="a4"/>
      </w:pPr>
      <w:r>
        <w:rPr>
          <w:rtl/>
        </w:rPr>
        <w:t>(</w:t>
      </w:r>
      <w:r>
        <w:rPr>
          <w:rStyle w:val="FootnoteReference"/>
          <w:rFonts w:cs="Arabic Transparent"/>
        </w:rPr>
        <w:footnoteRef/>
      </w:r>
      <w:r>
        <w:rPr>
          <w:rtl/>
        </w:rPr>
        <w:t>)</w:t>
      </w:r>
      <w:r>
        <w:rPr>
          <w:vertAlign w:val="baseline"/>
          <w:rtl/>
        </w:rPr>
        <w:t xml:space="preserve"> أي قصروا السياسة الشرعية على الجنايات والعقوبات.</w:t>
      </w:r>
    </w:p>
  </w:footnote>
  <w:footnote w:id="158">
    <w:p w:rsidR="005F44B2" w:rsidRDefault="005F44B2" w:rsidP="00452532">
      <w:pPr>
        <w:pStyle w:val="a4"/>
      </w:pPr>
      <w:r>
        <w:rPr>
          <w:rtl/>
        </w:rPr>
        <w:t>(</w:t>
      </w:r>
      <w:r>
        <w:rPr>
          <w:rStyle w:val="FootnoteReference"/>
          <w:rFonts w:cs="Arabic Transparent"/>
        </w:rPr>
        <w:footnoteRef/>
      </w:r>
      <w:r>
        <w:rPr>
          <w:rtl/>
        </w:rPr>
        <w:t>)</w:t>
      </w:r>
      <w:r>
        <w:rPr>
          <w:vertAlign w:val="baseline"/>
          <w:rtl/>
        </w:rPr>
        <w:t xml:space="preserve"> أي الساسة الشرعية عندهم تشمل جميع مناح الحياة يعني يُعمل بها في كل تصرفات الناس.</w:t>
      </w:r>
    </w:p>
  </w:footnote>
  <w:footnote w:id="15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عبد</w:t>
      </w:r>
      <w:r w:rsidRPr="00896F71">
        <w:rPr>
          <w:vertAlign w:val="baseline"/>
          <w:rtl/>
        </w:rPr>
        <w:t xml:space="preserve"> الرحيم، إبراهيم، </w:t>
      </w:r>
      <w:r w:rsidRPr="00896F71">
        <w:rPr>
          <w:rFonts w:hint="cs"/>
          <w:b/>
          <w:bCs/>
          <w:vertAlign w:val="baseline"/>
          <w:rtl/>
        </w:rPr>
        <w:t>السياسة</w:t>
      </w:r>
      <w:r w:rsidRPr="00896F71">
        <w:rPr>
          <w:b/>
          <w:bCs/>
          <w:vertAlign w:val="baseline"/>
          <w:rtl/>
        </w:rPr>
        <w:t xml:space="preserve"> الشرعية ( مفهومها-مصادرها-مجالاتها)</w:t>
      </w:r>
      <w:r w:rsidRPr="00896F71">
        <w:rPr>
          <w:rFonts w:hint="cs"/>
          <w:vertAlign w:val="baseline"/>
          <w:rtl/>
        </w:rPr>
        <w:t>،</w:t>
      </w:r>
      <w:r w:rsidRPr="00896F71">
        <w:rPr>
          <w:vertAlign w:val="baseline"/>
          <w:rtl/>
        </w:rPr>
        <w:t xml:space="preserve"> ط1، قاهرة، دار النصر للتوزيع والنشر،</w:t>
      </w:r>
      <w:r>
        <w:rPr>
          <w:vertAlign w:val="baseline"/>
          <w:rtl/>
        </w:rPr>
        <w:t xml:space="preserve"> 2006م،</w:t>
      </w:r>
      <w:r w:rsidRPr="00896F71">
        <w:rPr>
          <w:vertAlign w:val="baseline"/>
          <w:rtl/>
        </w:rPr>
        <w:t xml:space="preserve"> ص73.</w:t>
      </w:r>
    </w:p>
  </w:footnote>
  <w:footnote w:id="16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الرفاعي،</w:t>
      </w:r>
      <w:r w:rsidRPr="00896F71">
        <w:rPr>
          <w:vertAlign w:val="baseline"/>
          <w:rtl/>
        </w:rPr>
        <w:t xml:space="preserve"> السياسة الشرعية عند الإمام ابن قيّم الجوزية، ص 104.</w:t>
      </w:r>
    </w:p>
  </w:footnote>
  <w:footnote w:id="16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الطرابلسي، معين الحكام، ص169.</w:t>
      </w:r>
    </w:p>
  </w:footnote>
  <w:footnote w:id="16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rFonts w:hint="cs"/>
          <w:vertAlign w:val="baseline"/>
          <w:rtl/>
        </w:rPr>
        <w:t>أنظر</w:t>
      </w:r>
      <w:r>
        <w:rPr>
          <w:vertAlign w:val="baseline"/>
          <w:rtl/>
        </w:rPr>
        <w:t xml:space="preserve">: </w:t>
      </w:r>
      <w:r w:rsidRPr="00896F71">
        <w:rPr>
          <w:rFonts w:hint="cs"/>
          <w:vertAlign w:val="baseline"/>
          <w:rtl/>
        </w:rPr>
        <w:t>الطرابلسي،</w:t>
      </w:r>
      <w:r w:rsidRPr="00896F71">
        <w:rPr>
          <w:vertAlign w:val="baseline"/>
          <w:rtl/>
        </w:rPr>
        <w:t xml:space="preserve"> معين الحكام، ص109.</w:t>
      </w:r>
    </w:p>
  </w:footnote>
  <w:footnote w:id="16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فرحون، تبصرة الحكام، ج2، ص116.</w:t>
      </w:r>
    </w:p>
  </w:footnote>
  <w:footnote w:id="16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691D1F">
        <w:rPr>
          <w:rFonts w:hint="cs"/>
          <w:vertAlign w:val="baseline"/>
          <w:rtl/>
        </w:rPr>
        <w:t>أنظر</w:t>
      </w:r>
      <w:r w:rsidRPr="00691D1F">
        <w:rPr>
          <w:vertAlign w:val="baseline"/>
          <w:rtl/>
        </w:rPr>
        <w:t>: الطرابلسي، معين الحكام، ص109.</w:t>
      </w:r>
    </w:p>
  </w:footnote>
  <w:footnote w:id="16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سورةالبقرة، الآية 179.</w:t>
      </w:r>
    </w:p>
  </w:footnote>
  <w:footnote w:id="16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النور، الآية 2.</w:t>
      </w:r>
    </w:p>
  </w:footnote>
  <w:footnote w:id="16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أنظر: ابن عابدين، رد المحتار، ج1، ص432.</w:t>
      </w:r>
    </w:p>
  </w:footnote>
  <w:footnote w:id="16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النور، الآية 4.</w:t>
      </w:r>
    </w:p>
  </w:footnote>
  <w:footnote w:id="16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38.</w:t>
      </w:r>
    </w:p>
  </w:footnote>
  <w:footnote w:id="17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90.</w:t>
      </w:r>
    </w:p>
  </w:footnote>
  <w:footnote w:id="17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91.</w:t>
      </w:r>
    </w:p>
  </w:footnote>
  <w:footnote w:id="17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95.</w:t>
      </w:r>
    </w:p>
  </w:footnote>
  <w:footnote w:id="17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95.</w:t>
      </w:r>
    </w:p>
  </w:footnote>
  <w:footnote w:id="17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المجادلة، الآية 2.</w:t>
      </w:r>
    </w:p>
  </w:footnote>
  <w:footnote w:id="17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المجادلة، الآية 2.</w:t>
      </w:r>
    </w:p>
  </w:footnote>
  <w:footnote w:id="17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النساء، الآية 3.</w:t>
      </w:r>
    </w:p>
  </w:footnote>
  <w:footnote w:id="17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ابن</w:t>
      </w:r>
      <w:r w:rsidRPr="00896F71">
        <w:rPr>
          <w:vertAlign w:val="baseline"/>
          <w:rtl/>
        </w:rPr>
        <w:t xml:space="preserve"> عابدين، رد المحتار، ج3، ص7.</w:t>
      </w:r>
    </w:p>
  </w:footnote>
  <w:footnote w:id="17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البقرة، الآية 178، 179.</w:t>
      </w:r>
    </w:p>
  </w:footnote>
  <w:footnote w:id="17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النساء، الآية 93.</w:t>
      </w:r>
    </w:p>
  </w:footnote>
  <w:footnote w:id="18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33، 34.</w:t>
      </w:r>
    </w:p>
  </w:footnote>
  <w:footnote w:id="18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المائدة، الآية 38، 39.</w:t>
      </w:r>
    </w:p>
  </w:footnote>
  <w:footnote w:id="18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النور، الآية 3.</w:t>
      </w:r>
    </w:p>
  </w:footnote>
  <w:footnote w:id="18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النور، الآية 4، 5.</w:t>
      </w:r>
    </w:p>
  </w:footnote>
  <w:footnote w:id="18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سورة النور، الآية 7-10.</w:t>
      </w:r>
    </w:p>
  </w:footnote>
  <w:footnote w:id="18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rFonts w:hint="cs"/>
          <w:vertAlign w:val="baseline"/>
          <w:rtl/>
        </w:rPr>
        <w:t>ابن</w:t>
      </w:r>
      <w:r w:rsidRPr="00896F71">
        <w:rPr>
          <w:vertAlign w:val="baseline"/>
          <w:rtl/>
        </w:rPr>
        <w:t xml:space="preserve"> عابدين، رد المحتار، ج4، </w:t>
      </w:r>
      <w:r w:rsidRPr="00896F71">
        <w:rPr>
          <w:rFonts w:hint="cs"/>
          <w:vertAlign w:val="baseline"/>
          <w:rtl/>
        </w:rPr>
        <w:t>ص</w:t>
      </w:r>
      <w:r w:rsidRPr="00896F71">
        <w:rPr>
          <w:vertAlign w:val="baseline"/>
          <w:rtl/>
        </w:rPr>
        <w:t>3.</w:t>
      </w:r>
    </w:p>
  </w:footnote>
  <w:footnote w:id="18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المرجع السابق.</w:t>
      </w:r>
    </w:p>
  </w:footnote>
  <w:footnote w:id="187">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ج6، ص107.</w:t>
      </w:r>
    </w:p>
  </w:footnote>
  <w:footnote w:id="188">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ج6، ص20.</w:t>
      </w:r>
    </w:p>
  </w:footnote>
  <w:footnote w:id="189">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822844">
        <w:rPr>
          <w:rFonts w:hint="cs"/>
          <w:vertAlign w:val="baseline"/>
          <w:rtl/>
        </w:rPr>
        <w:t>ابن</w:t>
      </w:r>
      <w:r w:rsidRPr="00822844">
        <w:rPr>
          <w:vertAlign w:val="baseline"/>
          <w:rtl/>
        </w:rPr>
        <w:t xml:space="preserve"> عابدين، مجموعة الرسائل، كتاب تنبيه الولاة والحكام على أحكام شاتم خير الأنام، ج1، ص523.</w:t>
      </w:r>
    </w:p>
  </w:footnote>
  <w:footnote w:id="190">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ج6، ص411.</w:t>
      </w:r>
    </w:p>
  </w:footnote>
  <w:footnote w:id="19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أحمد بن حنبل، أبو عبد الله أحمد بن محمد بن حنبل بن هلال بن أسد الشيباني (: 241هـ)، </w:t>
      </w:r>
      <w:r w:rsidRPr="00896F71">
        <w:rPr>
          <w:rFonts w:hint="cs"/>
          <w:b/>
          <w:bCs/>
          <w:vertAlign w:val="baseline"/>
          <w:rtl/>
        </w:rPr>
        <w:t>مسند</w:t>
      </w:r>
      <w:r w:rsidRPr="00896F71">
        <w:rPr>
          <w:b/>
          <w:bCs/>
          <w:vertAlign w:val="baseline"/>
          <w:rtl/>
        </w:rPr>
        <w:t xml:space="preserve"> الإمام أحمد بن حنبل</w:t>
      </w:r>
      <w:r w:rsidRPr="00896F71">
        <w:rPr>
          <w:rFonts w:hint="cs"/>
          <w:vertAlign w:val="baseline"/>
          <w:rtl/>
        </w:rPr>
        <w:t>،</w:t>
      </w:r>
      <w:r w:rsidRPr="00896F71">
        <w:rPr>
          <w:vertAlign w:val="baseline"/>
          <w:rtl/>
        </w:rPr>
        <w:t xml:space="preserve"> حقّقه وخرّج أحاديثه وعلّق عليه: شعيب الأرنؤ</w:t>
      </w:r>
      <w:r w:rsidRPr="00896F71">
        <w:rPr>
          <w:rFonts w:hint="cs"/>
          <w:vertAlign w:val="baseline"/>
          <w:rtl/>
        </w:rPr>
        <w:t>وط</w:t>
      </w:r>
      <w:r w:rsidRPr="00896F71">
        <w:rPr>
          <w:vertAlign w:val="baseline"/>
          <w:rtl/>
        </w:rPr>
        <w:t xml:space="preserve"> - عادل مرشد، ط1، بيروت، مؤسسة الرسالة، 2001م، ج36، ص333، رقم الحديث 22007، وقال عنه: (( إسناده ضعيف لإبهام أصحاب معاذ وجهالة الحارث بن عمرو، ولكن مال إلى القول بصحته غير واحد من المحققين من أهل العلم، منهم أبو بكر الرازي وأبو بكر بن العربي والخطيب البغدادي وابن القيم الجوزية)).</w:t>
      </w:r>
    </w:p>
  </w:footnote>
  <w:footnote w:id="192">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ج8، ص38.</w:t>
      </w:r>
    </w:p>
  </w:footnote>
  <w:footnote w:id="19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ج1، ص180.</w:t>
      </w:r>
    </w:p>
  </w:footnote>
  <w:footnote w:id="19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الرفاعي، السياسة الشرعية عند الإمام ابن القيم الجوزية، ص111. </w:t>
      </w:r>
    </w:p>
  </w:footnote>
  <w:footnote w:id="19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أحمد بن حنبل، مسند، ج16، ص510، رقم الحديث 10877، وقال عنه: (( إسناده صحيح على شرط البخاري)).</w:t>
      </w:r>
    </w:p>
  </w:footnote>
  <w:footnote w:id="196">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ج2، ص288.</w:t>
      </w:r>
    </w:p>
  </w:footnote>
  <w:footnote w:id="19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مسلم، مسلم بن الحجاج أبو الحسن القشيري النيسابوري (</w:t>
      </w:r>
      <w:r>
        <w:rPr>
          <w:rFonts w:hint="cs"/>
          <w:vertAlign w:val="baseline"/>
          <w:rtl/>
        </w:rPr>
        <w:t>ت</w:t>
      </w:r>
      <w:r>
        <w:rPr>
          <w:vertAlign w:val="baseline"/>
          <w:rtl/>
        </w:rPr>
        <w:t xml:space="preserve"> </w:t>
      </w:r>
      <w:r w:rsidRPr="00896F71">
        <w:rPr>
          <w:vertAlign w:val="baseline"/>
          <w:rtl/>
        </w:rPr>
        <w:t xml:space="preserve">261هـ)، </w:t>
      </w:r>
      <w:r w:rsidRPr="00896F71">
        <w:rPr>
          <w:rFonts w:hint="cs"/>
          <w:b/>
          <w:bCs/>
          <w:vertAlign w:val="baseline"/>
          <w:rtl/>
        </w:rPr>
        <w:t>المسند</w:t>
      </w:r>
      <w:r w:rsidRPr="00896F71">
        <w:rPr>
          <w:b/>
          <w:bCs/>
          <w:vertAlign w:val="baseline"/>
          <w:rtl/>
        </w:rPr>
        <w:t xml:space="preserve"> الصحيح المختصر بنقل العدل عن العدل إلى رسول الله صلى الله عليه وسلم (صحيح مسلم)</w:t>
      </w:r>
      <w:r w:rsidRPr="00896F71">
        <w:rPr>
          <w:rFonts w:hint="cs"/>
          <w:vertAlign w:val="baseline"/>
          <w:rtl/>
        </w:rPr>
        <w:t>،</w:t>
      </w:r>
      <w:r w:rsidRPr="00896F71">
        <w:rPr>
          <w:vertAlign w:val="baseline"/>
          <w:rtl/>
        </w:rPr>
        <w:t xml:space="preserve"> المحقق: محمد فؤاد عبد الباقي، ط1، بيروت، دار إحياء كتب العربية، 1991</w:t>
      </w:r>
      <w:r>
        <w:rPr>
          <w:rFonts w:hint="cs"/>
          <w:vertAlign w:val="baseline"/>
          <w:rtl/>
        </w:rPr>
        <w:t>م</w:t>
      </w:r>
      <w:r w:rsidRPr="00896F71">
        <w:rPr>
          <w:rFonts w:hint="cs"/>
          <w:vertAlign w:val="baseline"/>
          <w:rtl/>
        </w:rPr>
        <w:t>،</w:t>
      </w:r>
      <w:r w:rsidRPr="00896F71">
        <w:rPr>
          <w:vertAlign w:val="baseline"/>
          <w:rtl/>
        </w:rPr>
        <w:t xml:space="preserve"> ج4، ص1998-1999، باب نصر الأخ ظالما أو مظلوما، رقم الحديث: 63 – 2584.</w:t>
      </w:r>
    </w:p>
  </w:footnote>
  <w:footnote w:id="19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96F71">
        <w:rPr>
          <w:vertAlign w:val="baseline"/>
          <w:rtl/>
        </w:rPr>
        <w:t xml:space="preserve"> عبد الرحيم، السياسة الشرعية ( مفهومها-مصادرها-مجالاتها)، ص157.</w:t>
      </w:r>
    </w:p>
  </w:footnote>
  <w:footnote w:id="19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ابن الجوزي، جم</w:t>
      </w:r>
      <w:r w:rsidRPr="00EF1C10">
        <w:rPr>
          <w:rFonts w:hint="cs"/>
          <w:vertAlign w:val="baseline"/>
          <w:rtl/>
        </w:rPr>
        <w:t>ال</w:t>
      </w:r>
      <w:r w:rsidRPr="00EF1C10">
        <w:rPr>
          <w:vertAlign w:val="baseline"/>
          <w:rtl/>
        </w:rPr>
        <w:t xml:space="preserve"> الدين أبو الفرج عبد ال</w:t>
      </w:r>
      <w:r w:rsidRPr="00EF1C10">
        <w:rPr>
          <w:rFonts w:hint="cs"/>
          <w:vertAlign w:val="baseline"/>
          <w:rtl/>
        </w:rPr>
        <w:t>رحمن</w:t>
      </w:r>
      <w:r w:rsidRPr="00EF1C10">
        <w:rPr>
          <w:vertAlign w:val="baseline"/>
          <w:rtl/>
        </w:rPr>
        <w:t xml:space="preserve"> بن علي بن محمد الجوزي (ت 597هـ)، </w:t>
      </w:r>
      <w:r w:rsidRPr="00EF1C10">
        <w:rPr>
          <w:rFonts w:hint="cs"/>
          <w:b/>
          <w:bCs/>
          <w:vertAlign w:val="baseline"/>
          <w:rtl/>
        </w:rPr>
        <w:t>ذم</w:t>
      </w:r>
      <w:r w:rsidRPr="00EF1C10">
        <w:rPr>
          <w:b/>
          <w:bCs/>
          <w:vertAlign w:val="baseline"/>
          <w:rtl/>
        </w:rPr>
        <w:t xml:space="preserve"> الهوى</w:t>
      </w:r>
      <w:r w:rsidRPr="00EF1C10">
        <w:rPr>
          <w:rFonts w:hint="cs"/>
          <w:vertAlign w:val="baseline"/>
          <w:rtl/>
        </w:rPr>
        <w:t>،</w:t>
      </w:r>
      <w:r w:rsidRPr="00EF1C10">
        <w:rPr>
          <w:vertAlign w:val="baseline"/>
          <w:rtl/>
        </w:rPr>
        <w:t xml:space="preserve"> المحقق: مصطفى عبد الواحد، مراجعة: محمد الغزالي، ص123؛</w:t>
      </w:r>
      <w:r w:rsidRPr="00DF02C9">
        <w:rPr>
          <w:rFonts w:hint="cs"/>
          <w:vertAlign w:val="baseline"/>
          <w:rtl/>
        </w:rPr>
        <w:t>السرخسي،</w:t>
      </w:r>
      <w:r w:rsidRPr="00DF02C9">
        <w:rPr>
          <w:vertAlign w:val="baseline"/>
          <w:rtl/>
        </w:rPr>
        <w:t xml:space="preserve"> محمد بن أحمد بن أبي سهل شمس الأئمة السرخسي (ت: 483هـ)، </w:t>
      </w:r>
      <w:r w:rsidRPr="00DF02C9">
        <w:rPr>
          <w:rFonts w:hint="cs"/>
          <w:b/>
          <w:bCs/>
          <w:vertAlign w:val="baseline"/>
          <w:rtl/>
        </w:rPr>
        <w:t>المبسوط</w:t>
      </w:r>
      <w:r w:rsidRPr="00DF02C9">
        <w:rPr>
          <w:rFonts w:hint="cs"/>
          <w:vertAlign w:val="baseline"/>
          <w:rtl/>
        </w:rPr>
        <w:t>،</w:t>
      </w:r>
      <w:r w:rsidRPr="00DF02C9">
        <w:rPr>
          <w:vertAlign w:val="baseline"/>
          <w:rtl/>
        </w:rPr>
        <w:t xml:space="preserve"> بيروت، دار المعرفة، 1993م</w:t>
      </w:r>
      <w:r w:rsidRPr="00EF1C10">
        <w:rPr>
          <w:rFonts w:hint="cs"/>
          <w:vertAlign w:val="baseline"/>
          <w:rtl/>
        </w:rPr>
        <w:t>،</w:t>
      </w:r>
      <w:r w:rsidRPr="00EF1C10">
        <w:rPr>
          <w:vertAlign w:val="baseline"/>
          <w:rtl/>
        </w:rPr>
        <w:t xml:space="preserve"> ج9، ص45، الألوسي، شهاب الدين محمود بن عبد الله الحسيني الألوسي (ت: 1270هـ)، </w:t>
      </w:r>
      <w:r w:rsidRPr="00EF1C10">
        <w:rPr>
          <w:rFonts w:hint="cs"/>
          <w:b/>
          <w:bCs/>
          <w:vertAlign w:val="baseline"/>
          <w:rtl/>
        </w:rPr>
        <w:t>روح</w:t>
      </w:r>
      <w:r w:rsidRPr="00EF1C10">
        <w:rPr>
          <w:b/>
          <w:bCs/>
          <w:vertAlign w:val="baseline"/>
          <w:rtl/>
        </w:rPr>
        <w:t xml:space="preserve"> المعاني في تفسير القرآن العظيم والسبع المثاني</w:t>
      </w:r>
      <w:r w:rsidRPr="00EF1C10">
        <w:rPr>
          <w:rFonts w:hint="cs"/>
          <w:vertAlign w:val="baseline"/>
          <w:rtl/>
        </w:rPr>
        <w:t>،</w:t>
      </w:r>
      <w:r w:rsidRPr="00EF1C10">
        <w:rPr>
          <w:vertAlign w:val="baseline"/>
          <w:rtl/>
        </w:rPr>
        <w:t xml:space="preserve"> تحقيق علي عبد الباري ع</w:t>
      </w:r>
      <w:r w:rsidRPr="00EF1C10">
        <w:rPr>
          <w:rFonts w:hint="cs"/>
          <w:vertAlign w:val="baseline"/>
          <w:rtl/>
        </w:rPr>
        <w:t>طية</w:t>
      </w:r>
      <w:r w:rsidRPr="00EF1C10">
        <w:rPr>
          <w:vertAlign w:val="baseline"/>
          <w:rtl/>
        </w:rPr>
        <w:t xml:space="preserve"> ،ط1، دار الكتب العلم</w:t>
      </w:r>
      <w:r w:rsidRPr="00EF1C10">
        <w:rPr>
          <w:rFonts w:hint="cs"/>
          <w:vertAlign w:val="baseline"/>
          <w:rtl/>
        </w:rPr>
        <w:t>ية،</w:t>
      </w:r>
      <w:r w:rsidRPr="00EF1C10">
        <w:rPr>
          <w:vertAlign w:val="baseline"/>
          <w:rtl/>
        </w:rPr>
        <w:t xml:space="preserve"> بيروت، 1415 هـ، ج9، ص280؛ وقيل عن ثبوتية القصة: " فهذه القصة مشهورة باستفاضة في كتب أهل العلم ، قد رويت من طرق متعددة ، ولكن لا يسلم طريق منها من مقال ، وأصح طرقها طريق عبد الله بن بريدة مرسلا ، ولكن انتشارها وذكرها في كتب أئمة المسلمين وحفاظهم العارفين بالتواريخ والسير ، مع ورودها من تلك الطرق المتعددة يدل على ثبوت أصلها"، </w:t>
      </w:r>
      <w:hyperlink r:id="rId1" w:history="1">
        <w:r w:rsidRPr="007D3110">
          <w:rPr>
            <w:rStyle w:val="Hyperlink"/>
            <w:rFonts w:cs="Arabic Transparent"/>
            <w:color w:val="auto"/>
            <w:u w:val="none"/>
            <w:vertAlign w:val="baseline"/>
          </w:rPr>
          <w:t>https://islamqa.info/ar/201633</w:t>
        </w:r>
      </w:hyperlink>
      <w:r w:rsidRPr="007D3110">
        <w:rPr>
          <w:rFonts w:hint="cs"/>
          <w:vertAlign w:val="baseline"/>
          <w:rtl/>
        </w:rPr>
        <w:t>،</w:t>
      </w:r>
      <w:r w:rsidRPr="007D3110">
        <w:rPr>
          <w:vertAlign w:val="baseline"/>
          <w:rtl/>
        </w:rPr>
        <w:t xml:space="preserve"> 07/03/16، 13:08.</w:t>
      </w:r>
    </w:p>
  </w:footnote>
  <w:footnote w:id="20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أنظر:ابن عابدين، رد المحتار، ج6، ص20.</w:t>
      </w:r>
    </w:p>
  </w:footnote>
  <w:footnote w:id="20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العسقلاني، أحمد بن علي بن حجر أبو الفضل العسقلاني الشافعي (</w:t>
      </w:r>
      <w:r>
        <w:rPr>
          <w:rFonts w:hint="cs"/>
          <w:vertAlign w:val="baseline"/>
          <w:rtl/>
        </w:rPr>
        <w:t>ت</w:t>
      </w:r>
      <w:r>
        <w:rPr>
          <w:vertAlign w:val="baseline"/>
          <w:rtl/>
        </w:rPr>
        <w:t xml:space="preserve"> </w:t>
      </w:r>
      <w:r w:rsidRPr="00EF1C10">
        <w:rPr>
          <w:vertAlign w:val="baseline"/>
          <w:rtl/>
        </w:rPr>
        <w:t xml:space="preserve">856 هـ)، </w:t>
      </w:r>
      <w:r w:rsidRPr="00EF1C10">
        <w:rPr>
          <w:rFonts w:hint="cs"/>
          <w:b/>
          <w:bCs/>
          <w:vertAlign w:val="baseline"/>
          <w:rtl/>
        </w:rPr>
        <w:t>فتح</w:t>
      </w:r>
      <w:r w:rsidRPr="00EF1C10">
        <w:rPr>
          <w:b/>
          <w:bCs/>
          <w:vertAlign w:val="baseline"/>
          <w:rtl/>
        </w:rPr>
        <w:t xml:space="preserve"> الباري شرح صحيح البخاري</w:t>
      </w:r>
      <w:r w:rsidRPr="00EF1C10">
        <w:rPr>
          <w:rFonts w:hint="cs"/>
          <w:vertAlign w:val="baseline"/>
          <w:rtl/>
        </w:rPr>
        <w:t>،</w:t>
      </w:r>
      <w:r w:rsidRPr="00EF1C10">
        <w:rPr>
          <w:vertAlign w:val="baseline"/>
          <w:rtl/>
        </w:rPr>
        <w:t xml:space="preserve"> رقم كتبه وأبوابه وأحاديثه: محمد فؤاد عبد الباقي، قام بإخراجه وصححه وأشرف على طبعه: محب الدين الخطيب، عليه تعليقات العلامة: عبد العزيز بن عبد الله بن باز، بيروت، دار المعرفة،</w:t>
      </w:r>
      <w:r>
        <w:rPr>
          <w:vertAlign w:val="baseline"/>
          <w:rtl/>
        </w:rPr>
        <w:t xml:space="preserve"> 1379هـ،</w:t>
      </w:r>
      <w:r w:rsidRPr="00EF1C10">
        <w:rPr>
          <w:vertAlign w:val="baseline"/>
          <w:rtl/>
        </w:rPr>
        <w:t xml:space="preserve"> ، كتاب: فضائل القرآن، رقم الحديث: 4996</w:t>
      </w:r>
      <w:r>
        <w:rPr>
          <w:rFonts w:hint="cs"/>
          <w:vertAlign w:val="baseline"/>
          <w:rtl/>
        </w:rPr>
        <w:t>،</w:t>
      </w:r>
      <w:r w:rsidRPr="00EF1C10">
        <w:rPr>
          <w:rFonts w:hint="cs"/>
          <w:vertAlign w:val="baseline"/>
          <w:rtl/>
        </w:rPr>
        <w:t>ج</w:t>
      </w:r>
      <w:r w:rsidRPr="00EF1C10">
        <w:rPr>
          <w:vertAlign w:val="baseline"/>
          <w:rtl/>
        </w:rPr>
        <w:t>9، ص11</w:t>
      </w:r>
      <w:r>
        <w:rPr>
          <w:vertAlign w:val="baseline"/>
          <w:rtl/>
        </w:rPr>
        <w:t>.</w:t>
      </w:r>
    </w:p>
  </w:footnote>
  <w:footnote w:id="202">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ابن عابدين، رد المحتار، ج1، ص152.</w:t>
      </w:r>
    </w:p>
  </w:footnote>
  <w:footnote w:id="20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العسقلاني،</w:t>
      </w:r>
      <w:r>
        <w:rPr>
          <w:vertAlign w:val="baseline"/>
          <w:rtl/>
        </w:rPr>
        <w:t xml:space="preserve"> فتح الباري، رقم الحديث: 4997، </w:t>
      </w:r>
      <w:r w:rsidRPr="00EF1C10">
        <w:rPr>
          <w:rFonts w:hint="cs"/>
          <w:vertAlign w:val="baseline"/>
          <w:rtl/>
        </w:rPr>
        <w:t>كتاب</w:t>
      </w:r>
      <w:r w:rsidRPr="00EF1C10">
        <w:rPr>
          <w:vertAlign w:val="baseline"/>
          <w:rtl/>
        </w:rPr>
        <w:t>: فضائل القرآن، رقم الحديث: 4996</w:t>
      </w:r>
      <w:r>
        <w:rPr>
          <w:rFonts w:hint="cs"/>
          <w:vertAlign w:val="baseline"/>
          <w:rtl/>
        </w:rPr>
        <w:t>،</w:t>
      </w:r>
      <w:r w:rsidRPr="00EF1C10">
        <w:rPr>
          <w:rFonts w:hint="cs"/>
          <w:vertAlign w:val="baseline"/>
          <w:rtl/>
        </w:rPr>
        <w:t>ج</w:t>
      </w:r>
      <w:r w:rsidRPr="00EF1C10">
        <w:rPr>
          <w:vertAlign w:val="baseline"/>
          <w:rtl/>
        </w:rPr>
        <w:t>9، ص11</w:t>
      </w:r>
      <w:r>
        <w:rPr>
          <w:vertAlign w:val="baseline"/>
          <w:rtl/>
        </w:rPr>
        <w:t>.</w:t>
      </w:r>
    </w:p>
  </w:footnote>
  <w:footnote w:id="204">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ج1، ص152.</w:t>
      </w:r>
    </w:p>
  </w:footnote>
  <w:footnote w:id="20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منظور، لسان العرب، ج5، ص3793.</w:t>
      </w:r>
    </w:p>
  </w:footnote>
  <w:footnote w:id="20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الآمدي، أبو الحسن سيد الدين علي بن أبي علي بن محمد بن سالم الثعلبي الآمدي ( 631 هـ)، </w:t>
      </w:r>
      <w:r w:rsidRPr="00EF1C10">
        <w:rPr>
          <w:rFonts w:hint="cs"/>
          <w:b/>
          <w:bCs/>
          <w:vertAlign w:val="baseline"/>
          <w:rtl/>
        </w:rPr>
        <w:t>الإحكام</w:t>
      </w:r>
      <w:r w:rsidRPr="00EF1C10">
        <w:rPr>
          <w:b/>
          <w:bCs/>
          <w:vertAlign w:val="baseline"/>
          <w:rtl/>
        </w:rPr>
        <w:t xml:space="preserve"> في أصول الأحكام</w:t>
      </w:r>
      <w:r w:rsidRPr="00EF1C10">
        <w:rPr>
          <w:rFonts w:hint="cs"/>
          <w:vertAlign w:val="baseline"/>
          <w:rtl/>
        </w:rPr>
        <w:t>،</w:t>
      </w:r>
      <w:r w:rsidRPr="00EF1C10">
        <w:rPr>
          <w:vertAlign w:val="baseline"/>
          <w:rtl/>
        </w:rPr>
        <w:t xml:space="preserve"> علّق عليه عبد الرزاق عفيفي، ط1،</w:t>
      </w:r>
      <w:r>
        <w:rPr>
          <w:vertAlign w:val="baseline"/>
          <w:rtl/>
        </w:rPr>
        <w:t xml:space="preserve"> الرياض، دار الصميعي،</w:t>
      </w:r>
      <w:r w:rsidRPr="00EF1C10">
        <w:rPr>
          <w:vertAlign w:val="baseline"/>
          <w:rtl/>
        </w:rPr>
        <w:t xml:space="preserve"> 2003م،ج3، ص237.</w:t>
      </w:r>
    </w:p>
  </w:footnote>
  <w:footnote w:id="20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الرازي،  أبو عبد الله محمد بن عمر بن الحسن بن الحسين التيمي الرازي الملقب بفخر الدين الرازي خطيب الري (ت 606هـ)، </w:t>
      </w:r>
      <w:r w:rsidRPr="00EF1C10">
        <w:rPr>
          <w:rFonts w:hint="cs"/>
          <w:b/>
          <w:bCs/>
          <w:vertAlign w:val="baseline"/>
          <w:rtl/>
        </w:rPr>
        <w:t>المحصول</w:t>
      </w:r>
      <w:r w:rsidRPr="00EF1C10">
        <w:rPr>
          <w:rFonts w:hint="cs"/>
          <w:vertAlign w:val="baseline"/>
          <w:rtl/>
        </w:rPr>
        <w:t>،دراسة</w:t>
      </w:r>
      <w:r w:rsidRPr="00EF1C10">
        <w:rPr>
          <w:vertAlign w:val="baseline"/>
          <w:rtl/>
        </w:rPr>
        <w:t xml:space="preserve"> وتحقيق: الدكتور طه جابر فياض العلواني</w:t>
      </w:r>
      <w:r>
        <w:rPr>
          <w:rFonts w:hint="cs"/>
          <w:vertAlign w:val="baseline"/>
          <w:rtl/>
        </w:rPr>
        <w:t>،</w:t>
      </w:r>
      <w:r>
        <w:rPr>
          <w:vertAlign w:val="baseline"/>
          <w:rtl/>
        </w:rPr>
        <w:t xml:space="preserve"> ط3</w:t>
      </w:r>
      <w:r w:rsidRPr="00EF1C10">
        <w:rPr>
          <w:rFonts w:hint="cs"/>
          <w:vertAlign w:val="baseline"/>
          <w:rtl/>
        </w:rPr>
        <w:t>،</w:t>
      </w:r>
      <w:r w:rsidRPr="00EF1C10">
        <w:rPr>
          <w:vertAlign w:val="baseline"/>
          <w:rtl/>
        </w:rPr>
        <w:t xml:space="preserve"> مؤسسة الرسالة</w:t>
      </w:r>
      <w:r>
        <w:rPr>
          <w:rFonts w:hint="cs"/>
          <w:vertAlign w:val="baseline"/>
          <w:rtl/>
        </w:rPr>
        <w:t>،</w:t>
      </w:r>
      <w:r>
        <w:rPr>
          <w:vertAlign w:val="baseline"/>
          <w:rtl/>
        </w:rPr>
        <w:t xml:space="preserve"> </w:t>
      </w:r>
      <w:r w:rsidRPr="00EF1C10">
        <w:rPr>
          <w:vertAlign w:val="baseline"/>
          <w:rtl/>
        </w:rPr>
        <w:t>1997م، ج5، ص6.</w:t>
      </w:r>
    </w:p>
  </w:footnote>
  <w:footnote w:id="20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الغزالي، </w:t>
      </w:r>
      <w:r w:rsidRPr="00EF1C10">
        <w:rPr>
          <w:rFonts w:hint="cs"/>
          <w:b/>
          <w:bCs/>
          <w:vertAlign w:val="baseline"/>
          <w:rtl/>
        </w:rPr>
        <w:t>المستصفى</w:t>
      </w:r>
      <w:r w:rsidRPr="00EF1C10">
        <w:rPr>
          <w:b/>
          <w:bCs/>
          <w:vertAlign w:val="baseline"/>
          <w:rtl/>
        </w:rPr>
        <w:t xml:space="preserve"> من علم الأصول</w:t>
      </w:r>
      <w:r w:rsidRPr="00EF1C10">
        <w:rPr>
          <w:rFonts w:hint="cs"/>
          <w:vertAlign w:val="baseline"/>
          <w:rtl/>
        </w:rPr>
        <w:t>،</w:t>
      </w:r>
      <w:r w:rsidRPr="00EF1C10">
        <w:rPr>
          <w:vertAlign w:val="baseline"/>
          <w:rtl/>
        </w:rPr>
        <w:t xml:space="preserve"> </w:t>
      </w:r>
      <w:r w:rsidRPr="003A0130">
        <w:rPr>
          <w:rFonts w:hint="cs"/>
          <w:vertAlign w:val="baseline"/>
          <w:rtl/>
        </w:rPr>
        <w:t>تحقيق</w:t>
      </w:r>
      <w:r w:rsidRPr="003A0130">
        <w:rPr>
          <w:vertAlign w:val="baseline"/>
          <w:rtl/>
        </w:rPr>
        <w:t>: محمد عبد السلام عبد الشافي</w:t>
      </w:r>
      <w:r w:rsidRPr="00EF1C10">
        <w:rPr>
          <w:rFonts w:hint="cs"/>
          <w:vertAlign w:val="baseline"/>
          <w:rtl/>
        </w:rPr>
        <w:t>،</w:t>
      </w:r>
      <w:r w:rsidRPr="00EF1C10">
        <w:rPr>
          <w:vertAlign w:val="baseline"/>
          <w:rtl/>
        </w:rPr>
        <w:t xml:space="preserve"> </w:t>
      </w:r>
      <w:r>
        <w:rPr>
          <w:rFonts w:hint="cs"/>
          <w:vertAlign w:val="baseline"/>
          <w:rtl/>
        </w:rPr>
        <w:t>ط</w:t>
      </w:r>
      <w:r>
        <w:rPr>
          <w:vertAlign w:val="baseline"/>
          <w:rtl/>
        </w:rPr>
        <w:t xml:space="preserve">1، </w:t>
      </w:r>
      <w:r w:rsidRPr="003A0130">
        <w:rPr>
          <w:rFonts w:hint="cs"/>
          <w:vertAlign w:val="baseline"/>
          <w:rtl/>
        </w:rPr>
        <w:t>دار</w:t>
      </w:r>
      <w:r w:rsidRPr="003A0130">
        <w:rPr>
          <w:vertAlign w:val="baseline"/>
          <w:rtl/>
        </w:rPr>
        <w:t xml:space="preserve"> الكتب العلمية</w:t>
      </w:r>
      <w:r w:rsidRPr="00EF1C10">
        <w:rPr>
          <w:rFonts w:hint="cs"/>
          <w:vertAlign w:val="baseline"/>
          <w:rtl/>
        </w:rPr>
        <w:t>،</w:t>
      </w:r>
      <w:r>
        <w:rPr>
          <w:vertAlign w:val="baseline"/>
          <w:rtl/>
        </w:rPr>
        <w:t xml:space="preserve"> 1993م،</w:t>
      </w:r>
      <w:r w:rsidRPr="00EF1C10">
        <w:rPr>
          <w:vertAlign w:val="baseline"/>
          <w:rtl/>
        </w:rPr>
        <w:t xml:space="preserve"> ج</w:t>
      </w:r>
      <w:r>
        <w:rPr>
          <w:vertAlign w:val="baseline"/>
          <w:rtl/>
        </w:rPr>
        <w:t>1</w:t>
      </w:r>
      <w:r w:rsidRPr="00EF1C10">
        <w:rPr>
          <w:rFonts w:hint="cs"/>
          <w:vertAlign w:val="baseline"/>
          <w:rtl/>
        </w:rPr>
        <w:t>،</w:t>
      </w:r>
      <w:r w:rsidRPr="00EF1C10">
        <w:rPr>
          <w:vertAlign w:val="baseline"/>
          <w:rtl/>
        </w:rPr>
        <w:t xml:space="preserve"> ص</w:t>
      </w:r>
      <w:r>
        <w:rPr>
          <w:vertAlign w:val="baseline"/>
          <w:rtl/>
        </w:rPr>
        <w:t>280</w:t>
      </w:r>
      <w:r w:rsidRPr="00EF1C10">
        <w:rPr>
          <w:vertAlign w:val="baseline"/>
          <w:rtl/>
        </w:rPr>
        <w:t>.</w:t>
      </w:r>
    </w:p>
  </w:footnote>
  <w:footnote w:id="20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القيم، </w:t>
      </w:r>
      <w:r w:rsidRPr="00EF1C10">
        <w:rPr>
          <w:rFonts w:hint="cs"/>
          <w:b/>
          <w:bCs/>
          <w:vertAlign w:val="baseline"/>
          <w:rtl/>
        </w:rPr>
        <w:t>إعلام</w:t>
      </w:r>
      <w:r w:rsidRPr="00EF1C10">
        <w:rPr>
          <w:b/>
          <w:bCs/>
          <w:vertAlign w:val="baseline"/>
          <w:rtl/>
        </w:rPr>
        <w:t xml:space="preserve"> الموقعين عن رب العالمين</w:t>
      </w:r>
      <w:r w:rsidRPr="00EF1C10">
        <w:rPr>
          <w:rFonts w:hint="cs"/>
          <w:vertAlign w:val="baseline"/>
          <w:rtl/>
        </w:rPr>
        <w:t>،</w:t>
      </w:r>
      <w:r w:rsidRPr="00EF1C10">
        <w:rPr>
          <w:vertAlign w:val="baseline"/>
          <w:rtl/>
        </w:rPr>
        <w:t xml:space="preserve"> تحقيق: محمد عبد السلام إبراهيم، ط1، بيروت، دار الكتب العلمية، 1991م،ج1،ص103.</w:t>
      </w:r>
    </w:p>
  </w:footnote>
  <w:footnote w:id="21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الزرقا، مصطفى أحكد الزرقا، </w:t>
      </w:r>
      <w:r w:rsidRPr="00EF1C10">
        <w:rPr>
          <w:rFonts w:hint="cs"/>
          <w:b/>
          <w:bCs/>
          <w:vertAlign w:val="baseline"/>
          <w:rtl/>
        </w:rPr>
        <w:t>المدخل</w:t>
      </w:r>
      <w:r w:rsidRPr="00EF1C10">
        <w:rPr>
          <w:b/>
          <w:bCs/>
          <w:vertAlign w:val="baseline"/>
          <w:rtl/>
        </w:rPr>
        <w:t xml:space="preserve"> الفقهي العام</w:t>
      </w:r>
      <w:r w:rsidRPr="00EF1C10">
        <w:rPr>
          <w:rFonts w:hint="cs"/>
          <w:vertAlign w:val="baseline"/>
          <w:rtl/>
        </w:rPr>
        <w:t>،</w:t>
      </w:r>
      <w:r w:rsidRPr="00EF1C10">
        <w:rPr>
          <w:vertAlign w:val="baseline"/>
          <w:rtl/>
        </w:rPr>
        <w:t xml:space="preserve"> ط2، ، دمشق، دار القلم</w:t>
      </w:r>
      <w:r>
        <w:rPr>
          <w:rFonts w:hint="cs"/>
          <w:vertAlign w:val="baseline"/>
          <w:rtl/>
        </w:rPr>
        <w:t>،</w:t>
      </w:r>
      <w:r>
        <w:rPr>
          <w:vertAlign w:val="baseline"/>
          <w:rtl/>
        </w:rPr>
        <w:t xml:space="preserve"> </w:t>
      </w:r>
      <w:r w:rsidRPr="00EF1C10">
        <w:rPr>
          <w:vertAlign w:val="baseline"/>
          <w:rtl/>
        </w:rPr>
        <w:t>2004م، ص79.</w:t>
      </w:r>
    </w:p>
  </w:footnote>
  <w:footnote w:id="21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الزرقا،</w:t>
      </w:r>
      <w:r w:rsidRPr="00EF1C10">
        <w:rPr>
          <w:vertAlign w:val="baseline"/>
          <w:rtl/>
        </w:rPr>
        <w:t xml:space="preserve"> المدخل الفقهي العام، ص85.</w:t>
      </w:r>
    </w:p>
  </w:footnote>
  <w:footnote w:id="212">
    <w:p w:rsidR="005F44B2" w:rsidRDefault="005F44B2" w:rsidP="005E3189">
      <w:pPr>
        <w:pStyle w:val="a4"/>
      </w:pPr>
      <w:r>
        <w:rPr>
          <w:rtl/>
        </w:rPr>
        <w:t>(</w:t>
      </w:r>
      <w:r>
        <w:rPr>
          <w:rStyle w:val="FootnoteReference"/>
          <w:rFonts w:cs="Arabic Transparent"/>
        </w:rPr>
        <w:footnoteRef/>
      </w:r>
      <w:r>
        <w:rPr>
          <w:rtl/>
        </w:rPr>
        <w:t>)</w:t>
      </w:r>
      <w:r w:rsidRPr="00896F71">
        <w:rPr>
          <w:rFonts w:hint="cs"/>
          <w:vertAlign w:val="baseline"/>
          <w:rtl/>
        </w:rPr>
        <w:t>الرفاعي،</w:t>
      </w:r>
      <w:r w:rsidRPr="00896F71">
        <w:rPr>
          <w:vertAlign w:val="baseline"/>
          <w:rtl/>
        </w:rPr>
        <w:t xml:space="preserve"> السياسة الشرعية عند الإمام ابن القيم الجوزية، ص</w:t>
      </w:r>
      <w:r>
        <w:rPr>
          <w:vertAlign w:val="baseline"/>
          <w:rtl/>
        </w:rPr>
        <w:t>117.</w:t>
      </w:r>
    </w:p>
  </w:footnote>
  <w:footnote w:id="21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ابن عابدين، رد المحتار، ج1، ص118.</w:t>
      </w:r>
    </w:p>
  </w:footnote>
  <w:footnote w:id="21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سورة البقرة: 219: " يَسْأَلونَكَ عَنِ الْخَمْرِ وَالْمَيْسِرِ قُلْ فِيهِمَا إِثْمٌ كَبِيرٌ وَمَنَافِعُ لِلنَّاسِ وَإِثْمُهُمَا أَكْبَرُ مِنْ نَفْعِهِمَا"،</w:t>
      </w:r>
      <w:r w:rsidRPr="00EF1C10">
        <w:rPr>
          <w:vertAlign w:val="baseline"/>
          <w:rtl/>
        </w:rPr>
        <w:tab/>
        <w:t xml:space="preserve"> سورة المائدة:90: "يَا أَيُّهَا الَّذِينَ آمَنُوا إِنَّمَا الْخَمْرُ وَالْمَيْسِرُ وَالْأَنْصَابُ وَالْأَزْلامُ رِجْسٌ مِنْ عَمَلِ الشَّيْطَانِ فَاجْتَنِبُوهُ لَعَلَّكُمْ تُفْلِحُونَ"</w:t>
      </w:r>
    </w:p>
  </w:footnote>
  <w:footnote w:id="215">
    <w:p w:rsidR="005F44B2" w:rsidRDefault="005F44B2" w:rsidP="00834A46">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منظور، لسان العرب، ج4، ص2479.</w:t>
      </w:r>
    </w:p>
  </w:footnote>
  <w:footnote w:id="216">
    <w:p w:rsidR="005F44B2" w:rsidRDefault="005F44B2" w:rsidP="00834A46">
      <w:pPr>
        <w:pStyle w:val="a4"/>
      </w:pPr>
      <w:r>
        <w:rPr>
          <w:rtl/>
        </w:rPr>
        <w:t>(</w:t>
      </w:r>
      <w:r>
        <w:rPr>
          <w:rStyle w:val="FootnoteReference"/>
          <w:rFonts w:cs="Arabic Transparent"/>
        </w:rPr>
        <w:footnoteRef/>
      </w:r>
      <w:r>
        <w:rPr>
          <w:rtl/>
        </w:rPr>
        <w:t>)</w:t>
      </w:r>
      <w:r>
        <w:rPr>
          <w:vertAlign w:val="baseline"/>
          <w:rtl/>
        </w:rPr>
        <w:t xml:space="preserve"> هو </w:t>
      </w:r>
      <w:r w:rsidRPr="00834A46">
        <w:rPr>
          <w:rFonts w:hint="cs"/>
          <w:vertAlign w:val="baseline"/>
          <w:rtl/>
        </w:rPr>
        <w:t>أحمد</w:t>
      </w:r>
      <w:r w:rsidRPr="00834A46">
        <w:rPr>
          <w:vertAlign w:val="baseline"/>
          <w:rtl/>
        </w:rPr>
        <w:t xml:space="preserve"> بن علي بن ب</w:t>
      </w:r>
      <w:r>
        <w:rPr>
          <w:rFonts w:hint="cs"/>
          <w:vertAlign w:val="baseline"/>
          <w:rtl/>
        </w:rPr>
        <w:t>َ</w:t>
      </w:r>
      <w:r w:rsidRPr="00834A46">
        <w:rPr>
          <w:rFonts w:hint="cs"/>
          <w:vertAlign w:val="baseline"/>
          <w:rtl/>
        </w:rPr>
        <w:t>رهان</w:t>
      </w:r>
      <w:r w:rsidRPr="00834A46">
        <w:rPr>
          <w:vertAlign w:val="baseline"/>
          <w:rtl/>
        </w:rPr>
        <w:t xml:space="preserve"> (479 - </w:t>
      </w:r>
      <w:r>
        <w:rPr>
          <w:vertAlign w:val="baseline"/>
          <w:rtl/>
        </w:rPr>
        <w:t>520</w:t>
      </w:r>
      <w:r w:rsidRPr="00834A46">
        <w:rPr>
          <w:vertAlign w:val="baseline"/>
          <w:rtl/>
        </w:rPr>
        <w:t xml:space="preserve"> هـ = 1087 - 1124 م)</w:t>
      </w:r>
      <w:r>
        <w:rPr>
          <w:rFonts w:hint="cs"/>
          <w:vertAlign w:val="baseline"/>
          <w:rtl/>
        </w:rPr>
        <w:t>،</w:t>
      </w:r>
      <w:r w:rsidRPr="00834A46">
        <w:rPr>
          <w:vertAlign w:val="baseline"/>
          <w:rtl/>
        </w:rPr>
        <w:t xml:space="preserve"> ف</w:t>
      </w:r>
      <w:r>
        <w:rPr>
          <w:rFonts w:hint="cs"/>
          <w:vertAlign w:val="baseline"/>
          <w:rtl/>
        </w:rPr>
        <w:t>قيه</w:t>
      </w:r>
      <w:r>
        <w:rPr>
          <w:vertAlign w:val="baseline"/>
          <w:rtl/>
        </w:rPr>
        <w:t xml:space="preserve"> بغدادي، غلب عليه علم الأصول،</w:t>
      </w:r>
      <w:r w:rsidRPr="00834A46">
        <w:rPr>
          <w:vertAlign w:val="baseline"/>
          <w:rtl/>
        </w:rPr>
        <w:t xml:space="preserve"> كان يضرب به المثل في حل الإشكا</w:t>
      </w:r>
      <w:r>
        <w:rPr>
          <w:rFonts w:hint="cs"/>
          <w:vertAlign w:val="baseline"/>
          <w:rtl/>
        </w:rPr>
        <w:t>ل،</w:t>
      </w:r>
      <w:r w:rsidRPr="00834A46">
        <w:rPr>
          <w:vertAlign w:val="baseline"/>
          <w:rtl/>
        </w:rPr>
        <w:t xml:space="preserve"> من تصانيفه </w:t>
      </w:r>
      <w:r>
        <w:rPr>
          <w:rFonts w:hint="cs"/>
          <w:vertAlign w:val="baseline"/>
          <w:rtl/>
        </w:rPr>
        <w:t>البسيط</w:t>
      </w:r>
      <w:r w:rsidRPr="00834A46">
        <w:rPr>
          <w:vertAlign w:val="baseline"/>
          <w:rtl/>
        </w:rPr>
        <w:t xml:space="preserve"> والوسيط والوجيز في الفقه والأصول</w:t>
      </w:r>
      <w:r>
        <w:rPr>
          <w:rFonts w:hint="cs"/>
          <w:vertAlign w:val="baseline"/>
          <w:rtl/>
        </w:rPr>
        <w:t>،</w:t>
      </w:r>
      <w:r>
        <w:rPr>
          <w:vertAlign w:val="baseline"/>
          <w:rtl/>
        </w:rPr>
        <w:t xml:space="preserve"> </w:t>
      </w:r>
      <w:r w:rsidRPr="00834A46">
        <w:rPr>
          <w:rFonts w:hint="cs"/>
          <w:vertAlign w:val="baseline"/>
          <w:rtl/>
        </w:rPr>
        <w:t>مولده</w:t>
      </w:r>
      <w:r w:rsidRPr="00834A46">
        <w:rPr>
          <w:vertAlign w:val="baseline"/>
          <w:rtl/>
        </w:rPr>
        <w:t xml:space="preserve"> ووفاته ببغداد</w:t>
      </w:r>
      <w:r>
        <w:rPr>
          <w:vertAlign w:val="baseline"/>
          <w:rtl/>
        </w:rPr>
        <w:t>. الزركلي، الأعلام، ج1، ص173.</w:t>
      </w:r>
    </w:p>
  </w:footnote>
  <w:footnote w:id="21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الشوكاني، </w:t>
      </w:r>
      <w:r w:rsidRPr="00E73E6C">
        <w:rPr>
          <w:rFonts w:hint="cs"/>
          <w:vertAlign w:val="baseline"/>
          <w:rtl/>
        </w:rPr>
        <w:t>إرشاد</w:t>
      </w:r>
      <w:r w:rsidRPr="00E73E6C">
        <w:rPr>
          <w:vertAlign w:val="baseline"/>
          <w:rtl/>
        </w:rPr>
        <w:t xml:space="preserve"> الفحول</w:t>
      </w:r>
      <w:r>
        <w:rPr>
          <w:rFonts w:hint="cs"/>
          <w:vertAlign w:val="baseline"/>
          <w:rtl/>
        </w:rPr>
        <w:t>،،</w:t>
      </w:r>
      <w:r>
        <w:rPr>
          <w:vertAlign w:val="baseline"/>
          <w:rtl/>
        </w:rPr>
        <w:t xml:space="preserve"> ج2، ص184.</w:t>
      </w:r>
    </w:p>
  </w:footnote>
  <w:footnote w:id="21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الغزالي،</w:t>
      </w:r>
      <w:r w:rsidRPr="00EF1C10">
        <w:rPr>
          <w:vertAlign w:val="baseline"/>
          <w:rtl/>
        </w:rPr>
        <w:t xml:space="preserve"> المستصفى من علم الأصول، ج2، ص490.</w:t>
      </w:r>
    </w:p>
  </w:footnote>
  <w:footnote w:id="21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الآمدي،الاحكام، ج3، ص357.</w:t>
      </w:r>
    </w:p>
  </w:footnote>
  <w:footnote w:id="22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ابن عابدين، رد المحتار، ج6، ص107.</w:t>
      </w:r>
    </w:p>
  </w:footnote>
  <w:footnote w:id="221">
    <w:p w:rsidR="005F44B2" w:rsidRDefault="005F44B2" w:rsidP="006D59AD">
      <w:pPr>
        <w:pStyle w:val="a4"/>
        <w:spacing w:line="312" w:lineRule="auto"/>
      </w:pPr>
      <w:r>
        <w:rPr>
          <w:rtl/>
        </w:rPr>
        <w:t>(</w:t>
      </w:r>
      <w:r>
        <w:rPr>
          <w:rStyle w:val="FootnoteReference"/>
          <w:rFonts w:cs="Arabic Transparent"/>
        </w:rPr>
        <w:footnoteRef/>
      </w:r>
      <w:r>
        <w:rPr>
          <w:rtl/>
        </w:rPr>
        <w:t>)</w:t>
      </w:r>
      <w:r w:rsidRPr="00A54CC3">
        <w:rPr>
          <w:rFonts w:hint="cs"/>
          <w:vertAlign w:val="baseline"/>
          <w:rtl/>
        </w:rPr>
        <w:t>هو</w:t>
      </w:r>
      <w:r w:rsidRPr="00A54CC3">
        <w:rPr>
          <w:vertAlign w:val="baseline"/>
          <w:rtl/>
        </w:rPr>
        <w:t xml:space="preserve"> تسويد وجه شاهد زور.</w:t>
      </w:r>
    </w:p>
  </w:footnote>
  <w:footnote w:id="22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ابن عابدين، رد المحتار، ج6، ص136.</w:t>
      </w:r>
    </w:p>
  </w:footnote>
  <w:footnote w:id="22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منظور، لسان العرب، ج3، ص1968.</w:t>
      </w:r>
    </w:p>
  </w:footnote>
  <w:footnote w:id="22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منظور، لسان العرب، ج3، ص1498.</w:t>
      </w:r>
    </w:p>
  </w:footnote>
  <w:footnote w:id="22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الشاطبي، الموافقات، ج5، ص183.</w:t>
      </w:r>
    </w:p>
  </w:footnote>
  <w:footnote w:id="22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القرافي، أبو العباس شهاب الدين أحمد بن إدريس بن عبد الرحمن المالكي الشهير بالقرافي ( 684هـ)،  </w:t>
      </w:r>
      <w:r w:rsidRPr="00EF1C10">
        <w:rPr>
          <w:rFonts w:hint="cs"/>
          <w:b/>
          <w:bCs/>
          <w:vertAlign w:val="baseline"/>
          <w:rtl/>
        </w:rPr>
        <w:t>الفروق</w:t>
      </w:r>
      <w:r w:rsidRPr="00EF1C10">
        <w:rPr>
          <w:b/>
          <w:bCs/>
          <w:vertAlign w:val="baseline"/>
          <w:rtl/>
        </w:rPr>
        <w:t xml:space="preserve"> = أنوار البروق في أنواء الفروق</w:t>
      </w:r>
      <w:r w:rsidRPr="00EF1C10">
        <w:rPr>
          <w:rFonts w:hint="cs"/>
          <w:vertAlign w:val="baseline"/>
          <w:rtl/>
        </w:rPr>
        <w:t>،</w:t>
      </w:r>
      <w:r w:rsidRPr="00EF1C10">
        <w:rPr>
          <w:vertAlign w:val="baseline"/>
          <w:rtl/>
        </w:rPr>
        <w:t xml:space="preserve"> ضبطه وصححه خليل المنصور، ط1،  بيروت،دار كتب العلمية، 1998</w:t>
      </w:r>
      <w:r>
        <w:rPr>
          <w:rFonts w:hint="cs"/>
          <w:vertAlign w:val="baseline"/>
          <w:rtl/>
        </w:rPr>
        <w:t>م</w:t>
      </w:r>
      <w:r w:rsidRPr="00EF1C10">
        <w:rPr>
          <w:rFonts w:hint="cs"/>
          <w:vertAlign w:val="baseline"/>
          <w:rtl/>
        </w:rPr>
        <w:t>،ج</w:t>
      </w:r>
      <w:r w:rsidRPr="00EF1C10">
        <w:rPr>
          <w:vertAlign w:val="baseline"/>
          <w:rtl/>
        </w:rPr>
        <w:t>2، ص59.</w:t>
      </w:r>
    </w:p>
  </w:footnote>
  <w:footnote w:id="22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القيم، اعلام، ج3، ص109.</w:t>
      </w:r>
    </w:p>
  </w:footnote>
  <w:footnote w:id="22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الشوكاني ارشاد الفحول، 2ج، </w:t>
      </w:r>
      <w:r>
        <w:rPr>
          <w:rFonts w:hint="cs"/>
          <w:vertAlign w:val="baseline"/>
          <w:rtl/>
        </w:rPr>
        <w:t>ص</w:t>
      </w:r>
      <w:r>
        <w:rPr>
          <w:vertAlign w:val="baseline"/>
          <w:rtl/>
        </w:rPr>
        <w:t>193</w:t>
      </w:r>
      <w:r w:rsidRPr="00EF1C10">
        <w:rPr>
          <w:vertAlign w:val="baseline"/>
          <w:rtl/>
        </w:rPr>
        <w:t>.</w:t>
      </w:r>
    </w:p>
  </w:footnote>
  <w:footnote w:id="22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عابدين، رد المحتار، ج6، ص548.</w:t>
      </w:r>
    </w:p>
  </w:footnote>
  <w:footnote w:id="230">
    <w:p w:rsidR="005F44B2" w:rsidRDefault="005F44B2" w:rsidP="006D59AD">
      <w:pPr>
        <w:pStyle w:val="a4"/>
        <w:spacing w:line="312" w:lineRule="auto"/>
      </w:pPr>
      <w:r w:rsidRPr="00B300C3">
        <w:rPr>
          <w:rtl/>
        </w:rPr>
        <w:t>(</w:t>
      </w:r>
      <w:r w:rsidRPr="00B300C3">
        <w:rPr>
          <w:rStyle w:val="FootnoteReference"/>
          <w:rFonts w:cs="Arabic Transparent"/>
        </w:rPr>
        <w:footnoteRef/>
      </w:r>
      <w:r w:rsidRPr="00B300C3">
        <w:rPr>
          <w:rtl/>
        </w:rPr>
        <w:t>)</w:t>
      </w:r>
      <w:r>
        <w:rPr>
          <w:vertAlign w:val="baseline"/>
          <w:rtl/>
        </w:rPr>
        <w:t xml:space="preserve"> فتحي الدريني، خصائص، ص164.</w:t>
      </w:r>
    </w:p>
  </w:footnote>
  <w:footnote w:id="23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منظور، لسان العرب، ج3، ص879.</w:t>
      </w:r>
    </w:p>
  </w:footnote>
  <w:footnote w:id="23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الآمدي،الاحكام، ج4، ص157.</w:t>
      </w:r>
    </w:p>
  </w:footnote>
  <w:footnote w:id="23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rFonts w:hint="cs"/>
          <w:vertAlign w:val="baseline"/>
          <w:rtl/>
        </w:rPr>
        <w:t>ال</w:t>
      </w:r>
      <w:r w:rsidRPr="00EF1C10">
        <w:rPr>
          <w:rFonts w:hint="cs"/>
          <w:vertAlign w:val="baseline"/>
          <w:rtl/>
        </w:rPr>
        <w:t>سرخسي،</w:t>
      </w:r>
      <w:r w:rsidRPr="00EF1C10">
        <w:rPr>
          <w:vertAlign w:val="baseline"/>
          <w:rtl/>
        </w:rPr>
        <w:t xml:space="preserve"> محمد بن أحمد بن أبي سهل شمس الأئمة السرخسي (483هـ)، </w:t>
      </w:r>
      <w:r w:rsidRPr="00EF1C10">
        <w:rPr>
          <w:rFonts w:hint="cs"/>
          <w:b/>
          <w:bCs/>
          <w:vertAlign w:val="baseline"/>
          <w:rtl/>
        </w:rPr>
        <w:t>أصول</w:t>
      </w:r>
      <w:r w:rsidRPr="00EF1C10">
        <w:rPr>
          <w:b/>
          <w:bCs/>
          <w:vertAlign w:val="baseline"/>
          <w:rtl/>
        </w:rPr>
        <w:t xml:space="preserve"> السرخسي</w:t>
      </w:r>
      <w:r w:rsidRPr="00EF1C10">
        <w:rPr>
          <w:rFonts w:hint="cs"/>
          <w:vertAlign w:val="baseline"/>
          <w:rtl/>
        </w:rPr>
        <w:t>،</w:t>
      </w:r>
      <w:r w:rsidRPr="00EF1C10">
        <w:rPr>
          <w:vertAlign w:val="baseline"/>
          <w:rtl/>
        </w:rPr>
        <w:t xml:space="preserve"> </w:t>
      </w:r>
      <w:r w:rsidRPr="00EF1C10">
        <w:rPr>
          <w:rFonts w:hint="cs"/>
          <w:vertAlign w:val="baseline"/>
          <w:rtl/>
        </w:rPr>
        <w:t>تحقيق</w:t>
      </w:r>
      <w:r w:rsidRPr="00EF1C10">
        <w:rPr>
          <w:vertAlign w:val="baseline"/>
          <w:rtl/>
        </w:rPr>
        <w:t xml:space="preserve"> أبو الوفا الأفغاني، ط1، 1993م، بيروت، دار كتب العلمية، ج2، ص200.</w:t>
      </w:r>
    </w:p>
  </w:footnote>
  <w:footnote w:id="23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الآمدي،الاحكام،</w:t>
      </w:r>
      <w:r w:rsidRPr="00EF1C10">
        <w:rPr>
          <w:vertAlign w:val="baseline"/>
          <w:rtl/>
        </w:rPr>
        <w:t xml:space="preserve"> ج4، ص158.</w:t>
      </w:r>
    </w:p>
  </w:footnote>
  <w:footnote w:id="23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البخاري، عبد العزيز بن أحمد بن محمد، علاء الدين البخ</w:t>
      </w:r>
      <w:r w:rsidRPr="00EF1C10">
        <w:rPr>
          <w:rFonts w:hint="cs"/>
          <w:vertAlign w:val="baseline"/>
          <w:rtl/>
        </w:rPr>
        <w:t>اري</w:t>
      </w:r>
      <w:r w:rsidRPr="00EF1C10">
        <w:rPr>
          <w:vertAlign w:val="baseline"/>
          <w:rtl/>
        </w:rPr>
        <w:t xml:space="preserve"> الحنفي (</w:t>
      </w:r>
      <w:r>
        <w:rPr>
          <w:vertAlign w:val="baseline"/>
          <w:rtl/>
        </w:rPr>
        <w:t xml:space="preserve"> ت</w:t>
      </w:r>
      <w:r w:rsidRPr="00EF1C10">
        <w:rPr>
          <w:vertAlign w:val="baseline"/>
          <w:rtl/>
        </w:rPr>
        <w:t xml:space="preserve"> 730هـ )، </w:t>
      </w:r>
      <w:r w:rsidRPr="00EF1C10">
        <w:rPr>
          <w:rFonts w:hint="cs"/>
          <w:b/>
          <w:bCs/>
          <w:vertAlign w:val="baseline"/>
          <w:rtl/>
        </w:rPr>
        <w:t>كشف</w:t>
      </w:r>
      <w:r w:rsidRPr="00EF1C10">
        <w:rPr>
          <w:b/>
          <w:bCs/>
          <w:vertAlign w:val="baseline"/>
          <w:rtl/>
        </w:rPr>
        <w:t xml:space="preserve"> الأسرار شرح أصول البزدوي</w:t>
      </w:r>
      <w:r w:rsidRPr="00EF1C10">
        <w:rPr>
          <w:rFonts w:hint="cs"/>
          <w:vertAlign w:val="baseline"/>
          <w:rtl/>
        </w:rPr>
        <w:t>،</w:t>
      </w:r>
      <w:r w:rsidRPr="00EF1C10">
        <w:rPr>
          <w:vertAlign w:val="baseline"/>
          <w:rtl/>
        </w:rPr>
        <w:t xml:space="preserve"> تحقيق: عبد الله محمد عمر، ط1، ، بيروت، دار كتب العلمية</w:t>
      </w:r>
      <w:r>
        <w:rPr>
          <w:rFonts w:hint="cs"/>
          <w:vertAlign w:val="baseline"/>
          <w:rtl/>
        </w:rPr>
        <w:t>،</w:t>
      </w:r>
      <w:r>
        <w:rPr>
          <w:vertAlign w:val="baseline"/>
          <w:rtl/>
        </w:rPr>
        <w:t xml:space="preserve"> </w:t>
      </w:r>
      <w:r w:rsidRPr="00EF1C10">
        <w:rPr>
          <w:vertAlign w:val="baseline"/>
          <w:rtl/>
        </w:rPr>
        <w:t>1997م، ج4، ص5.</w:t>
      </w:r>
    </w:p>
  </w:footnote>
  <w:footnote w:id="23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قدامة، أبو محمد موفق الدين عبد الله بن أحمد بن محمد بن قدامة الجماعيلي المقدسي ثم الدمشقي الحنبلي، الشهير بابن قدامة المقدسي (620هـ)، </w:t>
      </w:r>
      <w:r w:rsidRPr="00EF1C10">
        <w:rPr>
          <w:rFonts w:hint="cs"/>
          <w:b/>
          <w:bCs/>
          <w:vertAlign w:val="baseline"/>
          <w:rtl/>
        </w:rPr>
        <w:t>روضة</w:t>
      </w:r>
      <w:r w:rsidRPr="00EF1C10">
        <w:rPr>
          <w:b/>
          <w:bCs/>
          <w:vertAlign w:val="baseline"/>
          <w:rtl/>
        </w:rPr>
        <w:t xml:space="preserve"> الناظر وجنة المناظر في أصول الفقه على مذهب الإمام أحمد بن حنبل</w:t>
      </w:r>
      <w:r w:rsidRPr="00EF1C10">
        <w:rPr>
          <w:rFonts w:hint="cs"/>
          <w:vertAlign w:val="baseline"/>
          <w:rtl/>
        </w:rPr>
        <w:t>،</w:t>
      </w:r>
      <w:r w:rsidRPr="00EF1C10">
        <w:rPr>
          <w:vertAlign w:val="baseline"/>
          <w:rtl/>
        </w:rPr>
        <w:t xml:space="preserve"> تحقيق: عبد الرحمن بن علي بن محمد النملة</w:t>
      </w:r>
      <w:r>
        <w:rPr>
          <w:rFonts w:hint="cs"/>
          <w:vertAlign w:val="baseline"/>
          <w:rtl/>
        </w:rPr>
        <w:t>،</w:t>
      </w:r>
      <w:r>
        <w:rPr>
          <w:vertAlign w:val="baseline"/>
          <w:rtl/>
        </w:rPr>
        <w:t xml:space="preserve"> ط1</w:t>
      </w:r>
      <w:r w:rsidRPr="00EF1C10">
        <w:rPr>
          <w:rFonts w:hint="cs"/>
          <w:vertAlign w:val="baseline"/>
          <w:rtl/>
        </w:rPr>
        <w:t>،الرياض،</w:t>
      </w:r>
      <w:r w:rsidRPr="00EF1C10">
        <w:rPr>
          <w:vertAlign w:val="baseline"/>
          <w:rtl/>
        </w:rPr>
        <w:t xml:space="preserve"> دار مكتبة الرشد</w:t>
      </w:r>
      <w:r>
        <w:rPr>
          <w:rFonts w:hint="cs"/>
          <w:vertAlign w:val="baseline"/>
          <w:rtl/>
        </w:rPr>
        <w:t>،</w:t>
      </w:r>
      <w:r>
        <w:rPr>
          <w:vertAlign w:val="baseline"/>
          <w:rtl/>
        </w:rPr>
        <w:t xml:space="preserve"> </w:t>
      </w:r>
      <w:r w:rsidRPr="00EF1C10">
        <w:rPr>
          <w:vertAlign w:val="baseline"/>
          <w:rtl/>
        </w:rPr>
        <w:t>1993م، ج2، ص</w:t>
      </w:r>
      <w:r w:rsidRPr="00EF1C10">
        <w:rPr>
          <w:vertAlign w:val="baseline"/>
        </w:rPr>
        <w:t xml:space="preserve">531 </w:t>
      </w:r>
      <w:r w:rsidRPr="00EF1C10">
        <w:rPr>
          <w:vertAlign w:val="baseline"/>
          <w:rtl/>
        </w:rPr>
        <w:t>.</w:t>
      </w:r>
    </w:p>
  </w:footnote>
  <w:footnote w:id="23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التفت</w:t>
      </w:r>
      <w:r>
        <w:rPr>
          <w:rFonts w:hint="cs"/>
          <w:vertAlign w:val="baseline"/>
          <w:rtl/>
        </w:rPr>
        <w:t>ا</w:t>
      </w:r>
      <w:r w:rsidRPr="00EF1C10">
        <w:rPr>
          <w:rFonts w:hint="cs"/>
          <w:vertAlign w:val="baseline"/>
          <w:rtl/>
        </w:rPr>
        <w:t>زاني،</w:t>
      </w:r>
      <w:r w:rsidRPr="00EF1C10">
        <w:rPr>
          <w:vertAlign w:val="baseline"/>
          <w:rtl/>
        </w:rPr>
        <w:t xml:space="preserve"> شرح التلويح، 2---163</w:t>
      </w:r>
    </w:p>
  </w:footnote>
  <w:footnote w:id="23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البخاري، كشف الأسرار، ج4، ص4.</w:t>
      </w:r>
    </w:p>
  </w:footnote>
  <w:footnote w:id="23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عابدين، رد المحتار، ج1، ص 377.</w:t>
      </w:r>
    </w:p>
  </w:footnote>
  <w:footnote w:id="240">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كيلاني، عبد الرحمن، قسم فقه وأصوله، كلية الشريعة، الجامعة الأردنية،</w:t>
      </w:r>
      <w:r w:rsidRPr="00D17AB3">
        <w:rPr>
          <w:b/>
          <w:bCs/>
          <w:vertAlign w:val="baseline"/>
          <w:rtl/>
        </w:rPr>
        <w:t xml:space="preserve"> التطبيق المقاصديللأحكام الشرعيةحقيقته- حجيته- مرتكزاتهمنشور المجلة الأردنية ي الدراساتالإسلامية</w:t>
      </w:r>
      <w:r>
        <w:rPr>
          <w:rFonts w:hint="cs"/>
          <w:vertAlign w:val="baseline"/>
          <w:rtl/>
        </w:rPr>
        <w:t>،</w:t>
      </w:r>
      <w:r>
        <w:rPr>
          <w:vertAlign w:val="baseline"/>
          <w:rtl/>
        </w:rPr>
        <w:t xml:space="preserve"> ص20.</w:t>
      </w:r>
    </w:p>
  </w:footnote>
  <w:footnote w:id="24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عابدين، مجموعة الرسائل، نشر العرف، ج2، ص114.</w:t>
      </w:r>
    </w:p>
  </w:footnote>
  <w:footnote w:id="24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w:t>
      </w:r>
      <w:r w:rsidRPr="00EF1C10">
        <w:rPr>
          <w:rFonts w:hint="cs"/>
          <w:vertAlign w:val="baseline"/>
          <w:rtl/>
        </w:rPr>
        <w:t>لسابق</w:t>
      </w:r>
    </w:p>
  </w:footnote>
  <w:footnote w:id="24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السابق</w:t>
      </w:r>
    </w:p>
  </w:footnote>
  <w:footnote w:id="24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السابق</w:t>
      </w:r>
    </w:p>
  </w:footnote>
  <w:footnote w:id="24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السابق</w:t>
      </w:r>
    </w:p>
  </w:footnote>
  <w:footnote w:id="24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w:t>
      </w:r>
      <w:r w:rsidRPr="00EF1C10">
        <w:rPr>
          <w:rFonts w:hint="cs"/>
          <w:vertAlign w:val="baseline"/>
          <w:rtl/>
        </w:rPr>
        <w:t>رجع</w:t>
      </w:r>
      <w:r w:rsidRPr="00EF1C10">
        <w:rPr>
          <w:vertAlign w:val="baseline"/>
          <w:rtl/>
        </w:rPr>
        <w:t xml:space="preserve"> السابق</w:t>
      </w:r>
    </w:p>
  </w:footnote>
  <w:footnote w:id="24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السابق،</w:t>
      </w:r>
      <w:r>
        <w:rPr>
          <w:vertAlign w:val="baseline"/>
          <w:rtl/>
        </w:rPr>
        <w:t xml:space="preserve"> ج2،</w:t>
      </w:r>
      <w:r w:rsidRPr="00EF1C10">
        <w:rPr>
          <w:vertAlign w:val="baseline"/>
          <w:rtl/>
        </w:rPr>
        <w:t xml:space="preserve"> ص116.</w:t>
      </w:r>
    </w:p>
  </w:footnote>
  <w:footnote w:id="24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الرفاعي، السياسةالشرعية عند ابن القيم، ص178.</w:t>
      </w:r>
    </w:p>
  </w:footnote>
  <w:footnote w:id="24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عطوة، مدخل السياسة الشرعية، ص177.</w:t>
      </w:r>
    </w:p>
  </w:footnote>
  <w:footnote w:id="25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الرفاعي،</w:t>
      </w:r>
      <w:r w:rsidRPr="00EF1C10">
        <w:rPr>
          <w:vertAlign w:val="baseline"/>
          <w:rtl/>
        </w:rPr>
        <w:t xml:space="preserve"> السياسة الشرعية عند ابن القيم، ص179.</w:t>
      </w:r>
    </w:p>
  </w:footnote>
  <w:footnote w:id="25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ابراهيم</w:t>
      </w:r>
      <w:r w:rsidRPr="00EF1C10">
        <w:rPr>
          <w:vertAlign w:val="baseline"/>
          <w:rtl/>
        </w:rPr>
        <w:t xml:space="preserve"> عبدالرحيم، السياسة الشرعية، ص290.</w:t>
      </w:r>
    </w:p>
  </w:footnote>
  <w:footnote w:id="25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عابدين، مجموعة الرسائل، نشر العرف، ج2، ص137. </w:t>
      </w:r>
    </w:p>
  </w:footnote>
  <w:footnote w:id="25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عابدين، مجموعة الرسائل، نشر العرف، ج2، ص139.</w:t>
      </w:r>
    </w:p>
  </w:footnote>
  <w:footnote w:id="25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أنظر</w:t>
      </w:r>
      <w:r w:rsidRPr="00EF1C10">
        <w:rPr>
          <w:vertAlign w:val="baseline"/>
          <w:rtl/>
        </w:rPr>
        <w:t xml:space="preserve">: تاج، عبد الرحمن، </w:t>
      </w:r>
      <w:r w:rsidRPr="00EF1C10">
        <w:rPr>
          <w:rFonts w:hint="cs"/>
          <w:b/>
          <w:bCs/>
          <w:vertAlign w:val="baseline"/>
          <w:rtl/>
        </w:rPr>
        <w:t>السياسة</w:t>
      </w:r>
      <w:r w:rsidRPr="00EF1C10">
        <w:rPr>
          <w:b/>
          <w:bCs/>
          <w:vertAlign w:val="baseline"/>
          <w:rtl/>
        </w:rPr>
        <w:t xml:space="preserve"> الشرعية والفقه الاسلامي</w:t>
      </w:r>
      <w:r w:rsidRPr="00EF1C10">
        <w:rPr>
          <w:rFonts w:hint="cs"/>
          <w:vertAlign w:val="baseline"/>
          <w:rtl/>
        </w:rPr>
        <w:t>،</w:t>
      </w:r>
      <w:r w:rsidRPr="00EF1C10">
        <w:rPr>
          <w:vertAlign w:val="baseline"/>
          <w:rtl/>
        </w:rPr>
        <w:t xml:space="preserve"> تح</w:t>
      </w:r>
      <w:r>
        <w:rPr>
          <w:rFonts w:hint="cs"/>
          <w:vertAlign w:val="baseline"/>
          <w:rtl/>
        </w:rPr>
        <w:t>رير</w:t>
      </w:r>
      <w:r>
        <w:rPr>
          <w:vertAlign w:val="baseline"/>
          <w:rtl/>
        </w:rPr>
        <w:t xml:space="preserve"> علي احمد خطيب، 1415هـ، ص16</w:t>
      </w:r>
      <w:r w:rsidRPr="00EF1C10">
        <w:rPr>
          <w:rFonts w:hint="cs"/>
          <w:vertAlign w:val="baseline"/>
          <w:rtl/>
        </w:rPr>
        <w:t>؛عطوة،</w:t>
      </w:r>
      <w:r w:rsidRPr="00EF1C10">
        <w:rPr>
          <w:vertAlign w:val="baseline"/>
          <w:rtl/>
        </w:rPr>
        <w:t xml:space="preserve"> مدخل السياسة الشرعية ص72؛ عبد الله بن إبراهيم الناصر، </w:t>
      </w:r>
      <w:r w:rsidRPr="00EF1C10">
        <w:rPr>
          <w:rFonts w:hint="cs"/>
          <w:b/>
          <w:bCs/>
          <w:vertAlign w:val="baseline"/>
          <w:rtl/>
        </w:rPr>
        <w:t>محاضرات</w:t>
      </w:r>
      <w:r w:rsidRPr="00EF1C10">
        <w:rPr>
          <w:b/>
          <w:bCs/>
          <w:vertAlign w:val="baseline"/>
          <w:rtl/>
        </w:rPr>
        <w:t xml:space="preserve"> في السياسة الشرعية، </w:t>
      </w:r>
      <w:r w:rsidRPr="00EF1C10">
        <w:rPr>
          <w:rFonts w:hint="cs"/>
          <w:vertAlign w:val="baseline"/>
          <w:rtl/>
        </w:rPr>
        <w:t>ص</w:t>
      </w:r>
      <w:r w:rsidRPr="00EF1C10">
        <w:rPr>
          <w:vertAlign w:val="baseline"/>
          <w:rtl/>
        </w:rPr>
        <w:t>35؛ الرفاعي، السياسةالشرعية عند ابن القيم، ص200</w:t>
      </w:r>
    </w:p>
  </w:footnote>
  <w:footnote w:id="25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عطوة،</w:t>
      </w:r>
      <w:r w:rsidRPr="00EF1C10">
        <w:rPr>
          <w:vertAlign w:val="baseline"/>
          <w:rtl/>
        </w:rPr>
        <w:t xml:space="preserve"> مدخل السياسة الشرعية ص72.</w:t>
      </w:r>
    </w:p>
  </w:footnote>
  <w:footnote w:id="25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المرجع السابق، ص72.</w:t>
      </w:r>
    </w:p>
  </w:footnote>
  <w:footnote w:id="25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عطوة،</w:t>
      </w:r>
      <w:r w:rsidRPr="00EF1C10">
        <w:rPr>
          <w:vertAlign w:val="baseline"/>
          <w:rtl/>
        </w:rPr>
        <w:t xml:space="preserve"> مدخل السياسة الشرعية ص83، عبد الرحمن تا</w:t>
      </w:r>
      <w:r w:rsidRPr="00EF1C10">
        <w:rPr>
          <w:rFonts w:hint="cs"/>
          <w:vertAlign w:val="baseline"/>
          <w:rtl/>
        </w:rPr>
        <w:t>ج،</w:t>
      </w:r>
      <w:r w:rsidRPr="00EF1C10">
        <w:rPr>
          <w:vertAlign w:val="baseline"/>
          <w:rtl/>
        </w:rPr>
        <w:t xml:space="preserve"> السياسة الشرعية، ص16.</w:t>
      </w:r>
    </w:p>
  </w:footnote>
  <w:footnote w:id="25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عطوة، مدخل السياسة الشرعية ص83.</w:t>
      </w:r>
    </w:p>
  </w:footnote>
  <w:footnote w:id="259">
    <w:p w:rsidR="005F44B2" w:rsidRDefault="005F44B2" w:rsidP="006D59AD">
      <w:pPr>
        <w:pStyle w:val="a4"/>
        <w:spacing w:line="312" w:lineRule="auto"/>
      </w:pPr>
      <w:r>
        <w:rPr>
          <w:rtl/>
        </w:rPr>
        <w:t>(</w:t>
      </w:r>
      <w:r>
        <w:rPr>
          <w:rStyle w:val="FootnoteReference"/>
          <w:rFonts w:cs="Arabic Transparent"/>
        </w:rPr>
        <w:footnoteRef/>
      </w:r>
      <w:r>
        <w:rPr>
          <w:rtl/>
        </w:rPr>
        <w:t>)</w:t>
      </w:r>
      <w:r w:rsidRPr="00EF1C10">
        <w:rPr>
          <w:rFonts w:hint="cs"/>
          <w:vertAlign w:val="baseline"/>
          <w:rtl/>
        </w:rPr>
        <w:t>العسقلاني</w:t>
      </w:r>
      <w:r w:rsidRPr="003074AE">
        <w:rPr>
          <w:rFonts w:hint="cs"/>
          <w:vertAlign w:val="baseline"/>
          <w:rtl/>
        </w:rPr>
        <w:t>،</w:t>
      </w:r>
      <w:r w:rsidRPr="003074AE">
        <w:rPr>
          <w:vertAlign w:val="baseline"/>
          <w:rtl/>
        </w:rPr>
        <w:t xml:space="preserve"> فتح الباري،</w:t>
      </w:r>
      <w:r w:rsidRPr="00EF1C10">
        <w:rPr>
          <w:vertAlign w:val="baseline"/>
          <w:rtl/>
        </w:rPr>
        <w:t xml:space="preserve"> ج9، ص11، كتاب: فضائل القرآن، رقم الحديث: 4996.</w:t>
      </w:r>
    </w:p>
  </w:footnote>
  <w:footnote w:id="260">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البخاري، </w:t>
      </w:r>
      <w:r w:rsidRPr="00D37897">
        <w:rPr>
          <w:rFonts w:hint="cs"/>
          <w:vertAlign w:val="baseline"/>
          <w:rtl/>
        </w:rPr>
        <w:t>صحيح</w:t>
      </w:r>
      <w:r w:rsidRPr="00D37897">
        <w:rPr>
          <w:vertAlign w:val="baseline"/>
          <w:rtl/>
        </w:rPr>
        <w:t xml:space="preserve"> البخاري</w:t>
      </w:r>
      <w:r>
        <w:rPr>
          <w:rFonts w:hint="cs"/>
          <w:vertAlign w:val="baseline"/>
          <w:rtl/>
        </w:rPr>
        <w:t>،</w:t>
      </w:r>
      <w:r>
        <w:rPr>
          <w:vertAlign w:val="baseline"/>
          <w:rtl/>
        </w:rPr>
        <w:t xml:space="preserve"> كتاب الجمعة، باب التأذين عند الخطبة، رقم الحديث 916، ج2، ص9.</w:t>
      </w:r>
    </w:p>
  </w:footnote>
  <w:footnote w:id="26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rFonts w:hint="cs"/>
          <w:vertAlign w:val="baseline"/>
          <w:rtl/>
        </w:rPr>
        <w:t>أنظر</w:t>
      </w:r>
      <w:r>
        <w:rPr>
          <w:vertAlign w:val="baseline"/>
          <w:rtl/>
        </w:rPr>
        <w:t xml:space="preserve">: </w:t>
      </w:r>
      <w:r w:rsidRPr="00EF1C10">
        <w:rPr>
          <w:rFonts w:hint="cs"/>
          <w:vertAlign w:val="baseline"/>
          <w:rtl/>
        </w:rPr>
        <w:t>عطوة،</w:t>
      </w:r>
      <w:r w:rsidRPr="00EF1C10">
        <w:rPr>
          <w:vertAlign w:val="baseline"/>
          <w:rtl/>
        </w:rPr>
        <w:t xml:space="preserve"> مدخل السياسة الشرعية، ص83؛ ع</w:t>
      </w:r>
      <w:r w:rsidRPr="00EF1C10">
        <w:rPr>
          <w:rFonts w:hint="cs"/>
          <w:vertAlign w:val="baseline"/>
          <w:rtl/>
        </w:rPr>
        <w:t>بد</w:t>
      </w:r>
      <w:r w:rsidRPr="00EF1C10">
        <w:rPr>
          <w:vertAlign w:val="baseline"/>
          <w:rtl/>
        </w:rPr>
        <w:t xml:space="preserve"> الرحمن تاج، السياسة الشرعية، ص17.</w:t>
      </w:r>
    </w:p>
  </w:footnote>
  <w:footnote w:id="26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عطوة، مدخل السياسة الشرعية ص86.</w:t>
      </w:r>
    </w:p>
  </w:footnote>
  <w:footnote w:id="26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الزبيدي، </w:t>
      </w:r>
      <w:r w:rsidRPr="00C02C6D">
        <w:rPr>
          <w:rFonts w:hint="cs"/>
          <w:vertAlign w:val="baseline"/>
          <w:rtl/>
        </w:rPr>
        <w:t>أبو</w:t>
      </w:r>
      <w:r w:rsidRPr="00C02C6D">
        <w:rPr>
          <w:vertAlign w:val="baseline"/>
          <w:rtl/>
        </w:rPr>
        <w:t xml:space="preserve"> بكر بن علي بن محمد الحدادي العبادي الزَّبِيدِيّ اليمني الحنفي (المتوفى: 800هـ)</w:t>
      </w:r>
      <w:r>
        <w:rPr>
          <w:rFonts w:hint="cs"/>
          <w:vertAlign w:val="baseline"/>
          <w:rtl/>
        </w:rPr>
        <w:t>،</w:t>
      </w:r>
      <w:r>
        <w:rPr>
          <w:vertAlign w:val="baseline"/>
          <w:rtl/>
        </w:rPr>
        <w:t xml:space="preserve"> </w:t>
      </w:r>
      <w:r w:rsidRPr="00C02C6D">
        <w:rPr>
          <w:rFonts w:hint="cs"/>
          <w:b/>
          <w:bCs/>
          <w:vertAlign w:val="baseline"/>
          <w:rtl/>
        </w:rPr>
        <w:t>الجوهرة</w:t>
      </w:r>
      <w:r w:rsidRPr="00C02C6D">
        <w:rPr>
          <w:b/>
          <w:bCs/>
          <w:vertAlign w:val="baseline"/>
          <w:rtl/>
        </w:rPr>
        <w:t xml:space="preserve"> النيرة</w:t>
      </w:r>
      <w:r>
        <w:rPr>
          <w:rFonts w:hint="cs"/>
          <w:vertAlign w:val="baseline"/>
          <w:rtl/>
        </w:rPr>
        <w:t>،</w:t>
      </w:r>
      <w:r>
        <w:rPr>
          <w:vertAlign w:val="baseline"/>
          <w:rtl/>
        </w:rPr>
        <w:t xml:space="preserve"> ط1، المطبعة ا</w:t>
      </w:r>
      <w:r>
        <w:rPr>
          <w:rFonts w:hint="cs"/>
          <w:vertAlign w:val="baseline"/>
          <w:rtl/>
        </w:rPr>
        <w:t>لخيرية،</w:t>
      </w:r>
      <w:r>
        <w:rPr>
          <w:vertAlign w:val="baseline"/>
          <w:rtl/>
        </w:rPr>
        <w:t xml:space="preserve"> 1322هـ، ج1، ص128.</w:t>
      </w:r>
    </w:p>
  </w:footnote>
  <w:footnote w:id="26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سورة التوبة، الآ</w:t>
      </w:r>
      <w:r w:rsidRPr="00EF1C10">
        <w:rPr>
          <w:rFonts w:hint="cs"/>
          <w:vertAlign w:val="baseline"/>
          <w:rtl/>
        </w:rPr>
        <w:t>ية</w:t>
      </w:r>
      <w:r w:rsidRPr="00EF1C10">
        <w:rPr>
          <w:vertAlign w:val="baseline"/>
          <w:rtl/>
        </w:rPr>
        <w:t xml:space="preserve"> 60.</w:t>
      </w:r>
    </w:p>
  </w:footnote>
  <w:footnote w:id="26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ابن عابدين، رد المحتار، ج2، ص342.</w:t>
      </w:r>
    </w:p>
  </w:footnote>
  <w:footnote w:id="26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عطوة،</w:t>
      </w:r>
      <w:r w:rsidRPr="00EF1C10">
        <w:rPr>
          <w:vertAlign w:val="baseline"/>
          <w:rtl/>
        </w:rPr>
        <w:t xml:space="preserve"> مدخل السياسة الشرعية ص83؛ الرفاعي، السياسة الشرعية عند ابن القيم، ص206.</w:t>
      </w:r>
    </w:p>
  </w:footnote>
  <w:footnote w:id="26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rFonts w:hint="cs"/>
          <w:vertAlign w:val="baseline"/>
          <w:rtl/>
        </w:rPr>
        <w:t>ابن</w:t>
      </w:r>
      <w:r w:rsidRPr="00EF1C10">
        <w:rPr>
          <w:vertAlign w:val="baseline"/>
          <w:rtl/>
        </w:rPr>
        <w:t xml:space="preserve"> عابدين، رد المحتار، ج4، ص15.</w:t>
      </w:r>
    </w:p>
  </w:footnote>
  <w:footnote w:id="268">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سورة المائدة، الآية: 3.</w:t>
      </w:r>
    </w:p>
  </w:footnote>
  <w:footnote w:id="26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مسلم، صحيح مسلم، كتاب الحج، باب 19، حديث 147، رقم الحديث 1218، ص890.</w:t>
      </w:r>
    </w:p>
  </w:footnote>
  <w:footnote w:id="27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الطرابلسي، معين الحكام، ج1، ص169.</w:t>
      </w:r>
    </w:p>
  </w:footnote>
  <w:footnote w:id="27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ص386.</w:t>
      </w:r>
    </w:p>
  </w:footnote>
  <w:footnote w:id="27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"يمكن تعريف حركة </w:t>
      </w:r>
      <w:r w:rsidRPr="00EF1C10">
        <w:rPr>
          <w:rFonts w:hint="cs"/>
          <w:vertAlign w:val="baseline"/>
          <w:rtl/>
        </w:rPr>
        <w:t>التنظيمات</w:t>
      </w:r>
      <w:r w:rsidRPr="00EF1C10">
        <w:rPr>
          <w:vertAlign w:val="baseline"/>
          <w:rtl/>
        </w:rPr>
        <w:t xml:space="preserve"> العثمانية بأنها حركة ثقافيةوإصلاحية حدثت فى الدولة العثمانية ، وللتقارب بين العالمين الإسلامى والمسيحى، وشملتمناحى الحياة كافة فى الديار العثمانية على حساب الحضارةالإسلامية"</w:t>
      </w:r>
      <w:r>
        <w:rPr>
          <w:rFonts w:hint="cs"/>
          <w:vertAlign w:val="baseline"/>
          <w:rtl/>
        </w:rPr>
        <w:t>،</w:t>
      </w:r>
      <w:r w:rsidRPr="00EF1C10">
        <w:rPr>
          <w:rFonts w:hint="cs"/>
          <w:b/>
          <w:bCs/>
          <w:vertAlign w:val="baseline"/>
          <w:rtl/>
        </w:rPr>
        <w:t>الموسوعة</w:t>
      </w:r>
      <w:r w:rsidRPr="00EF1C10">
        <w:rPr>
          <w:b/>
          <w:bCs/>
          <w:vertAlign w:val="baseline"/>
          <w:rtl/>
        </w:rPr>
        <w:t xml:space="preserve"> الموجزة في التاريخ الإسلامي</w:t>
      </w:r>
      <w:r w:rsidRPr="00EF1C10">
        <w:rPr>
          <w:rFonts w:hint="cs"/>
          <w:vertAlign w:val="baseline"/>
          <w:rtl/>
        </w:rPr>
        <w:t>،</w:t>
      </w:r>
      <w:r w:rsidRPr="00EF1C10">
        <w:rPr>
          <w:vertAlign w:val="baseline"/>
          <w:rtl/>
        </w:rPr>
        <w:t xml:space="preserve"> ج8، ص53.</w:t>
      </w:r>
    </w:p>
  </w:footnote>
  <w:footnote w:id="27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EF1C10">
        <w:rPr>
          <w:rFonts w:hint="cs"/>
          <w:vertAlign w:val="baseline"/>
          <w:rtl/>
        </w:rPr>
        <w:t>كلخانة</w:t>
      </w:r>
      <w:r>
        <w:rPr>
          <w:vertAlign w:val="baseline"/>
          <w:rtl/>
        </w:rPr>
        <w:t xml:space="preserve"> (اسم مكان في اسطنبول)،</w:t>
      </w:r>
      <w:r w:rsidRPr="00EF1C10">
        <w:rPr>
          <w:vertAlign w:val="baseline"/>
          <w:rtl/>
        </w:rPr>
        <w:t xml:space="preserve"> تصدر منها القوانين الجديدة التي قرّرها السلطان، وتُقرأ هذه القوانين في كلخانة أمام الشعب. أنظر: المحامي، محمد فريد (بك) ابن أحمد فريد (باشا) ، (ت: 1338هـ)، </w:t>
      </w:r>
      <w:r w:rsidRPr="00EF1C10">
        <w:rPr>
          <w:rFonts w:hint="cs"/>
          <w:b/>
          <w:bCs/>
          <w:vertAlign w:val="baseline"/>
          <w:rtl/>
        </w:rPr>
        <w:t>تاريخ</w:t>
      </w:r>
      <w:r w:rsidRPr="00EF1C10">
        <w:rPr>
          <w:b/>
          <w:bCs/>
          <w:vertAlign w:val="baseline"/>
          <w:rtl/>
        </w:rPr>
        <w:t xml:space="preserve"> الدولة العلية العثمانية، </w:t>
      </w:r>
      <w:r w:rsidRPr="00EF1C10">
        <w:rPr>
          <w:rFonts w:hint="cs"/>
          <w:vertAlign w:val="baseline"/>
          <w:rtl/>
        </w:rPr>
        <w:t>المحقق</w:t>
      </w:r>
      <w:r w:rsidRPr="00EF1C10">
        <w:rPr>
          <w:vertAlign w:val="baseline"/>
          <w:rtl/>
        </w:rPr>
        <w:t>: إحسان حقي، ط1، بيروت، دار النفائس، 1981</w:t>
      </w:r>
      <w:r>
        <w:rPr>
          <w:rFonts w:hint="cs"/>
          <w:vertAlign w:val="baseline"/>
          <w:rtl/>
        </w:rPr>
        <w:t>م</w:t>
      </w:r>
      <w:r w:rsidRPr="00EF1C10">
        <w:rPr>
          <w:rFonts w:hint="cs"/>
          <w:vertAlign w:val="baseline"/>
          <w:rtl/>
        </w:rPr>
        <w:t>،</w:t>
      </w:r>
      <w:r w:rsidRPr="00EF1C10">
        <w:rPr>
          <w:vertAlign w:val="baseline"/>
          <w:rtl/>
        </w:rPr>
        <w:t xml:space="preserve"> ج1، ص470، 484.</w:t>
      </w:r>
    </w:p>
  </w:footnote>
  <w:footnote w:id="274">
    <w:p w:rsidR="005F44B2" w:rsidRDefault="005F44B2" w:rsidP="006D59AD">
      <w:pPr>
        <w:pStyle w:val="a4"/>
        <w:spacing w:line="312" w:lineRule="auto"/>
        <w:rPr>
          <w:rFonts w:ascii="Calibri" w:hAnsi="Calibri"/>
          <w:vertAlign w:val="baseline"/>
        </w:rPr>
      </w:pPr>
      <w:r w:rsidRPr="000C2566">
        <w:rPr>
          <w:rtl/>
        </w:rPr>
        <w:t>(</w:t>
      </w:r>
      <w:r w:rsidRPr="000C2566">
        <w:rPr>
          <w:rStyle w:val="FootnoteReference"/>
          <w:rFonts w:cs="Arabic Transparent"/>
        </w:rPr>
        <w:footnoteRef/>
      </w:r>
      <w:r w:rsidRPr="000C2566">
        <w:rPr>
          <w:rtl/>
        </w:rPr>
        <w:t>)</w:t>
      </w:r>
      <w:r>
        <w:rPr>
          <w:vertAlign w:val="baseline"/>
          <w:rtl/>
        </w:rPr>
        <w:t>(</w:t>
      </w:r>
      <w:r w:rsidRPr="00EF1C10">
        <w:rPr>
          <w:rFonts w:hint="cs"/>
          <w:vertAlign w:val="baseline"/>
          <w:rtl/>
        </w:rPr>
        <w:t>مجلس</w:t>
      </w:r>
      <w:r w:rsidRPr="00EF1C10">
        <w:rPr>
          <w:vertAlign w:val="baseline"/>
          <w:rtl/>
        </w:rPr>
        <w:t xml:space="preserve"> المبعوثان</w:t>
      </w:r>
      <w:r>
        <w:rPr>
          <w:vertAlign w:val="baseline"/>
          <w:rtl/>
        </w:rPr>
        <w:t>):</w:t>
      </w:r>
      <w:r w:rsidRPr="00EF1C10">
        <w:rPr>
          <w:vertAlign w:val="baseline"/>
          <w:rtl/>
        </w:rPr>
        <w:t xml:space="preserve"> هو أحد المجلسين الذين يتكوّن </w:t>
      </w:r>
      <w:r w:rsidRPr="00EF1C10">
        <w:rPr>
          <w:rFonts w:hint="cs"/>
          <w:vertAlign w:val="baseline"/>
          <w:rtl/>
        </w:rPr>
        <w:t>منهما</w:t>
      </w:r>
      <w:r w:rsidRPr="00EF1C10">
        <w:rPr>
          <w:vertAlign w:val="baseline"/>
          <w:rtl/>
        </w:rPr>
        <w:t xml:space="preserve">  البرلمان العثماني</w:t>
      </w:r>
      <w:r w:rsidRPr="00EF1C10">
        <w:rPr>
          <w:rFonts w:hint="cs"/>
          <w:vertAlign w:val="baseline"/>
          <w:rtl/>
        </w:rPr>
        <w:t>،</w:t>
      </w:r>
      <w:r w:rsidRPr="00EF1C10">
        <w:rPr>
          <w:vertAlign w:val="baseline"/>
          <w:rtl/>
        </w:rPr>
        <w:t xml:space="preserve"> أسسه عبد الحميد الثاني، وعقدت أول انتخابات في التاريخ العثماني من أجل تأسيس هذا المجلس، وكان يتكوّن من أعضاء مختارين من الشعب، وأغلقه عبد الحميد الثاني في 1878مـ. أنظر: (علي، آكيلدِز،</w:t>
      </w:r>
      <w:r w:rsidRPr="00EF1C10">
        <w:rPr>
          <w:rFonts w:ascii="Calibri" w:hAnsi="Calibri"/>
          <w:vertAlign w:val="baseline"/>
          <w:rtl/>
        </w:rPr>
        <w:t xml:space="preserve"> </w:t>
      </w:r>
      <w:r w:rsidRPr="00EF1C10">
        <w:rPr>
          <w:rFonts w:ascii="Calibri" w:hAnsi="Calibri" w:hint="cs"/>
          <w:vertAlign w:val="baseline"/>
          <w:rtl/>
        </w:rPr>
        <w:t>الموسوعة</w:t>
      </w:r>
      <w:r w:rsidRPr="00EF1C10">
        <w:rPr>
          <w:rFonts w:ascii="Calibri" w:hAnsi="Calibri"/>
          <w:vertAlign w:val="baseline"/>
          <w:rtl/>
        </w:rPr>
        <w:t xml:space="preserve"> </w:t>
      </w:r>
      <w:r w:rsidRPr="00EF1C10">
        <w:rPr>
          <w:rFonts w:ascii="Calibri" w:hAnsi="Calibri" w:hint="cs"/>
          <w:vertAlign w:val="baseline"/>
          <w:rtl/>
        </w:rPr>
        <w:t>الإسلامية</w:t>
      </w:r>
      <w:r w:rsidRPr="00EF1C10">
        <w:rPr>
          <w:rFonts w:ascii="Calibri" w:hAnsi="Calibri"/>
          <w:vertAlign w:val="baseline"/>
          <w:rtl/>
        </w:rPr>
        <w:t xml:space="preserve"> </w:t>
      </w:r>
      <w:r w:rsidRPr="00EF1C10">
        <w:rPr>
          <w:rFonts w:ascii="Calibri" w:hAnsi="Calibri" w:hint="cs"/>
          <w:vertAlign w:val="baseline"/>
          <w:rtl/>
        </w:rPr>
        <w:t>للأوقاف</w:t>
      </w:r>
      <w:r w:rsidRPr="00EF1C10">
        <w:rPr>
          <w:rFonts w:ascii="Calibri" w:hAnsi="Calibri"/>
          <w:vertAlign w:val="baseline"/>
          <w:rtl/>
        </w:rPr>
        <w:t xml:space="preserve"> </w:t>
      </w:r>
      <w:r w:rsidRPr="00EF1C10">
        <w:rPr>
          <w:rFonts w:ascii="Calibri" w:hAnsi="Calibri" w:hint="cs"/>
          <w:vertAlign w:val="baseline"/>
          <w:rtl/>
        </w:rPr>
        <w:t>الدينية</w:t>
      </w:r>
      <w:r w:rsidRPr="00EF1C10">
        <w:rPr>
          <w:rFonts w:ascii="Calibri" w:hAnsi="Calibri"/>
          <w:vertAlign w:val="baseline"/>
          <w:rtl/>
        </w:rPr>
        <w:t xml:space="preserve"> </w:t>
      </w:r>
      <w:r w:rsidRPr="00EF1C10">
        <w:rPr>
          <w:rFonts w:ascii="Calibri" w:hAnsi="Calibri" w:hint="cs"/>
          <w:vertAlign w:val="baseline"/>
          <w:rtl/>
        </w:rPr>
        <w:t>التركية،</w:t>
      </w:r>
      <w:r w:rsidRPr="00EF1C10">
        <w:rPr>
          <w:rFonts w:ascii="Calibri" w:hAnsi="Calibri"/>
          <w:vertAlign w:val="baseline"/>
          <w:rtl/>
        </w:rPr>
        <w:t xml:space="preserve"> "</w:t>
      </w:r>
      <w:r w:rsidRPr="00EF1C10">
        <w:rPr>
          <w:rFonts w:ascii="Calibri" w:hAnsi="Calibri" w:hint="cs"/>
          <w:vertAlign w:val="baseline"/>
          <w:rtl/>
        </w:rPr>
        <w:t>مجلس</w:t>
      </w:r>
      <w:r w:rsidRPr="00EF1C10">
        <w:rPr>
          <w:rFonts w:ascii="Calibri" w:hAnsi="Calibri"/>
          <w:vertAlign w:val="baseline"/>
          <w:rtl/>
        </w:rPr>
        <w:t xml:space="preserve"> </w:t>
      </w:r>
      <w:r w:rsidRPr="00EF1C10">
        <w:rPr>
          <w:rFonts w:ascii="Calibri" w:hAnsi="Calibri" w:hint="cs"/>
          <w:vertAlign w:val="baseline"/>
          <w:rtl/>
        </w:rPr>
        <w:t>مبعوثان</w:t>
      </w:r>
      <w:r w:rsidRPr="00EF1C10">
        <w:rPr>
          <w:rFonts w:ascii="Calibri" w:hAnsi="Calibri"/>
          <w:vertAlign w:val="baseline"/>
          <w:rtl/>
        </w:rPr>
        <w:t>"</w:t>
      </w:r>
      <w:r w:rsidRPr="00EF1C10">
        <w:rPr>
          <w:rFonts w:ascii="Calibri" w:hAnsi="Calibri" w:hint="cs"/>
          <w:vertAlign w:val="baseline"/>
          <w:rtl/>
        </w:rPr>
        <w:t>،</w:t>
      </w:r>
      <w:r w:rsidRPr="00EF1C10">
        <w:rPr>
          <w:rFonts w:ascii="Calibri" w:hAnsi="Calibri"/>
          <w:vertAlign w:val="baseline"/>
          <w:rtl/>
        </w:rPr>
        <w:t xml:space="preserve"> </w:t>
      </w:r>
      <w:r w:rsidRPr="00EF1C10">
        <w:rPr>
          <w:rFonts w:ascii="Calibri" w:hAnsi="Calibri" w:hint="cs"/>
          <w:vertAlign w:val="baseline"/>
          <w:rtl/>
        </w:rPr>
        <w:t>ج</w:t>
      </w:r>
      <w:r w:rsidRPr="00EF1C10">
        <w:rPr>
          <w:rFonts w:ascii="Calibri" w:hAnsi="Calibri"/>
          <w:vertAlign w:val="baseline"/>
          <w:rtl/>
        </w:rPr>
        <w:t>28</w:t>
      </w:r>
      <w:r w:rsidRPr="00EF1C10">
        <w:rPr>
          <w:rFonts w:ascii="Calibri" w:hAnsi="Calibri" w:hint="cs"/>
          <w:vertAlign w:val="baseline"/>
          <w:rtl/>
        </w:rPr>
        <w:t>،</w:t>
      </w:r>
      <w:r w:rsidRPr="00EF1C10">
        <w:rPr>
          <w:rFonts w:ascii="Calibri" w:hAnsi="Calibri"/>
          <w:vertAlign w:val="baseline"/>
          <w:rtl/>
        </w:rPr>
        <w:t xml:space="preserve"> </w:t>
      </w:r>
      <w:r w:rsidRPr="00EF1C10">
        <w:rPr>
          <w:rFonts w:ascii="Calibri" w:hAnsi="Calibri" w:hint="cs"/>
          <w:vertAlign w:val="baseline"/>
          <w:rtl/>
        </w:rPr>
        <w:t>ص</w:t>
      </w:r>
      <w:r w:rsidRPr="00EF1C10">
        <w:rPr>
          <w:rFonts w:ascii="Calibri" w:hAnsi="Calibri"/>
          <w:vertAlign w:val="baseline"/>
          <w:rtl/>
        </w:rPr>
        <w:t>245</w:t>
      </w:r>
      <w:r w:rsidRPr="00EF1C10">
        <w:rPr>
          <w:rFonts w:ascii="Calibri" w:hAnsi="Calibri" w:hint="cs"/>
          <w:vertAlign w:val="baseline"/>
          <w:rtl/>
        </w:rPr>
        <w:t>،</w:t>
      </w:r>
      <w:r w:rsidRPr="00EF1C10">
        <w:rPr>
          <w:rFonts w:ascii="Calibri" w:hAnsi="Calibri"/>
          <w:vertAlign w:val="baseline"/>
          <w:rtl/>
        </w:rPr>
        <w:t xml:space="preserve"> 246.)</w:t>
      </w:r>
    </w:p>
    <w:p w:rsidR="005F44B2" w:rsidRDefault="005F44B2" w:rsidP="006D59AD">
      <w:pPr>
        <w:pStyle w:val="a4"/>
        <w:spacing w:line="312" w:lineRule="auto"/>
      </w:pPr>
      <w:r w:rsidRPr="00EF1C10">
        <w:rPr>
          <w:vertAlign w:val="baseline"/>
        </w:rPr>
        <w:t>AKYILDIZ</w:t>
      </w:r>
      <w:r>
        <w:rPr>
          <w:vertAlign w:val="baseline"/>
        </w:rPr>
        <w:t>,</w:t>
      </w:r>
      <w:r w:rsidRPr="00EF1C10">
        <w:rPr>
          <w:vertAlign w:val="baseline"/>
        </w:rPr>
        <w:t xml:space="preserve"> Ali, “MECL</w:t>
      </w:r>
      <w:r w:rsidRPr="00EF1C10">
        <w:rPr>
          <w:rFonts w:ascii="Times New Roman" w:hAnsi="Times New Roman" w:cs="Times New Roman"/>
          <w:vertAlign w:val="baseline"/>
        </w:rPr>
        <w:t>İ</w:t>
      </w:r>
      <w:r w:rsidRPr="00EF1C10">
        <w:rPr>
          <w:vertAlign w:val="baseline"/>
        </w:rPr>
        <w:t>S-</w:t>
      </w:r>
      <w:r w:rsidRPr="00EF1C10">
        <w:rPr>
          <w:rFonts w:ascii="Times New Roman" w:hAnsi="Times New Roman" w:cs="Times New Roman"/>
          <w:vertAlign w:val="baseline"/>
        </w:rPr>
        <w:t>İ</w:t>
      </w:r>
      <w:r w:rsidRPr="00EF1C10">
        <w:rPr>
          <w:vertAlign w:val="baseline"/>
        </w:rPr>
        <w:t xml:space="preserve"> MEB’</w:t>
      </w:r>
      <w:r w:rsidRPr="00EF1C10">
        <w:rPr>
          <w:rFonts w:eastAsia="Times New Roman" w:hint="eastAsia"/>
          <w:vertAlign w:val="baseline"/>
        </w:rPr>
        <w:t>û</w:t>
      </w:r>
      <w:r w:rsidRPr="00EF1C10">
        <w:rPr>
          <w:vertAlign w:val="baseline"/>
        </w:rPr>
        <w:t>SAN”, D</w:t>
      </w:r>
      <w:r w:rsidRPr="00EF1C10">
        <w:rPr>
          <w:rFonts w:ascii="Times New Roman" w:hAnsi="Times New Roman" w:cs="Times New Roman"/>
          <w:vertAlign w:val="baseline"/>
        </w:rPr>
        <w:t>İ</w:t>
      </w:r>
      <w:r w:rsidRPr="00EF1C10">
        <w:rPr>
          <w:vertAlign w:val="baseline"/>
        </w:rPr>
        <w:t>A, c28, s. 245, 246.</w:t>
      </w:r>
    </w:p>
  </w:footnote>
  <w:footnote w:id="275">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(علي، آكيلدِز، الموسوعة الإسلامية للأوقاف الدينية التركية، اسم المادة " التنظيمات"، ج40، ص1-10)</w:t>
      </w:r>
    </w:p>
    <w:p w:rsidR="005F44B2" w:rsidRDefault="005F44B2" w:rsidP="006D59AD">
      <w:pPr>
        <w:pStyle w:val="a4"/>
        <w:spacing w:line="312" w:lineRule="auto"/>
      </w:pPr>
      <w:r w:rsidRPr="00EF1C10">
        <w:rPr>
          <w:vertAlign w:val="baseline"/>
        </w:rPr>
        <w:t>AKYILDIZ</w:t>
      </w:r>
      <w:r>
        <w:rPr>
          <w:vertAlign w:val="baseline"/>
        </w:rPr>
        <w:t>,</w:t>
      </w:r>
      <w:r w:rsidRPr="00EF1C10">
        <w:rPr>
          <w:vertAlign w:val="baseline"/>
        </w:rPr>
        <w:t xml:space="preserve"> Ali, “TANZ</w:t>
      </w:r>
      <w:r w:rsidRPr="00EF1C10">
        <w:rPr>
          <w:rFonts w:ascii="Times New Roman" w:hAnsi="Times New Roman" w:cs="Times New Roman"/>
          <w:vertAlign w:val="baseline"/>
        </w:rPr>
        <w:t>İ</w:t>
      </w:r>
      <w:r w:rsidRPr="00EF1C10">
        <w:rPr>
          <w:vertAlign w:val="baseline"/>
        </w:rPr>
        <w:t>MAT”, D</w:t>
      </w:r>
      <w:r w:rsidRPr="00EF1C10">
        <w:rPr>
          <w:rFonts w:ascii="Times New Roman" w:hAnsi="Times New Roman" w:cs="Times New Roman"/>
          <w:vertAlign w:val="baseline"/>
        </w:rPr>
        <w:t>İ</w:t>
      </w:r>
      <w:r w:rsidRPr="00EF1C10">
        <w:rPr>
          <w:vertAlign w:val="baseline"/>
        </w:rPr>
        <w:t>A, c40, s. 1 – 10</w:t>
      </w:r>
    </w:p>
  </w:footnote>
  <w:footnote w:id="27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جمعه فرمانات وفرامينُ، معناه: قرار أو حكم كان يصدره الباب العالي (السُّلطان) إبّان الحكم التركيّ. انظر: أحمد مختار عبد الحميد عمر (ت: 1424هـ)، </w:t>
      </w:r>
      <w:r w:rsidRPr="00EF1C10">
        <w:rPr>
          <w:rFonts w:hint="cs"/>
          <w:b/>
          <w:bCs/>
          <w:vertAlign w:val="baseline"/>
          <w:rtl/>
        </w:rPr>
        <w:t>معجم</w:t>
      </w:r>
      <w:r w:rsidRPr="00EF1C10">
        <w:rPr>
          <w:b/>
          <w:bCs/>
          <w:vertAlign w:val="baseline"/>
          <w:rtl/>
        </w:rPr>
        <w:t xml:space="preserve"> اللغة العربية المعا</w:t>
      </w:r>
      <w:r w:rsidRPr="00EF1C10">
        <w:rPr>
          <w:rFonts w:hint="cs"/>
          <w:b/>
          <w:bCs/>
          <w:vertAlign w:val="baseline"/>
          <w:rtl/>
        </w:rPr>
        <w:t>صرة</w:t>
      </w:r>
      <w:r w:rsidRPr="00EF1C10">
        <w:rPr>
          <w:rFonts w:hint="cs"/>
          <w:vertAlign w:val="baseline"/>
          <w:rtl/>
        </w:rPr>
        <w:t>،</w:t>
      </w:r>
      <w:r w:rsidRPr="00EF1C10">
        <w:rPr>
          <w:vertAlign w:val="baseline"/>
          <w:rtl/>
        </w:rPr>
        <w:t xml:space="preserve"> ط1، 2008م، عالم الكتب، رقم المادة: 3752.</w:t>
      </w:r>
    </w:p>
  </w:footnote>
  <w:footnote w:id="27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 حفظ الدين وال</w:t>
      </w:r>
      <w:r w:rsidRPr="00EF1C10">
        <w:rPr>
          <w:rFonts w:hint="cs"/>
          <w:vertAlign w:val="baseline"/>
          <w:rtl/>
        </w:rPr>
        <w:t>عقل</w:t>
      </w:r>
      <w:r w:rsidRPr="00EF1C10">
        <w:rPr>
          <w:vertAlign w:val="baseline"/>
          <w:rtl/>
        </w:rPr>
        <w:t xml:space="preserve"> ليسا من أساس هذه القوانين، لأنهما لا يحتجان إلى تجديد قوانين فيهما.</w:t>
      </w:r>
    </w:p>
  </w:footnote>
  <w:footnote w:id="27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كانت عشر سنوات.</w:t>
      </w:r>
    </w:p>
  </w:footnote>
  <w:footnote w:id="279">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(علي، آكيلدِز، الموسوعة الإسلامية للأوقاف الدينية التركية، اسم المادة " التنظيمات"، ج40، ص3)</w:t>
      </w:r>
    </w:p>
    <w:p w:rsidR="005F44B2" w:rsidRDefault="005F44B2" w:rsidP="006D59AD">
      <w:pPr>
        <w:pStyle w:val="a4"/>
        <w:spacing w:line="312" w:lineRule="auto"/>
      </w:pPr>
      <w:r w:rsidRPr="00EF1C10">
        <w:rPr>
          <w:vertAlign w:val="baseline"/>
        </w:rPr>
        <w:t>AKYILDIZ</w:t>
      </w:r>
      <w:r>
        <w:rPr>
          <w:vertAlign w:val="baseline"/>
        </w:rPr>
        <w:t>,</w:t>
      </w:r>
      <w:r w:rsidRPr="00EF1C10">
        <w:rPr>
          <w:vertAlign w:val="baseline"/>
        </w:rPr>
        <w:t xml:space="preserve"> Ali, “TANZ</w:t>
      </w:r>
      <w:r w:rsidRPr="00EF1C10">
        <w:rPr>
          <w:rFonts w:ascii="Times New Roman" w:hAnsi="Times New Roman" w:cs="Times New Roman"/>
          <w:vertAlign w:val="baseline"/>
        </w:rPr>
        <w:t>İ</w:t>
      </w:r>
      <w:r w:rsidRPr="00EF1C10">
        <w:rPr>
          <w:vertAlign w:val="baseline"/>
        </w:rPr>
        <w:t>MAT”, D</w:t>
      </w:r>
      <w:r w:rsidRPr="00EF1C10">
        <w:rPr>
          <w:rFonts w:ascii="Times New Roman" w:hAnsi="Times New Roman" w:cs="Times New Roman"/>
          <w:vertAlign w:val="baseline"/>
        </w:rPr>
        <w:t>İ</w:t>
      </w:r>
      <w:r w:rsidRPr="00EF1C10">
        <w:rPr>
          <w:vertAlign w:val="baseline"/>
        </w:rPr>
        <w:t xml:space="preserve">A, c40, s. 3 </w:t>
      </w:r>
    </w:p>
  </w:footnote>
  <w:footnote w:id="280">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 قُلْسُيْ، أُفُقْ، الموسوعة الإسلامية للأوقاف الدينية التركية، " الفرمان الاصلاحات"، ج19، ص 185.)</w:t>
      </w:r>
    </w:p>
    <w:p w:rsidR="005F44B2" w:rsidRPr="00EF1C10" w:rsidRDefault="005F44B2" w:rsidP="006D59AD">
      <w:pPr>
        <w:pStyle w:val="a4"/>
        <w:spacing w:line="312" w:lineRule="auto"/>
        <w:rPr>
          <w:vertAlign w:val="baseline"/>
          <w:rtl/>
        </w:rPr>
      </w:pPr>
      <w:r w:rsidRPr="00EF1C10">
        <w:rPr>
          <w:vertAlign w:val="baseline"/>
        </w:rPr>
        <w:t>G</w:t>
      </w:r>
      <w:r w:rsidRPr="00EF1C10">
        <w:rPr>
          <w:rFonts w:ascii="Times New Roman" w:hAnsi="Times New Roman" w:cs="Times New Roman"/>
          <w:vertAlign w:val="baseline"/>
        </w:rPr>
        <w:t>Ü</w:t>
      </w:r>
      <w:r w:rsidRPr="00EF1C10">
        <w:rPr>
          <w:vertAlign w:val="baseline"/>
        </w:rPr>
        <w:t>LSOY</w:t>
      </w:r>
      <w:r>
        <w:rPr>
          <w:vertAlign w:val="baseline"/>
        </w:rPr>
        <w:t>,</w:t>
      </w:r>
      <w:r w:rsidRPr="00EF1C10">
        <w:rPr>
          <w:vertAlign w:val="baseline"/>
        </w:rPr>
        <w:t xml:space="preserve"> Ufuk, “ISLAHAT FERMANI”, D</w:t>
      </w:r>
      <w:r w:rsidRPr="00EF1C10">
        <w:rPr>
          <w:rFonts w:ascii="Times New Roman" w:hAnsi="Times New Roman" w:cs="Times New Roman"/>
          <w:vertAlign w:val="baseline"/>
        </w:rPr>
        <w:t>İ</w:t>
      </w:r>
      <w:r w:rsidRPr="00EF1C10">
        <w:rPr>
          <w:vertAlign w:val="baseline"/>
        </w:rPr>
        <w:t>A, c19, s. 185</w:t>
      </w:r>
    </w:p>
    <w:p w:rsidR="005F44B2" w:rsidRPr="00EF1C10" w:rsidRDefault="005F44B2" w:rsidP="006D59AD">
      <w:pPr>
        <w:pStyle w:val="a4"/>
        <w:spacing w:line="312" w:lineRule="auto"/>
        <w:rPr>
          <w:vertAlign w:val="baseline"/>
          <w:rtl/>
        </w:rPr>
      </w:pPr>
      <w:r w:rsidRPr="00EF1C10">
        <w:rPr>
          <w:vertAlign w:val="baseline"/>
          <w:rtl/>
        </w:rPr>
        <w:t xml:space="preserve"> (علي، آكيلدِز، الموسوعة الإسلامية للأوقاف الدينية التركية، اسم الماد</w:t>
      </w:r>
      <w:r w:rsidRPr="00EF1C10">
        <w:rPr>
          <w:rFonts w:hint="cs"/>
          <w:vertAlign w:val="baseline"/>
          <w:rtl/>
        </w:rPr>
        <w:t>ة</w:t>
      </w:r>
      <w:r w:rsidRPr="00EF1C10">
        <w:rPr>
          <w:vertAlign w:val="baseline"/>
          <w:rtl/>
        </w:rPr>
        <w:t xml:space="preserve"> " التنظيمات"، ج40، ص3، 4، 5.)</w:t>
      </w:r>
    </w:p>
    <w:p w:rsidR="005F44B2" w:rsidRDefault="005F44B2" w:rsidP="006D59AD">
      <w:pPr>
        <w:pStyle w:val="a4"/>
        <w:spacing w:line="312" w:lineRule="auto"/>
      </w:pPr>
      <w:r w:rsidRPr="00EF1C10">
        <w:rPr>
          <w:vertAlign w:val="baseline"/>
        </w:rPr>
        <w:t>AKYILDIZ</w:t>
      </w:r>
      <w:r>
        <w:rPr>
          <w:vertAlign w:val="baseline"/>
        </w:rPr>
        <w:t>,</w:t>
      </w:r>
      <w:r w:rsidRPr="00EF1C10">
        <w:rPr>
          <w:vertAlign w:val="baseline"/>
        </w:rPr>
        <w:t xml:space="preserve"> Ali, “TANZ</w:t>
      </w:r>
      <w:r w:rsidRPr="00EF1C10">
        <w:rPr>
          <w:rFonts w:ascii="Times New Roman" w:hAnsi="Times New Roman" w:cs="Times New Roman"/>
          <w:vertAlign w:val="baseline"/>
        </w:rPr>
        <w:t>İ</w:t>
      </w:r>
      <w:r w:rsidRPr="00EF1C10">
        <w:rPr>
          <w:vertAlign w:val="baseline"/>
        </w:rPr>
        <w:t>MAT”, D</w:t>
      </w:r>
      <w:r w:rsidRPr="00EF1C10">
        <w:rPr>
          <w:rFonts w:ascii="Times New Roman" w:hAnsi="Times New Roman" w:cs="Times New Roman"/>
          <w:vertAlign w:val="baseline"/>
        </w:rPr>
        <w:t>İ</w:t>
      </w:r>
      <w:r w:rsidRPr="00EF1C10">
        <w:rPr>
          <w:vertAlign w:val="baseline"/>
        </w:rPr>
        <w:t xml:space="preserve">A, c40, s.3,4,5. </w:t>
      </w:r>
    </w:p>
  </w:footnote>
  <w:footnote w:id="28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المرجع السابق، ص6-10.</w:t>
      </w:r>
    </w:p>
  </w:footnote>
  <w:footnote w:id="282">
    <w:p w:rsidR="005F44B2" w:rsidRPr="001A012B"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rFonts w:hint="cs"/>
          <w:vertAlign w:val="baseline"/>
          <w:rtl/>
        </w:rPr>
        <w:t>هو</w:t>
      </w:r>
      <w:r w:rsidRPr="00EF1C10">
        <w:rPr>
          <w:vertAlign w:val="baseline"/>
          <w:rtl/>
        </w:rPr>
        <w:t xml:space="preserve"> ديوان شعري باللغة الفارسية لجلال الدين الرومي. والمثنوي يعني بالعربية النظم المزدوج الذي يتّحد فيه شطرا البيت الواحد ويكون لكل بيت قافيته الخاصّة، وبذلك تتحرر المنظومة من القافية الموحدة، وللمثنوي طبعات متعددة ونسخ مخطوطة كثيرة منتشرة في مكتبات العالم، كما أن له شروحاً كثيرة بلغات مختلفة، منها الشرقي ومنها الغربي وبلغت عدد أبيات المثنوي 25632 بيتاً، موزعة بين أجزائه الستّة، وفيه 424 قصة تشرح معاناة الأنسان للوصول إلى حبه الأكمل الذي هو الله.</w:t>
      </w:r>
      <w:r>
        <w:rPr>
          <w:rFonts w:hint="cs"/>
          <w:vertAlign w:val="baseline"/>
          <w:rtl/>
        </w:rPr>
        <w:t>أنظر</w:t>
      </w:r>
      <w:r>
        <w:rPr>
          <w:vertAlign w:val="baseline"/>
          <w:rtl/>
        </w:rPr>
        <w:t xml:space="preserve">: ( جيهان، سمِيْه، </w:t>
      </w:r>
      <w:r w:rsidRPr="00EF1C10">
        <w:rPr>
          <w:rFonts w:hint="cs"/>
          <w:vertAlign w:val="baseline"/>
          <w:rtl/>
        </w:rPr>
        <w:t>الموسوعة</w:t>
      </w:r>
      <w:r w:rsidRPr="00EF1C10">
        <w:rPr>
          <w:vertAlign w:val="baseline"/>
          <w:rtl/>
        </w:rPr>
        <w:t xml:space="preserve"> الإسلامية للأوقاف الدينية التركية، اسم المادة</w:t>
      </w:r>
      <w:r>
        <w:rPr>
          <w:vertAlign w:val="baseline"/>
          <w:rtl/>
        </w:rPr>
        <w:t>:</w:t>
      </w:r>
      <w:r w:rsidRPr="001A012B">
        <w:rPr>
          <w:rFonts w:hint="cs"/>
          <w:vertAlign w:val="baseline"/>
          <w:rtl/>
        </w:rPr>
        <w:t>مثنوي</w:t>
      </w:r>
      <w:r>
        <w:rPr>
          <w:rFonts w:hint="cs"/>
          <w:vertAlign w:val="baseline"/>
          <w:rtl/>
        </w:rPr>
        <w:t>،</w:t>
      </w:r>
      <w:r>
        <w:rPr>
          <w:vertAlign w:val="baseline"/>
          <w:rtl/>
        </w:rPr>
        <w:t xml:space="preserve"> ج29، ص 325 – 334.)</w:t>
      </w:r>
    </w:p>
    <w:p w:rsidR="005F44B2" w:rsidRDefault="005F44B2" w:rsidP="006D59AD">
      <w:pPr>
        <w:pStyle w:val="a4"/>
        <w:spacing w:line="312" w:lineRule="auto"/>
      </w:pPr>
      <w:r>
        <w:rPr>
          <w:vertAlign w:val="baseline"/>
        </w:rPr>
        <w:t xml:space="preserve">CEYHAN, Semih, ‘’ </w:t>
      </w:r>
      <w:r>
        <w:rPr>
          <w:b/>
          <w:bCs/>
          <w:vertAlign w:val="baseline"/>
        </w:rPr>
        <w:t>MESNEV</w:t>
      </w:r>
      <w:r>
        <w:rPr>
          <w:rFonts w:ascii="Times New Roman" w:hAnsi="Times New Roman" w:cs="Times New Roman"/>
          <w:b/>
          <w:bCs/>
          <w:vertAlign w:val="baseline"/>
        </w:rPr>
        <w:t>İ</w:t>
      </w:r>
      <w:r>
        <w:rPr>
          <w:b/>
          <w:bCs/>
          <w:vertAlign w:val="baseline"/>
        </w:rPr>
        <w:t xml:space="preserve"> </w:t>
      </w:r>
      <w:r>
        <w:rPr>
          <w:vertAlign w:val="baseline"/>
        </w:rPr>
        <w:t>‘’, D</w:t>
      </w:r>
      <w:r>
        <w:rPr>
          <w:rFonts w:ascii="Times New Roman" w:hAnsi="Times New Roman" w:cs="Times New Roman"/>
          <w:vertAlign w:val="baseline"/>
        </w:rPr>
        <w:t>İ</w:t>
      </w:r>
      <w:r>
        <w:rPr>
          <w:vertAlign w:val="baseline"/>
        </w:rPr>
        <w:t>A, c29, s. 325 - 334</w:t>
      </w:r>
    </w:p>
  </w:footnote>
  <w:footnote w:id="283">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 ماردين، </w:t>
      </w:r>
      <w:r w:rsidRPr="00EF1C10">
        <w:rPr>
          <w:rFonts w:hint="cs"/>
          <w:vertAlign w:val="baseline"/>
          <w:rtl/>
        </w:rPr>
        <w:t>ابو</w:t>
      </w:r>
      <w:r w:rsidRPr="00EF1C10">
        <w:rPr>
          <w:vertAlign w:val="baseline"/>
          <w:rtl/>
        </w:rPr>
        <w:t xml:space="preserve"> العلى، </w:t>
      </w:r>
      <w:r w:rsidRPr="00EF1C10">
        <w:rPr>
          <w:rFonts w:hint="cs"/>
          <w:b/>
          <w:bCs/>
          <w:vertAlign w:val="baseline"/>
          <w:rtl/>
        </w:rPr>
        <w:t>أحمد</w:t>
      </w:r>
      <w:r w:rsidRPr="00EF1C10">
        <w:rPr>
          <w:b/>
          <w:bCs/>
          <w:vertAlign w:val="baseline"/>
          <w:rtl/>
        </w:rPr>
        <w:t xml:space="preserve"> جودت باشا من جهة حقوق المدني</w:t>
      </w:r>
      <w:r w:rsidRPr="00EF1C10">
        <w:rPr>
          <w:rFonts w:hint="cs"/>
          <w:vertAlign w:val="baseline"/>
          <w:rtl/>
        </w:rPr>
        <w:t>،</w:t>
      </w:r>
      <w:r w:rsidRPr="00EF1C10">
        <w:rPr>
          <w:vertAlign w:val="baseline"/>
          <w:rtl/>
        </w:rPr>
        <w:t xml:space="preserve"> أنقرة، دار أوقاف الدينية التركية، 1996، ص13-21.) </w:t>
      </w:r>
    </w:p>
    <w:p w:rsidR="005F44B2" w:rsidRDefault="005F44B2" w:rsidP="006D59AD">
      <w:pPr>
        <w:pStyle w:val="a4"/>
        <w:spacing w:line="312" w:lineRule="auto"/>
      </w:pPr>
      <w:r w:rsidRPr="00EF1C10">
        <w:rPr>
          <w:vertAlign w:val="baseline"/>
        </w:rPr>
        <w:t xml:space="preserve">Mardin, Ebul’ulâ, </w:t>
      </w:r>
      <w:r w:rsidRPr="00EF1C10">
        <w:rPr>
          <w:b/>
          <w:vertAlign w:val="baseline"/>
        </w:rPr>
        <w:t>Medeni Hukuk Cephesinden Ahmet Cevdet Pa</w:t>
      </w:r>
      <w:r w:rsidRPr="00EF1C10">
        <w:rPr>
          <w:rFonts w:ascii="Times New Roman" w:hAnsi="Times New Roman" w:cs="Times New Roman"/>
          <w:b/>
          <w:vertAlign w:val="baseline"/>
        </w:rPr>
        <w:t>ş</w:t>
      </w:r>
      <w:r w:rsidRPr="00EF1C10">
        <w:rPr>
          <w:b/>
          <w:vertAlign w:val="baseline"/>
        </w:rPr>
        <w:t>a</w:t>
      </w:r>
      <w:r w:rsidRPr="00EF1C10">
        <w:rPr>
          <w:vertAlign w:val="baseline"/>
        </w:rPr>
        <w:t>, Ankara, Türkiye Diyanet Vakf</w:t>
      </w:r>
      <w:r w:rsidRPr="00EF1C10">
        <w:rPr>
          <w:rFonts w:eastAsia="Times New Roman" w:hint="cs"/>
          <w:vertAlign w:val="baseline"/>
        </w:rPr>
        <w:t>ı</w:t>
      </w:r>
      <w:r w:rsidRPr="00EF1C10">
        <w:rPr>
          <w:vertAlign w:val="baseline"/>
        </w:rPr>
        <w:t xml:space="preserve"> Yay</w:t>
      </w:r>
      <w:r w:rsidRPr="00EF1C10">
        <w:rPr>
          <w:rFonts w:eastAsia="Times New Roman" w:hint="cs"/>
          <w:vertAlign w:val="baseline"/>
        </w:rPr>
        <w:t>ı</w:t>
      </w:r>
      <w:r w:rsidRPr="00EF1C10">
        <w:rPr>
          <w:vertAlign w:val="baseline"/>
        </w:rPr>
        <w:t>nlar</w:t>
      </w:r>
      <w:r w:rsidRPr="00EF1C10">
        <w:rPr>
          <w:rFonts w:eastAsia="Times New Roman" w:hint="cs"/>
          <w:vertAlign w:val="baseline"/>
        </w:rPr>
        <w:t>ı</w:t>
      </w:r>
      <w:r w:rsidRPr="00EF1C10">
        <w:rPr>
          <w:vertAlign w:val="baseline"/>
        </w:rPr>
        <w:t>, 1996, s.13-21.</w:t>
      </w:r>
    </w:p>
  </w:footnote>
  <w:footnote w:id="28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Pr>
        <w:t>Mardin, Ebul’ulâ, Medeni Hukuk Cephesinden Ahmet Cevdet Pa</w:t>
      </w:r>
      <w:r w:rsidRPr="00EF1C10">
        <w:rPr>
          <w:rFonts w:ascii="Times New Roman" w:hAnsi="Times New Roman" w:cs="Times New Roman"/>
          <w:vertAlign w:val="baseline"/>
        </w:rPr>
        <w:t>ş</w:t>
      </w:r>
      <w:r w:rsidRPr="00EF1C10">
        <w:rPr>
          <w:vertAlign w:val="baseline"/>
        </w:rPr>
        <w:t>a</w:t>
      </w:r>
      <w:r w:rsidRPr="00EF1C10">
        <w:rPr>
          <w:bCs/>
          <w:vertAlign w:val="baseline"/>
        </w:rPr>
        <w:t>, s. 27.</w:t>
      </w:r>
    </w:p>
  </w:footnote>
  <w:footnote w:id="285">
    <w:p w:rsidR="005F44B2" w:rsidRDefault="005F44B2" w:rsidP="006D59AD">
      <w:pPr>
        <w:pStyle w:val="a4"/>
        <w:spacing w:line="312" w:lineRule="auto"/>
        <w:rPr>
          <w:vertAlign w:val="baseline"/>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كتب أحمد جودت باشا تاريخ الدولة العثمانية، حيث تكون من 12 مجلدًا، وأنهاه بعد 30 سنة على الأقل، وطُبع باسم " تاريخ جودت"، أنظر:</w:t>
      </w:r>
    </w:p>
    <w:p w:rsidR="005F44B2" w:rsidRDefault="005F44B2" w:rsidP="006D59AD">
      <w:pPr>
        <w:pStyle w:val="a4"/>
        <w:spacing w:line="312" w:lineRule="auto"/>
      </w:pPr>
      <w:r w:rsidRPr="00EF1C10">
        <w:rPr>
          <w:vertAlign w:val="baseline"/>
        </w:rPr>
        <w:t>Mardin, Ebul’ulâ, Medeni Hukuk Cephesinden Ahmet Cevdet Pa</w:t>
      </w:r>
      <w:r w:rsidRPr="00EF1C10">
        <w:rPr>
          <w:rFonts w:ascii="Times New Roman" w:hAnsi="Times New Roman" w:cs="Times New Roman"/>
          <w:vertAlign w:val="baseline"/>
        </w:rPr>
        <w:t>ş</w:t>
      </w:r>
      <w:r w:rsidRPr="00EF1C10">
        <w:rPr>
          <w:vertAlign w:val="baseline"/>
        </w:rPr>
        <w:t>a</w:t>
      </w:r>
      <w:r w:rsidRPr="00EF1C10">
        <w:rPr>
          <w:bCs/>
          <w:vertAlign w:val="baseline"/>
        </w:rPr>
        <w:t xml:space="preserve"> s.40,41.</w:t>
      </w:r>
    </w:p>
  </w:footnote>
  <w:footnote w:id="28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المرجع السابق، ص43 – 60.</w:t>
      </w:r>
    </w:p>
  </w:footnote>
  <w:footnote w:id="287">
    <w:p w:rsidR="005F44B2" w:rsidRDefault="005F44B2" w:rsidP="00622427">
      <w:pPr>
        <w:pStyle w:val="a4"/>
        <w:spacing w:line="312" w:lineRule="auto"/>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w:t>
      </w:r>
      <w:r w:rsidRPr="00622427">
        <w:rPr>
          <w:vertAlign w:val="baseline"/>
        </w:rPr>
        <w:t>Mardin, Ebul’ulâ, Medeni Hukuk Cephesinden Ahmet Cevdet Pa</w:t>
      </w:r>
      <w:r w:rsidRPr="00622427">
        <w:rPr>
          <w:rFonts w:ascii="Times New Roman" w:hAnsi="Times New Roman" w:cs="Times New Roman"/>
          <w:vertAlign w:val="baseline"/>
        </w:rPr>
        <w:t>ş</w:t>
      </w:r>
      <w:r w:rsidRPr="00622427">
        <w:rPr>
          <w:vertAlign w:val="baseline"/>
        </w:rPr>
        <w:t xml:space="preserve">a </w:t>
      </w:r>
      <w:r>
        <w:rPr>
          <w:vertAlign w:val="baseline"/>
        </w:rPr>
        <w:t>s. 63 -66</w:t>
      </w:r>
    </w:p>
  </w:footnote>
  <w:footnote w:id="288">
    <w:p w:rsidR="005F44B2" w:rsidRDefault="005F44B2" w:rsidP="006D59AD">
      <w:pPr>
        <w:pStyle w:val="a4"/>
        <w:spacing w:line="312" w:lineRule="auto"/>
        <w:rPr>
          <w:rFonts w:ascii="Calibri" w:hAnsi="Calibri"/>
          <w:vertAlign w:val="baseline"/>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 هلّاج أغلو، يوس</w:t>
      </w:r>
      <w:r w:rsidRPr="00EF1C10">
        <w:rPr>
          <w:rFonts w:hint="cs"/>
          <w:vertAlign w:val="baseline"/>
          <w:rtl/>
        </w:rPr>
        <w:t>ف</w:t>
      </w:r>
      <w:r w:rsidRPr="00EF1C10">
        <w:rPr>
          <w:vertAlign w:val="baseline"/>
          <w:rtl/>
        </w:rPr>
        <w:t xml:space="preserve"> – آيدِن، عاكف، </w:t>
      </w:r>
      <w:r w:rsidRPr="00EF1C10">
        <w:rPr>
          <w:rFonts w:ascii="Calibri" w:hAnsi="Calibri" w:hint="cs"/>
          <w:vertAlign w:val="baseline"/>
          <w:rtl/>
        </w:rPr>
        <w:t>الموسوعة</w:t>
      </w:r>
      <w:r w:rsidRPr="00EF1C10">
        <w:rPr>
          <w:rFonts w:ascii="Calibri" w:hAnsi="Calibri"/>
          <w:vertAlign w:val="baseline"/>
          <w:rtl/>
        </w:rPr>
        <w:t xml:space="preserve"> </w:t>
      </w:r>
      <w:r w:rsidRPr="00EF1C10">
        <w:rPr>
          <w:rFonts w:ascii="Calibri" w:hAnsi="Calibri" w:hint="cs"/>
          <w:vertAlign w:val="baseline"/>
          <w:rtl/>
        </w:rPr>
        <w:t>الإسلامية</w:t>
      </w:r>
      <w:r w:rsidRPr="00EF1C10">
        <w:rPr>
          <w:rFonts w:ascii="Calibri" w:hAnsi="Calibri"/>
          <w:vertAlign w:val="baseline"/>
          <w:rtl/>
        </w:rPr>
        <w:t xml:space="preserve"> </w:t>
      </w:r>
      <w:r w:rsidRPr="00EF1C10">
        <w:rPr>
          <w:rFonts w:ascii="Calibri" w:hAnsi="Calibri" w:hint="cs"/>
          <w:vertAlign w:val="baseline"/>
          <w:rtl/>
        </w:rPr>
        <w:t>للأوقاف</w:t>
      </w:r>
      <w:r w:rsidRPr="00EF1C10">
        <w:rPr>
          <w:rFonts w:ascii="Calibri" w:hAnsi="Calibri"/>
          <w:vertAlign w:val="baseline"/>
          <w:rtl/>
        </w:rPr>
        <w:t xml:space="preserve"> </w:t>
      </w:r>
      <w:r w:rsidRPr="00EF1C10">
        <w:rPr>
          <w:rFonts w:ascii="Calibri" w:hAnsi="Calibri" w:hint="cs"/>
          <w:vertAlign w:val="baseline"/>
          <w:rtl/>
        </w:rPr>
        <w:t>الدينية</w:t>
      </w:r>
      <w:r w:rsidRPr="00EF1C10">
        <w:rPr>
          <w:rFonts w:ascii="Calibri" w:hAnsi="Calibri"/>
          <w:vertAlign w:val="baseline"/>
          <w:rtl/>
        </w:rPr>
        <w:t xml:space="preserve"> </w:t>
      </w:r>
      <w:r w:rsidRPr="00EF1C10">
        <w:rPr>
          <w:rFonts w:ascii="Calibri" w:hAnsi="Calibri" w:hint="cs"/>
          <w:vertAlign w:val="baseline"/>
          <w:rtl/>
        </w:rPr>
        <w:t>التركية،</w:t>
      </w:r>
      <w:r w:rsidRPr="00EF1C10">
        <w:rPr>
          <w:rFonts w:ascii="Calibri" w:hAnsi="Calibri"/>
          <w:vertAlign w:val="baseline"/>
          <w:rtl/>
        </w:rPr>
        <w:t xml:space="preserve"> </w:t>
      </w:r>
      <w:r w:rsidRPr="00EF1C10">
        <w:rPr>
          <w:rFonts w:ascii="Calibri" w:hAnsi="Calibri" w:hint="cs"/>
          <w:vertAlign w:val="baseline"/>
          <w:rtl/>
        </w:rPr>
        <w:t>اسم</w:t>
      </w:r>
      <w:r w:rsidRPr="00EF1C10">
        <w:rPr>
          <w:rFonts w:ascii="Calibri" w:hAnsi="Calibri"/>
          <w:vertAlign w:val="baseline"/>
          <w:rtl/>
        </w:rPr>
        <w:t xml:space="preserve"> </w:t>
      </w:r>
      <w:r w:rsidRPr="00EF1C10">
        <w:rPr>
          <w:rFonts w:ascii="Calibri" w:hAnsi="Calibri" w:hint="cs"/>
          <w:vertAlign w:val="baseline"/>
          <w:rtl/>
        </w:rPr>
        <w:t>المادة</w:t>
      </w:r>
      <w:r w:rsidRPr="00EF1C10">
        <w:rPr>
          <w:rFonts w:ascii="Calibri" w:hAnsi="Calibri"/>
          <w:vertAlign w:val="baseline"/>
          <w:rtl/>
        </w:rPr>
        <w:t xml:space="preserve"> "</w:t>
      </w:r>
      <w:r w:rsidRPr="00EF1C10">
        <w:rPr>
          <w:rFonts w:ascii="Calibri" w:hAnsi="Calibri" w:hint="cs"/>
          <w:b/>
          <w:bCs/>
          <w:vertAlign w:val="baseline"/>
          <w:rtl/>
        </w:rPr>
        <w:t>جودت</w:t>
      </w:r>
      <w:r w:rsidRPr="00EF1C10">
        <w:rPr>
          <w:rFonts w:ascii="Calibri" w:hAnsi="Calibri"/>
          <w:b/>
          <w:bCs/>
          <w:vertAlign w:val="baseline"/>
          <w:rtl/>
        </w:rPr>
        <w:t xml:space="preserve"> </w:t>
      </w:r>
      <w:r w:rsidRPr="00EF1C10">
        <w:rPr>
          <w:rFonts w:ascii="Calibri" w:hAnsi="Calibri" w:hint="cs"/>
          <w:b/>
          <w:bCs/>
          <w:vertAlign w:val="baseline"/>
          <w:rtl/>
        </w:rPr>
        <w:t>باشا</w:t>
      </w:r>
      <w:r w:rsidRPr="00EF1C10">
        <w:rPr>
          <w:rFonts w:ascii="Calibri" w:hAnsi="Calibri"/>
          <w:vertAlign w:val="baseline"/>
          <w:rtl/>
        </w:rPr>
        <w:t>"</w:t>
      </w:r>
      <w:r w:rsidRPr="00EF1C10">
        <w:rPr>
          <w:rFonts w:ascii="Calibri" w:hAnsi="Calibri" w:hint="cs"/>
          <w:vertAlign w:val="baseline"/>
          <w:rtl/>
        </w:rPr>
        <w:t>،</w:t>
      </w:r>
      <w:r w:rsidRPr="00EF1C10">
        <w:rPr>
          <w:rFonts w:ascii="Calibri" w:hAnsi="Calibri"/>
          <w:vertAlign w:val="baseline"/>
          <w:rtl/>
        </w:rPr>
        <w:t xml:space="preserve"> </w:t>
      </w:r>
      <w:r w:rsidRPr="00EF1C10">
        <w:rPr>
          <w:rFonts w:ascii="Calibri" w:hAnsi="Calibri" w:hint="cs"/>
          <w:vertAlign w:val="baseline"/>
          <w:rtl/>
        </w:rPr>
        <w:t>ج</w:t>
      </w:r>
      <w:r w:rsidRPr="00EF1C10">
        <w:rPr>
          <w:rFonts w:ascii="Calibri" w:hAnsi="Calibri"/>
          <w:vertAlign w:val="baseline"/>
          <w:rtl/>
        </w:rPr>
        <w:t>7</w:t>
      </w:r>
      <w:r w:rsidRPr="00EF1C10">
        <w:rPr>
          <w:rFonts w:ascii="Calibri" w:hAnsi="Calibri" w:hint="cs"/>
          <w:vertAlign w:val="baseline"/>
          <w:rtl/>
        </w:rPr>
        <w:t>،</w:t>
      </w:r>
      <w:r w:rsidRPr="00EF1C10">
        <w:rPr>
          <w:rFonts w:ascii="Calibri" w:hAnsi="Calibri"/>
          <w:vertAlign w:val="baseline"/>
          <w:rtl/>
        </w:rPr>
        <w:t xml:space="preserve"> </w:t>
      </w:r>
      <w:r w:rsidRPr="00EF1C10">
        <w:rPr>
          <w:rFonts w:ascii="Calibri" w:hAnsi="Calibri" w:hint="cs"/>
          <w:vertAlign w:val="baseline"/>
          <w:rtl/>
        </w:rPr>
        <w:t>ص</w:t>
      </w:r>
      <w:r w:rsidRPr="00EF1C10">
        <w:rPr>
          <w:rFonts w:ascii="Calibri" w:hAnsi="Calibri"/>
          <w:vertAlign w:val="baseline"/>
          <w:rtl/>
        </w:rPr>
        <w:t xml:space="preserve"> 443-450.)</w:t>
      </w:r>
    </w:p>
    <w:p w:rsidR="005F44B2" w:rsidRPr="00EF1C10" w:rsidRDefault="005F44B2" w:rsidP="006D59AD">
      <w:pPr>
        <w:pStyle w:val="a4"/>
        <w:spacing w:line="312" w:lineRule="auto"/>
        <w:rPr>
          <w:vertAlign w:val="baseline"/>
          <w:rtl/>
        </w:rPr>
      </w:pPr>
      <w:r w:rsidRPr="00EF1C10">
        <w:rPr>
          <w:vertAlign w:val="baseline"/>
        </w:rPr>
        <w:t>HALA</w:t>
      </w:r>
      <w:r w:rsidRPr="00EF1C10">
        <w:rPr>
          <w:rFonts w:ascii="Times New Roman" w:hAnsi="Times New Roman" w:cs="Times New Roman"/>
          <w:vertAlign w:val="baseline"/>
        </w:rPr>
        <w:t>Ç</w:t>
      </w:r>
      <w:r w:rsidRPr="00EF1C10">
        <w:rPr>
          <w:vertAlign w:val="baseline"/>
        </w:rPr>
        <w:t>O</w:t>
      </w:r>
      <w:r w:rsidRPr="00EF1C10">
        <w:rPr>
          <w:rFonts w:ascii="Times New Roman" w:hAnsi="Times New Roman" w:cs="Times New Roman"/>
          <w:vertAlign w:val="baseline"/>
        </w:rPr>
        <w:t>Ğ</w:t>
      </w:r>
      <w:r w:rsidRPr="00EF1C10">
        <w:rPr>
          <w:vertAlign w:val="baseline"/>
        </w:rPr>
        <w:t>LU</w:t>
      </w:r>
      <w:r>
        <w:rPr>
          <w:vertAlign w:val="baseline"/>
        </w:rPr>
        <w:t>,</w:t>
      </w:r>
      <w:r w:rsidRPr="00EF1C10">
        <w:rPr>
          <w:vertAlign w:val="baseline"/>
        </w:rPr>
        <w:t xml:space="preserve"> Yusuf– AYDIN</w:t>
      </w:r>
      <w:r>
        <w:rPr>
          <w:vertAlign w:val="baseline"/>
        </w:rPr>
        <w:t>,</w:t>
      </w:r>
      <w:r w:rsidRPr="00EF1C10">
        <w:rPr>
          <w:vertAlign w:val="baseline"/>
        </w:rPr>
        <w:t xml:space="preserve"> M. Akif,  “</w:t>
      </w:r>
      <w:r w:rsidRPr="00EF1C10">
        <w:rPr>
          <w:b/>
          <w:bCs/>
          <w:vertAlign w:val="baseline"/>
        </w:rPr>
        <w:t>CEVDET PA</w:t>
      </w:r>
      <w:r w:rsidRPr="00EF1C10">
        <w:rPr>
          <w:rFonts w:ascii="Times New Roman" w:hAnsi="Times New Roman" w:cs="Times New Roman"/>
          <w:b/>
          <w:bCs/>
          <w:vertAlign w:val="baseline"/>
        </w:rPr>
        <w:t>Ş</w:t>
      </w:r>
      <w:r w:rsidRPr="00EF1C10">
        <w:rPr>
          <w:b/>
          <w:bCs/>
          <w:vertAlign w:val="baseline"/>
        </w:rPr>
        <w:t>A</w:t>
      </w:r>
      <w:r w:rsidRPr="00EF1C10">
        <w:rPr>
          <w:rFonts w:eastAsia="Times New Roman" w:hint="eastAsia"/>
          <w:vertAlign w:val="baseline"/>
        </w:rPr>
        <w:t>”</w:t>
      </w:r>
      <w:r w:rsidRPr="00EF1C10">
        <w:rPr>
          <w:vertAlign w:val="baseline"/>
        </w:rPr>
        <w:t>, D</w:t>
      </w:r>
      <w:r w:rsidRPr="00EF1C10">
        <w:rPr>
          <w:rFonts w:ascii="Times New Roman" w:hAnsi="Times New Roman" w:cs="Times New Roman"/>
          <w:vertAlign w:val="baseline"/>
        </w:rPr>
        <w:t>İ</w:t>
      </w:r>
      <w:r w:rsidRPr="00EF1C10">
        <w:rPr>
          <w:vertAlign w:val="baseline"/>
        </w:rPr>
        <w:t>A, c7, s. 443 –450</w:t>
      </w:r>
    </w:p>
    <w:p w:rsidR="005F44B2" w:rsidRDefault="005F44B2" w:rsidP="006D59AD">
      <w:pPr>
        <w:pStyle w:val="a4"/>
        <w:spacing w:line="312" w:lineRule="auto"/>
      </w:pPr>
      <w:r w:rsidRPr="00EF1C10">
        <w:rPr>
          <w:vertAlign w:val="baseline"/>
          <w:rtl/>
        </w:rPr>
        <w:t>( مالكاج، محمد، "</w:t>
      </w:r>
      <w:r w:rsidRPr="00EF1C10">
        <w:rPr>
          <w:rFonts w:hint="cs"/>
          <w:b/>
          <w:bCs/>
          <w:vertAlign w:val="baseline"/>
          <w:rtl/>
        </w:rPr>
        <w:t>المجلة</w:t>
      </w:r>
      <w:r w:rsidRPr="00EF1C10">
        <w:rPr>
          <w:b/>
          <w:bCs/>
          <w:vertAlign w:val="baseline"/>
          <w:rtl/>
        </w:rPr>
        <w:t xml:space="preserve"> و بحث ببليوغرافي عنها"</w:t>
      </w:r>
      <w:r w:rsidRPr="00EF1C10">
        <w:rPr>
          <w:rFonts w:hint="cs"/>
          <w:vertAlign w:val="baseline"/>
          <w:rtl/>
        </w:rPr>
        <w:t>،</w:t>
      </w:r>
      <w:r w:rsidRPr="00EF1C10">
        <w:rPr>
          <w:vertAlign w:val="baseline"/>
          <w:rtl/>
        </w:rPr>
        <w:t xml:space="preserve"> جامعة الساكاريا، ساكاريا، 2001، ص21-39)           </w:t>
      </w:r>
      <w:r w:rsidRPr="00EF1C10">
        <w:rPr>
          <w:vertAlign w:val="baseline"/>
        </w:rPr>
        <w:t>MALKA</w:t>
      </w:r>
      <w:r w:rsidRPr="00EF1C10">
        <w:rPr>
          <w:rFonts w:ascii="Times New Roman" w:hAnsi="Times New Roman" w:cs="Times New Roman"/>
          <w:vertAlign w:val="baseline"/>
        </w:rPr>
        <w:t>Ç</w:t>
      </w:r>
      <w:r w:rsidRPr="00EF1C10">
        <w:rPr>
          <w:vertAlign w:val="baseline"/>
        </w:rPr>
        <w:t xml:space="preserve">, Mehmet, </w:t>
      </w:r>
      <w:r w:rsidRPr="00EF1C10">
        <w:rPr>
          <w:b/>
          <w:bCs/>
          <w:vertAlign w:val="baseline"/>
        </w:rPr>
        <w:t xml:space="preserve">ANA HATLARIYLA MECELLE VE MECELLE </w:t>
      </w:r>
      <w:r w:rsidRPr="00EF1C10">
        <w:rPr>
          <w:rFonts w:ascii="Times New Roman" w:hAnsi="Times New Roman" w:cs="Times New Roman"/>
          <w:b/>
          <w:bCs/>
          <w:vertAlign w:val="baseline"/>
        </w:rPr>
        <w:t>İ</w:t>
      </w:r>
      <w:r w:rsidRPr="00EF1C10">
        <w:rPr>
          <w:b/>
          <w:bCs/>
          <w:vertAlign w:val="baseline"/>
        </w:rPr>
        <w:t xml:space="preserve">LE </w:t>
      </w:r>
      <w:r w:rsidRPr="00EF1C10">
        <w:rPr>
          <w:rFonts w:ascii="Times New Roman" w:hAnsi="Times New Roman" w:cs="Times New Roman"/>
          <w:b/>
          <w:bCs/>
          <w:vertAlign w:val="baseline"/>
        </w:rPr>
        <w:t>İ</w:t>
      </w:r>
      <w:r w:rsidRPr="00EF1C10">
        <w:rPr>
          <w:b/>
          <w:bCs/>
          <w:vertAlign w:val="baseline"/>
        </w:rPr>
        <w:t>LG</w:t>
      </w:r>
      <w:r w:rsidRPr="00EF1C10">
        <w:rPr>
          <w:rFonts w:ascii="Times New Roman" w:hAnsi="Times New Roman" w:cs="Times New Roman"/>
          <w:b/>
          <w:bCs/>
          <w:vertAlign w:val="baseline"/>
        </w:rPr>
        <w:t>İ</w:t>
      </w:r>
      <w:r w:rsidRPr="00EF1C10">
        <w:rPr>
          <w:b/>
          <w:bCs/>
          <w:vertAlign w:val="baseline"/>
        </w:rPr>
        <w:t>L</w:t>
      </w:r>
      <w:r w:rsidRPr="00EF1C10">
        <w:rPr>
          <w:rFonts w:ascii="Times New Roman" w:hAnsi="Times New Roman" w:cs="Times New Roman"/>
          <w:b/>
          <w:bCs/>
          <w:vertAlign w:val="baseline"/>
        </w:rPr>
        <w:t>İ</w:t>
      </w:r>
      <w:r w:rsidRPr="00EF1C10">
        <w:rPr>
          <w:b/>
          <w:bCs/>
          <w:vertAlign w:val="baseline"/>
        </w:rPr>
        <w:t xml:space="preserve"> B</w:t>
      </w:r>
      <w:r w:rsidRPr="00EF1C10">
        <w:rPr>
          <w:rFonts w:ascii="Times New Roman" w:hAnsi="Times New Roman" w:cs="Times New Roman"/>
          <w:b/>
          <w:bCs/>
          <w:vertAlign w:val="baseline"/>
        </w:rPr>
        <w:t>İ</w:t>
      </w:r>
      <w:r w:rsidRPr="00EF1C10">
        <w:rPr>
          <w:b/>
          <w:bCs/>
          <w:vertAlign w:val="baseline"/>
        </w:rPr>
        <w:t>BL</w:t>
      </w:r>
      <w:r w:rsidRPr="00EF1C10">
        <w:rPr>
          <w:rFonts w:ascii="Times New Roman" w:hAnsi="Times New Roman" w:cs="Times New Roman"/>
          <w:b/>
          <w:bCs/>
          <w:vertAlign w:val="baseline"/>
        </w:rPr>
        <w:t>İ</w:t>
      </w:r>
      <w:r w:rsidRPr="00EF1C10">
        <w:rPr>
          <w:b/>
          <w:bCs/>
          <w:vertAlign w:val="baseline"/>
        </w:rPr>
        <w:t>YOGRAF</w:t>
      </w:r>
      <w:r w:rsidRPr="00EF1C10">
        <w:rPr>
          <w:rFonts w:ascii="Times New Roman" w:hAnsi="Times New Roman" w:cs="Times New Roman"/>
          <w:b/>
          <w:bCs/>
          <w:vertAlign w:val="baseline"/>
        </w:rPr>
        <w:t>İ</w:t>
      </w:r>
      <w:r w:rsidRPr="00EF1C10">
        <w:rPr>
          <w:b/>
          <w:bCs/>
          <w:vertAlign w:val="baseline"/>
        </w:rPr>
        <w:t xml:space="preserve">K </w:t>
      </w:r>
      <w:r w:rsidRPr="00EF1C10">
        <w:rPr>
          <w:rFonts w:ascii="Times New Roman" w:hAnsi="Times New Roman" w:cs="Times New Roman"/>
          <w:b/>
          <w:bCs/>
          <w:vertAlign w:val="baseline"/>
        </w:rPr>
        <w:t>Ç</w:t>
      </w:r>
      <w:r w:rsidRPr="00EF1C10">
        <w:rPr>
          <w:b/>
          <w:bCs/>
          <w:vertAlign w:val="baseline"/>
        </w:rPr>
        <w:t>ALI</w:t>
      </w:r>
      <w:r w:rsidRPr="00EF1C10">
        <w:rPr>
          <w:rFonts w:ascii="Times New Roman" w:hAnsi="Times New Roman" w:cs="Times New Roman"/>
          <w:b/>
          <w:bCs/>
          <w:vertAlign w:val="baseline"/>
        </w:rPr>
        <w:t>Ş</w:t>
      </w:r>
      <w:r w:rsidRPr="00EF1C10">
        <w:rPr>
          <w:b/>
          <w:bCs/>
          <w:vertAlign w:val="baseline"/>
        </w:rPr>
        <w:t>MA</w:t>
      </w:r>
      <w:r w:rsidRPr="00EF1C10">
        <w:rPr>
          <w:vertAlign w:val="baseline"/>
        </w:rPr>
        <w:t xml:space="preserve">, Sakarya </w:t>
      </w:r>
      <w:r w:rsidRPr="00EF1C10">
        <w:rPr>
          <w:rFonts w:ascii="Times New Roman" w:hAnsi="Times New Roman" w:cs="Times New Roman"/>
          <w:vertAlign w:val="baseline"/>
        </w:rPr>
        <w:t>Ü</w:t>
      </w:r>
      <w:r w:rsidRPr="00EF1C10">
        <w:rPr>
          <w:vertAlign w:val="baseline"/>
        </w:rPr>
        <w:t>niversitesi, SAKARYA, 2001, s. 21 – 39</w:t>
      </w:r>
    </w:p>
  </w:footnote>
  <w:footnote w:id="289">
    <w:p w:rsidR="005F44B2" w:rsidRDefault="005F44B2" w:rsidP="006D59AD">
      <w:pPr>
        <w:pStyle w:val="a4"/>
        <w:spacing w:line="312" w:lineRule="auto"/>
      </w:pPr>
      <w:r w:rsidRPr="00D76EA8">
        <w:rPr>
          <w:rtl/>
        </w:rPr>
        <w:t>(</w:t>
      </w:r>
      <w:r w:rsidRPr="00D76EA8">
        <w:rPr>
          <w:rStyle w:val="FootnoteReference"/>
          <w:rFonts w:cs="Arabic Transparent"/>
        </w:rPr>
        <w:footnoteRef/>
      </w:r>
      <w:r w:rsidRPr="00D76EA8">
        <w:rPr>
          <w:rtl/>
        </w:rPr>
        <w:t>)</w:t>
      </w:r>
      <w:r w:rsidRPr="00D76EA8">
        <w:rPr>
          <w:vertAlign w:val="baseline"/>
          <w:rtl/>
        </w:rPr>
        <w:t xml:space="preserve"> أنظر: (آيدِن، عاكف، الموسوعة الإسلامية للأوقاف الدينية التركية، اسم المادة " مدلة الأحكام العدلية"، ج28،</w:t>
      </w:r>
      <w:r w:rsidRPr="00EF1C10">
        <w:rPr>
          <w:vertAlign w:val="baseline"/>
          <w:rtl/>
        </w:rPr>
        <w:t xml:space="preserve"> ص231.) </w:t>
      </w:r>
      <w:r w:rsidRPr="00EF1C10">
        <w:rPr>
          <w:vertAlign w:val="baseline"/>
        </w:rPr>
        <w:t>AYDIN</w:t>
      </w:r>
      <w:r>
        <w:rPr>
          <w:vertAlign w:val="baseline"/>
        </w:rPr>
        <w:t>,</w:t>
      </w:r>
      <w:r w:rsidRPr="00EF1C10">
        <w:rPr>
          <w:vertAlign w:val="baseline"/>
        </w:rPr>
        <w:t xml:space="preserve"> Akif, “</w:t>
      </w:r>
      <w:r w:rsidRPr="00EF1C10">
        <w:rPr>
          <w:b/>
          <w:bCs/>
          <w:vertAlign w:val="baseline"/>
        </w:rPr>
        <w:t>MECELE-i AHK</w:t>
      </w:r>
      <w:r w:rsidRPr="00EF1C10">
        <w:rPr>
          <w:rFonts w:ascii="Times New Roman" w:hAnsi="Times New Roman" w:cs="Times New Roman"/>
          <w:b/>
          <w:bCs/>
          <w:vertAlign w:val="baseline"/>
        </w:rPr>
        <w:t>Â</w:t>
      </w:r>
      <w:r w:rsidRPr="00EF1C10">
        <w:rPr>
          <w:b/>
          <w:bCs/>
          <w:vertAlign w:val="baseline"/>
        </w:rPr>
        <w:t>M-</w:t>
      </w:r>
      <w:r w:rsidRPr="00EF1C10">
        <w:rPr>
          <w:rFonts w:eastAsia="Times New Roman" w:hint="cs"/>
          <w:b/>
          <w:bCs/>
          <w:vertAlign w:val="baseline"/>
        </w:rPr>
        <w:t>ı</w:t>
      </w:r>
      <w:r w:rsidRPr="00EF1C10">
        <w:rPr>
          <w:b/>
          <w:bCs/>
          <w:vertAlign w:val="baseline"/>
        </w:rPr>
        <w:t xml:space="preserve"> ADL</w:t>
      </w:r>
      <w:r w:rsidRPr="00EF1C10">
        <w:rPr>
          <w:rFonts w:ascii="Times New Roman" w:hAnsi="Times New Roman" w:cs="Times New Roman"/>
          <w:b/>
          <w:bCs/>
          <w:vertAlign w:val="baseline"/>
        </w:rPr>
        <w:t>İ</w:t>
      </w:r>
      <w:r w:rsidRPr="00EF1C10">
        <w:rPr>
          <w:b/>
          <w:bCs/>
          <w:vertAlign w:val="baseline"/>
        </w:rPr>
        <w:t>YYE</w:t>
      </w:r>
      <w:r w:rsidRPr="00EF1C10">
        <w:rPr>
          <w:rFonts w:eastAsia="Times New Roman" w:hint="eastAsia"/>
          <w:vertAlign w:val="baseline"/>
        </w:rPr>
        <w:t>”</w:t>
      </w:r>
      <w:r w:rsidRPr="00EF1C10">
        <w:rPr>
          <w:vertAlign w:val="baseline"/>
        </w:rPr>
        <w:t>, D</w:t>
      </w:r>
      <w:r w:rsidRPr="00EF1C10">
        <w:rPr>
          <w:rFonts w:ascii="Times New Roman" w:hAnsi="Times New Roman" w:cs="Times New Roman"/>
          <w:vertAlign w:val="baseline"/>
        </w:rPr>
        <w:t>İ</w:t>
      </w:r>
      <w:r w:rsidRPr="00EF1C10">
        <w:rPr>
          <w:vertAlign w:val="baseline"/>
        </w:rPr>
        <w:t>A, c28, s. 231.</w:t>
      </w:r>
    </w:p>
  </w:footnote>
  <w:footnote w:id="290">
    <w:p w:rsidR="005F44B2" w:rsidRDefault="005F44B2" w:rsidP="006D59AD">
      <w:pPr>
        <w:pStyle w:val="a4"/>
        <w:spacing w:line="312" w:lineRule="auto"/>
      </w:pPr>
      <w:r w:rsidRPr="00D76EA8">
        <w:rPr>
          <w:rtl/>
        </w:rPr>
        <w:t>(</w:t>
      </w:r>
      <w:r w:rsidRPr="00D76EA8">
        <w:rPr>
          <w:rStyle w:val="FootnoteReference"/>
          <w:rFonts w:cs="Arabic Transparent"/>
        </w:rPr>
        <w:footnoteRef/>
      </w:r>
      <w:r w:rsidRPr="00D76EA8">
        <w:rPr>
          <w:rtl/>
        </w:rPr>
        <w:t>)</w:t>
      </w:r>
      <w:r w:rsidRPr="00D76EA8">
        <w:rPr>
          <w:vertAlign w:val="baseline"/>
          <w:rtl/>
        </w:rPr>
        <w:t xml:space="preserve"> أنظر: ( كشكجي، عثمان، "</w:t>
      </w:r>
      <w:r w:rsidRPr="00D76EA8">
        <w:rPr>
          <w:rFonts w:hint="cs"/>
          <w:b/>
          <w:bCs/>
          <w:vertAlign w:val="baseline"/>
          <w:rtl/>
        </w:rPr>
        <w:t>تحضير</w:t>
      </w:r>
      <w:r w:rsidRPr="00D76EA8">
        <w:rPr>
          <w:b/>
          <w:bCs/>
          <w:vertAlign w:val="baseline"/>
          <w:rtl/>
        </w:rPr>
        <w:t xml:space="preserve"> ال</w:t>
      </w:r>
      <w:r w:rsidRPr="00D76EA8">
        <w:rPr>
          <w:rFonts w:hint="cs"/>
          <w:b/>
          <w:bCs/>
          <w:vertAlign w:val="baseline"/>
          <w:rtl/>
        </w:rPr>
        <w:t>مجلة،</w:t>
      </w:r>
      <w:r w:rsidRPr="00D76EA8">
        <w:rPr>
          <w:b/>
          <w:bCs/>
          <w:vertAlign w:val="baseline"/>
          <w:rtl/>
        </w:rPr>
        <w:t xml:space="preserve"> ومميزاتها، وتعديلا</w:t>
      </w:r>
      <w:r w:rsidRPr="00D76EA8">
        <w:rPr>
          <w:rFonts w:hint="cs"/>
          <w:b/>
          <w:bCs/>
          <w:vertAlign w:val="baseline"/>
          <w:rtl/>
        </w:rPr>
        <w:t>تها</w:t>
      </w:r>
      <w:r w:rsidRPr="00D76EA8">
        <w:rPr>
          <w:vertAlign w:val="baseline"/>
          <w:rtl/>
        </w:rPr>
        <w:t xml:space="preserve">" رسالة دكتورة، 1995، اسطنبول، ص109.) </w:t>
      </w:r>
      <w:r w:rsidRPr="00D76EA8">
        <w:rPr>
          <w:vertAlign w:val="baseline"/>
        </w:rPr>
        <w:t>KA</w:t>
      </w:r>
      <w:r w:rsidRPr="00D76EA8">
        <w:rPr>
          <w:rFonts w:ascii="Times New Roman" w:hAnsi="Times New Roman" w:cs="Times New Roman"/>
          <w:vertAlign w:val="baseline"/>
        </w:rPr>
        <w:t>Ş</w:t>
      </w:r>
      <w:r w:rsidRPr="00D76EA8">
        <w:rPr>
          <w:vertAlign w:val="baseline"/>
        </w:rPr>
        <w:t>IK</w:t>
      </w:r>
      <w:r w:rsidRPr="00D76EA8">
        <w:rPr>
          <w:rFonts w:ascii="Times New Roman" w:hAnsi="Times New Roman" w:cs="Times New Roman"/>
          <w:vertAlign w:val="baseline"/>
        </w:rPr>
        <w:t>Ç</w:t>
      </w:r>
      <w:r w:rsidRPr="00D76EA8">
        <w:rPr>
          <w:vertAlign w:val="baseline"/>
        </w:rPr>
        <w:t>I</w:t>
      </w:r>
      <w:r w:rsidRPr="00EF1C10">
        <w:rPr>
          <w:vertAlign w:val="baseline"/>
        </w:rPr>
        <w:t xml:space="preserve">, Osman, </w:t>
      </w:r>
      <w:r w:rsidRPr="00EF1C10">
        <w:rPr>
          <w:b/>
          <w:bCs/>
          <w:vertAlign w:val="baseline"/>
        </w:rPr>
        <w:t>MECELLE’N</w:t>
      </w:r>
      <w:r w:rsidRPr="00EF1C10">
        <w:rPr>
          <w:rFonts w:ascii="Times New Roman" w:hAnsi="Times New Roman" w:cs="Times New Roman"/>
          <w:b/>
          <w:bCs/>
          <w:vertAlign w:val="baseline"/>
        </w:rPr>
        <w:t>İ</w:t>
      </w:r>
      <w:r w:rsidRPr="00EF1C10">
        <w:rPr>
          <w:b/>
          <w:bCs/>
          <w:vertAlign w:val="baseline"/>
        </w:rPr>
        <w:t>N HAZIRLANI</w:t>
      </w:r>
      <w:r w:rsidRPr="00EF1C10">
        <w:rPr>
          <w:rFonts w:ascii="Times New Roman" w:hAnsi="Times New Roman" w:cs="Times New Roman"/>
          <w:b/>
          <w:bCs/>
          <w:vertAlign w:val="baseline"/>
        </w:rPr>
        <w:t>Ş</w:t>
      </w:r>
      <w:r w:rsidRPr="00EF1C10">
        <w:rPr>
          <w:b/>
          <w:bCs/>
          <w:vertAlign w:val="baseline"/>
        </w:rPr>
        <w:t xml:space="preserve">I </w:t>
      </w:r>
      <w:r w:rsidRPr="00EF1C10">
        <w:rPr>
          <w:rFonts w:ascii="Times New Roman" w:hAnsi="Times New Roman" w:cs="Times New Roman"/>
          <w:b/>
          <w:bCs/>
          <w:vertAlign w:val="baseline"/>
        </w:rPr>
        <w:t>Ö</w:t>
      </w:r>
      <w:r w:rsidRPr="00EF1C10">
        <w:rPr>
          <w:b/>
          <w:bCs/>
          <w:vertAlign w:val="baseline"/>
        </w:rPr>
        <w:t>ZELL</w:t>
      </w:r>
      <w:r w:rsidRPr="00EF1C10">
        <w:rPr>
          <w:rFonts w:ascii="Times New Roman" w:hAnsi="Times New Roman" w:cs="Times New Roman"/>
          <w:b/>
          <w:bCs/>
          <w:vertAlign w:val="baseline"/>
        </w:rPr>
        <w:t>İ</w:t>
      </w:r>
      <w:r w:rsidRPr="00EF1C10">
        <w:rPr>
          <w:b/>
          <w:bCs/>
          <w:vertAlign w:val="baseline"/>
        </w:rPr>
        <w:t>KLER</w:t>
      </w:r>
      <w:r w:rsidRPr="00EF1C10">
        <w:rPr>
          <w:rFonts w:ascii="Times New Roman" w:hAnsi="Times New Roman" w:cs="Times New Roman"/>
          <w:b/>
          <w:bCs/>
          <w:vertAlign w:val="baseline"/>
        </w:rPr>
        <w:t>İ</w:t>
      </w:r>
      <w:r w:rsidRPr="00EF1C10">
        <w:rPr>
          <w:b/>
          <w:bCs/>
          <w:vertAlign w:val="baseline"/>
        </w:rPr>
        <w:t xml:space="preserve"> VE </w:t>
      </w:r>
      <w:r w:rsidRPr="00EF1C10">
        <w:rPr>
          <w:rFonts w:ascii="Times New Roman" w:hAnsi="Times New Roman" w:cs="Times New Roman"/>
          <w:b/>
          <w:bCs/>
          <w:vertAlign w:val="baseline"/>
        </w:rPr>
        <w:t>Ü</w:t>
      </w:r>
      <w:r w:rsidRPr="00EF1C10">
        <w:rPr>
          <w:b/>
          <w:bCs/>
          <w:vertAlign w:val="baseline"/>
        </w:rPr>
        <w:t>ZER</w:t>
      </w:r>
      <w:r w:rsidRPr="00EF1C10">
        <w:rPr>
          <w:rFonts w:ascii="Times New Roman" w:hAnsi="Times New Roman" w:cs="Times New Roman"/>
          <w:b/>
          <w:bCs/>
          <w:vertAlign w:val="baseline"/>
        </w:rPr>
        <w:t>İ</w:t>
      </w:r>
      <w:r w:rsidRPr="00EF1C10">
        <w:rPr>
          <w:b/>
          <w:bCs/>
          <w:vertAlign w:val="baseline"/>
        </w:rPr>
        <w:t>NDE YAPILAN DE</w:t>
      </w:r>
      <w:r w:rsidRPr="00EF1C10">
        <w:rPr>
          <w:rFonts w:ascii="Times New Roman" w:hAnsi="Times New Roman" w:cs="Times New Roman"/>
          <w:b/>
          <w:bCs/>
          <w:vertAlign w:val="baseline"/>
        </w:rPr>
        <w:t>ĞİŞİ</w:t>
      </w:r>
      <w:r w:rsidRPr="00EF1C10">
        <w:rPr>
          <w:b/>
          <w:bCs/>
          <w:vertAlign w:val="baseline"/>
        </w:rPr>
        <w:t>KL</w:t>
      </w:r>
      <w:r w:rsidRPr="00EF1C10">
        <w:rPr>
          <w:rFonts w:ascii="Times New Roman" w:hAnsi="Times New Roman" w:cs="Times New Roman"/>
          <w:b/>
          <w:bCs/>
          <w:vertAlign w:val="baseline"/>
        </w:rPr>
        <w:t>İ</w:t>
      </w:r>
      <w:r w:rsidRPr="00EF1C10">
        <w:rPr>
          <w:b/>
          <w:bCs/>
          <w:vertAlign w:val="baseline"/>
        </w:rPr>
        <w:t xml:space="preserve">K </w:t>
      </w:r>
      <w:r w:rsidRPr="00EF1C10">
        <w:rPr>
          <w:rFonts w:ascii="Times New Roman" w:hAnsi="Times New Roman" w:cs="Times New Roman"/>
          <w:b/>
          <w:bCs/>
          <w:vertAlign w:val="baseline"/>
        </w:rPr>
        <w:t>Ç</w:t>
      </w:r>
      <w:r w:rsidRPr="00EF1C10">
        <w:rPr>
          <w:b/>
          <w:bCs/>
          <w:vertAlign w:val="baseline"/>
        </w:rPr>
        <w:t>ALI</w:t>
      </w:r>
      <w:r w:rsidRPr="00EF1C10">
        <w:rPr>
          <w:rFonts w:ascii="Times New Roman" w:hAnsi="Times New Roman" w:cs="Times New Roman"/>
          <w:b/>
          <w:bCs/>
          <w:vertAlign w:val="baseline"/>
        </w:rPr>
        <w:t>Ş</w:t>
      </w:r>
      <w:r w:rsidRPr="00EF1C10">
        <w:rPr>
          <w:b/>
          <w:bCs/>
          <w:vertAlign w:val="baseline"/>
        </w:rPr>
        <w:t>MALARI</w:t>
      </w:r>
      <w:r w:rsidRPr="00EF1C10">
        <w:rPr>
          <w:vertAlign w:val="baseline"/>
        </w:rPr>
        <w:t xml:space="preserve">, </w:t>
      </w:r>
      <w:r w:rsidRPr="00EF1C10">
        <w:rPr>
          <w:rFonts w:ascii="Times New Roman" w:hAnsi="Times New Roman" w:cs="Times New Roman"/>
          <w:vertAlign w:val="baseline"/>
        </w:rPr>
        <w:t>İ</w:t>
      </w:r>
      <w:r w:rsidRPr="00EF1C10">
        <w:rPr>
          <w:vertAlign w:val="baseline"/>
        </w:rPr>
        <w:t xml:space="preserve">stanbul </w:t>
      </w:r>
      <w:r w:rsidRPr="00EF1C10">
        <w:rPr>
          <w:rFonts w:ascii="Times New Roman" w:hAnsi="Times New Roman" w:cs="Times New Roman"/>
          <w:vertAlign w:val="baseline"/>
        </w:rPr>
        <w:t>Ü</w:t>
      </w:r>
      <w:r w:rsidRPr="00EF1C10">
        <w:rPr>
          <w:vertAlign w:val="baseline"/>
        </w:rPr>
        <w:t xml:space="preserve">niversitesi, </w:t>
      </w:r>
      <w:r w:rsidRPr="00EF1C10">
        <w:rPr>
          <w:rFonts w:ascii="Times New Roman" w:hAnsi="Times New Roman" w:cs="Times New Roman"/>
          <w:vertAlign w:val="baseline"/>
        </w:rPr>
        <w:t>İ</w:t>
      </w:r>
      <w:r w:rsidRPr="00EF1C10">
        <w:rPr>
          <w:vertAlign w:val="baseline"/>
        </w:rPr>
        <w:t>STANBUL, 1995, s.104</w:t>
      </w:r>
    </w:p>
  </w:footnote>
  <w:footnote w:id="291">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كشكجي، عثمان، المرجع سابق، ص 118)</w:t>
      </w:r>
    </w:p>
    <w:p w:rsidR="005F44B2" w:rsidRDefault="005F44B2" w:rsidP="006D59AD">
      <w:pPr>
        <w:pStyle w:val="a4"/>
        <w:spacing w:line="312" w:lineRule="auto"/>
      </w:pPr>
      <w:r w:rsidRPr="00EF1C10">
        <w:rPr>
          <w:vertAlign w:val="baseline"/>
        </w:rPr>
        <w:t>KA</w:t>
      </w:r>
      <w:r w:rsidRPr="00EF1C10">
        <w:rPr>
          <w:rFonts w:ascii="Times New Roman" w:hAnsi="Times New Roman" w:cs="Times New Roman"/>
          <w:vertAlign w:val="baseline"/>
        </w:rPr>
        <w:t>Ş</w:t>
      </w:r>
      <w:r w:rsidRPr="00EF1C10">
        <w:rPr>
          <w:vertAlign w:val="baseline"/>
        </w:rPr>
        <w:t>IK</w:t>
      </w:r>
      <w:r w:rsidRPr="00EF1C10">
        <w:rPr>
          <w:rFonts w:ascii="Times New Roman" w:hAnsi="Times New Roman" w:cs="Times New Roman"/>
          <w:vertAlign w:val="baseline"/>
        </w:rPr>
        <w:t>Ç</w:t>
      </w:r>
      <w:r w:rsidRPr="00EF1C10">
        <w:rPr>
          <w:vertAlign w:val="baseline"/>
        </w:rPr>
        <w:t>I, Osman, MECELLE’N</w:t>
      </w:r>
      <w:r w:rsidRPr="00EF1C10">
        <w:rPr>
          <w:rFonts w:ascii="Times New Roman" w:hAnsi="Times New Roman" w:cs="Times New Roman"/>
          <w:vertAlign w:val="baseline"/>
        </w:rPr>
        <w:t>İ</w:t>
      </w:r>
      <w:r w:rsidRPr="00EF1C10">
        <w:rPr>
          <w:vertAlign w:val="baseline"/>
        </w:rPr>
        <w:t>N HAZIRLANI</w:t>
      </w:r>
      <w:r w:rsidRPr="00EF1C10">
        <w:rPr>
          <w:rFonts w:ascii="Times New Roman" w:hAnsi="Times New Roman" w:cs="Times New Roman"/>
          <w:vertAlign w:val="baseline"/>
        </w:rPr>
        <w:t>Ş</w:t>
      </w:r>
      <w:r w:rsidRPr="00EF1C10">
        <w:rPr>
          <w:vertAlign w:val="baseline"/>
        </w:rPr>
        <w:t xml:space="preserve">I </w:t>
      </w:r>
      <w:r w:rsidRPr="00EF1C10">
        <w:rPr>
          <w:rFonts w:ascii="Times New Roman" w:hAnsi="Times New Roman" w:cs="Times New Roman"/>
          <w:vertAlign w:val="baseline"/>
        </w:rPr>
        <w:t>Ö</w:t>
      </w:r>
      <w:r w:rsidRPr="00EF1C10">
        <w:rPr>
          <w:vertAlign w:val="baseline"/>
        </w:rPr>
        <w:t>ZELL</w:t>
      </w:r>
      <w:r w:rsidRPr="00EF1C10">
        <w:rPr>
          <w:rFonts w:ascii="Times New Roman" w:hAnsi="Times New Roman" w:cs="Times New Roman"/>
          <w:vertAlign w:val="baseline"/>
        </w:rPr>
        <w:t>İ</w:t>
      </w:r>
      <w:r w:rsidRPr="00EF1C10">
        <w:rPr>
          <w:vertAlign w:val="baseline"/>
        </w:rPr>
        <w:t>KLER</w:t>
      </w:r>
      <w:r w:rsidRPr="00EF1C10">
        <w:rPr>
          <w:rFonts w:ascii="Times New Roman" w:hAnsi="Times New Roman" w:cs="Times New Roman"/>
          <w:vertAlign w:val="baseline"/>
        </w:rPr>
        <w:t>İ</w:t>
      </w:r>
      <w:r w:rsidRPr="00EF1C10">
        <w:rPr>
          <w:vertAlign w:val="baseline"/>
        </w:rPr>
        <w:t xml:space="preserve"> VE </w:t>
      </w:r>
      <w:r w:rsidRPr="00EF1C10">
        <w:rPr>
          <w:rFonts w:ascii="Times New Roman" w:hAnsi="Times New Roman" w:cs="Times New Roman"/>
          <w:vertAlign w:val="baseline"/>
        </w:rPr>
        <w:t>Ü</w:t>
      </w:r>
      <w:r w:rsidRPr="00EF1C10">
        <w:rPr>
          <w:vertAlign w:val="baseline"/>
        </w:rPr>
        <w:t>ZER</w:t>
      </w:r>
      <w:r w:rsidRPr="00EF1C10">
        <w:rPr>
          <w:rFonts w:ascii="Times New Roman" w:hAnsi="Times New Roman" w:cs="Times New Roman"/>
          <w:vertAlign w:val="baseline"/>
        </w:rPr>
        <w:t>İ</w:t>
      </w:r>
      <w:r w:rsidRPr="00EF1C10">
        <w:rPr>
          <w:vertAlign w:val="baseline"/>
        </w:rPr>
        <w:t>NDE YAPILAN DE</w:t>
      </w:r>
      <w:r w:rsidRPr="00EF1C10">
        <w:rPr>
          <w:rFonts w:ascii="Times New Roman" w:hAnsi="Times New Roman" w:cs="Times New Roman"/>
          <w:vertAlign w:val="baseline"/>
        </w:rPr>
        <w:t>ĞİŞİ</w:t>
      </w:r>
      <w:r w:rsidRPr="00EF1C10">
        <w:rPr>
          <w:vertAlign w:val="baseline"/>
        </w:rPr>
        <w:t>KL</w:t>
      </w:r>
      <w:r w:rsidRPr="00EF1C10">
        <w:rPr>
          <w:rFonts w:ascii="Times New Roman" w:hAnsi="Times New Roman" w:cs="Times New Roman"/>
          <w:vertAlign w:val="baseline"/>
        </w:rPr>
        <w:t>İ</w:t>
      </w:r>
      <w:r w:rsidRPr="00EF1C10">
        <w:rPr>
          <w:vertAlign w:val="baseline"/>
        </w:rPr>
        <w:t xml:space="preserve">K </w:t>
      </w:r>
      <w:r w:rsidRPr="00EF1C10">
        <w:rPr>
          <w:rFonts w:ascii="Times New Roman" w:hAnsi="Times New Roman" w:cs="Times New Roman"/>
          <w:vertAlign w:val="baseline"/>
        </w:rPr>
        <w:t>Ç</w:t>
      </w:r>
      <w:r w:rsidRPr="00EF1C10">
        <w:rPr>
          <w:vertAlign w:val="baseline"/>
        </w:rPr>
        <w:t>ALI</w:t>
      </w:r>
      <w:r w:rsidRPr="00EF1C10">
        <w:rPr>
          <w:rFonts w:ascii="Times New Roman" w:hAnsi="Times New Roman" w:cs="Times New Roman"/>
          <w:vertAlign w:val="baseline"/>
        </w:rPr>
        <w:t>Ş</w:t>
      </w:r>
      <w:r w:rsidRPr="00EF1C10">
        <w:rPr>
          <w:vertAlign w:val="baseline"/>
        </w:rPr>
        <w:t>MALARI s. 118</w:t>
      </w:r>
    </w:p>
  </w:footnote>
  <w:footnote w:id="292">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u w:val="single"/>
        </w:rPr>
        <w:footnoteRef/>
      </w:r>
      <w:r w:rsidRPr="000C2566">
        <w:rPr>
          <w:rtl/>
        </w:rPr>
        <w:t>)</w:t>
      </w:r>
      <w:r w:rsidRPr="00EF1C10">
        <w:rPr>
          <w:rFonts w:hint="cs"/>
          <w:vertAlign w:val="baseline"/>
          <w:rtl/>
        </w:rPr>
        <w:t>أنظر</w:t>
      </w:r>
      <w:r w:rsidRPr="00EF1C10">
        <w:rPr>
          <w:vertAlign w:val="baseline"/>
          <w:rtl/>
        </w:rPr>
        <w:t>:( كشكجي، عثمان، المرجع سابق، ص 118)</w:t>
      </w:r>
    </w:p>
    <w:p w:rsidR="005F44B2" w:rsidRPr="00EF1C10" w:rsidRDefault="005F44B2" w:rsidP="006D59AD">
      <w:pPr>
        <w:pStyle w:val="a4"/>
        <w:spacing w:line="312" w:lineRule="auto"/>
        <w:rPr>
          <w:vertAlign w:val="baseline"/>
          <w:rtl/>
        </w:rPr>
      </w:pPr>
      <w:r w:rsidRPr="00EF1C10">
        <w:rPr>
          <w:vertAlign w:val="baseline"/>
        </w:rPr>
        <w:t>KA</w:t>
      </w:r>
      <w:r w:rsidRPr="00EF1C10">
        <w:rPr>
          <w:rFonts w:ascii="Times New Roman" w:hAnsi="Times New Roman" w:cs="Times New Roman"/>
          <w:vertAlign w:val="baseline"/>
        </w:rPr>
        <w:t>Ş</w:t>
      </w:r>
      <w:r w:rsidRPr="00EF1C10">
        <w:rPr>
          <w:vertAlign w:val="baseline"/>
        </w:rPr>
        <w:t>IK</w:t>
      </w:r>
      <w:r w:rsidRPr="00EF1C10">
        <w:rPr>
          <w:rFonts w:ascii="Times New Roman" w:hAnsi="Times New Roman" w:cs="Times New Roman"/>
          <w:vertAlign w:val="baseline"/>
        </w:rPr>
        <w:t>Ç</w:t>
      </w:r>
      <w:r w:rsidRPr="00EF1C10">
        <w:rPr>
          <w:vertAlign w:val="baseline"/>
        </w:rPr>
        <w:t>I, Osman, MECELLE’N</w:t>
      </w:r>
      <w:r w:rsidRPr="00EF1C10">
        <w:rPr>
          <w:rFonts w:ascii="Times New Roman" w:hAnsi="Times New Roman" w:cs="Times New Roman"/>
          <w:vertAlign w:val="baseline"/>
        </w:rPr>
        <w:t>İ</w:t>
      </w:r>
      <w:r w:rsidRPr="00EF1C10">
        <w:rPr>
          <w:vertAlign w:val="baseline"/>
        </w:rPr>
        <w:t>N HAZIRLANI</w:t>
      </w:r>
      <w:r w:rsidRPr="00EF1C10">
        <w:rPr>
          <w:rFonts w:ascii="Times New Roman" w:hAnsi="Times New Roman" w:cs="Times New Roman"/>
          <w:vertAlign w:val="baseline"/>
        </w:rPr>
        <w:t>Ş</w:t>
      </w:r>
      <w:r w:rsidRPr="00EF1C10">
        <w:rPr>
          <w:vertAlign w:val="baseline"/>
        </w:rPr>
        <w:t xml:space="preserve">I </w:t>
      </w:r>
      <w:r w:rsidRPr="00EF1C10">
        <w:rPr>
          <w:rFonts w:ascii="Times New Roman" w:hAnsi="Times New Roman" w:cs="Times New Roman"/>
          <w:vertAlign w:val="baseline"/>
        </w:rPr>
        <w:t>Ö</w:t>
      </w:r>
      <w:r w:rsidRPr="00EF1C10">
        <w:rPr>
          <w:vertAlign w:val="baseline"/>
        </w:rPr>
        <w:t>ZELL</w:t>
      </w:r>
      <w:r w:rsidRPr="00EF1C10">
        <w:rPr>
          <w:rFonts w:ascii="Times New Roman" w:hAnsi="Times New Roman" w:cs="Times New Roman"/>
          <w:vertAlign w:val="baseline"/>
        </w:rPr>
        <w:t>İ</w:t>
      </w:r>
      <w:r w:rsidRPr="00EF1C10">
        <w:rPr>
          <w:vertAlign w:val="baseline"/>
        </w:rPr>
        <w:t>KLER</w:t>
      </w:r>
      <w:r w:rsidRPr="00EF1C10">
        <w:rPr>
          <w:rFonts w:ascii="Times New Roman" w:hAnsi="Times New Roman" w:cs="Times New Roman"/>
          <w:vertAlign w:val="baseline"/>
        </w:rPr>
        <w:t>İ</w:t>
      </w:r>
      <w:r w:rsidRPr="00EF1C10">
        <w:rPr>
          <w:vertAlign w:val="baseline"/>
        </w:rPr>
        <w:t xml:space="preserve"> VE </w:t>
      </w:r>
      <w:r w:rsidRPr="00EF1C10">
        <w:rPr>
          <w:rFonts w:ascii="Times New Roman" w:hAnsi="Times New Roman" w:cs="Times New Roman"/>
          <w:vertAlign w:val="baseline"/>
        </w:rPr>
        <w:t>Ü</w:t>
      </w:r>
      <w:r w:rsidRPr="00EF1C10">
        <w:rPr>
          <w:vertAlign w:val="baseline"/>
        </w:rPr>
        <w:t>ZER</w:t>
      </w:r>
      <w:r w:rsidRPr="00EF1C10">
        <w:rPr>
          <w:rFonts w:ascii="Times New Roman" w:hAnsi="Times New Roman" w:cs="Times New Roman"/>
          <w:vertAlign w:val="baseline"/>
        </w:rPr>
        <w:t>İ</w:t>
      </w:r>
      <w:r w:rsidRPr="00EF1C10">
        <w:rPr>
          <w:vertAlign w:val="baseline"/>
        </w:rPr>
        <w:t>NDE YAPILAN DE</w:t>
      </w:r>
      <w:r w:rsidRPr="00EF1C10">
        <w:rPr>
          <w:rFonts w:ascii="Times New Roman" w:hAnsi="Times New Roman" w:cs="Times New Roman"/>
          <w:vertAlign w:val="baseline"/>
        </w:rPr>
        <w:t>ĞİŞİ</w:t>
      </w:r>
      <w:r w:rsidRPr="00EF1C10">
        <w:rPr>
          <w:vertAlign w:val="baseline"/>
        </w:rPr>
        <w:t>KL</w:t>
      </w:r>
      <w:r w:rsidRPr="00EF1C10">
        <w:rPr>
          <w:rFonts w:ascii="Times New Roman" w:hAnsi="Times New Roman" w:cs="Times New Roman"/>
          <w:vertAlign w:val="baseline"/>
        </w:rPr>
        <w:t>İ</w:t>
      </w:r>
      <w:r w:rsidRPr="00EF1C10">
        <w:rPr>
          <w:vertAlign w:val="baseline"/>
        </w:rPr>
        <w:t xml:space="preserve">K </w:t>
      </w:r>
      <w:r w:rsidRPr="00EF1C10">
        <w:rPr>
          <w:rFonts w:ascii="Times New Roman" w:hAnsi="Times New Roman" w:cs="Times New Roman"/>
          <w:vertAlign w:val="baseline"/>
        </w:rPr>
        <w:t>Ç</w:t>
      </w:r>
      <w:r w:rsidRPr="00EF1C10">
        <w:rPr>
          <w:vertAlign w:val="baseline"/>
        </w:rPr>
        <w:t>ALI</w:t>
      </w:r>
      <w:r w:rsidRPr="00EF1C10">
        <w:rPr>
          <w:rFonts w:ascii="Times New Roman" w:hAnsi="Times New Roman" w:cs="Times New Roman"/>
          <w:vertAlign w:val="baseline"/>
        </w:rPr>
        <w:t>Ş</w:t>
      </w:r>
      <w:r w:rsidRPr="00EF1C10">
        <w:rPr>
          <w:vertAlign w:val="baseline"/>
        </w:rPr>
        <w:t>MALARI, s.118</w:t>
      </w:r>
    </w:p>
    <w:p w:rsidR="005F44B2" w:rsidRDefault="005F44B2" w:rsidP="006D59AD">
      <w:pPr>
        <w:pStyle w:val="a4"/>
        <w:spacing w:line="312" w:lineRule="auto"/>
      </w:pPr>
      <w:r w:rsidRPr="00EF1C10">
        <w:rPr>
          <w:rFonts w:hint="cs"/>
          <w:vertAlign w:val="baseline"/>
          <w:rtl/>
        </w:rPr>
        <w:t>محمصاني،</w:t>
      </w:r>
      <w:r w:rsidRPr="00EF1C10">
        <w:rPr>
          <w:vertAlign w:val="baseline"/>
          <w:rtl/>
        </w:rPr>
        <w:t xml:space="preserve"> صبحي رجب، </w:t>
      </w:r>
      <w:r w:rsidRPr="00EF1C10">
        <w:rPr>
          <w:rFonts w:hint="cs"/>
          <w:b/>
          <w:bCs/>
          <w:vertAlign w:val="baseline"/>
          <w:rtl/>
        </w:rPr>
        <w:t>فلسفة</w:t>
      </w:r>
      <w:r w:rsidRPr="00EF1C10">
        <w:rPr>
          <w:b/>
          <w:bCs/>
          <w:vertAlign w:val="baseline"/>
          <w:rtl/>
        </w:rPr>
        <w:t xml:space="preserve"> التشريع في الإسلام</w:t>
      </w:r>
      <w:r w:rsidRPr="00EF1C10">
        <w:rPr>
          <w:rFonts w:hint="cs"/>
          <w:vertAlign w:val="baseline"/>
          <w:rtl/>
        </w:rPr>
        <w:t>،</w:t>
      </w:r>
      <w:r w:rsidRPr="00EF1C10">
        <w:rPr>
          <w:vertAlign w:val="baseline"/>
          <w:rtl/>
        </w:rPr>
        <w:t xml:space="preserve"> ط3، دار الكشّاف،</w:t>
      </w:r>
      <w:r>
        <w:rPr>
          <w:vertAlign w:val="baseline"/>
          <w:rtl/>
        </w:rPr>
        <w:t xml:space="preserve"> بيروت،</w:t>
      </w:r>
      <w:r w:rsidRPr="00EF1C10">
        <w:rPr>
          <w:vertAlign w:val="baseline"/>
          <w:rtl/>
        </w:rPr>
        <w:t xml:space="preserve"> 1952</w:t>
      </w:r>
      <w:r>
        <w:rPr>
          <w:rFonts w:hint="cs"/>
          <w:vertAlign w:val="baseline"/>
          <w:rtl/>
        </w:rPr>
        <w:t>م</w:t>
      </w:r>
      <w:r w:rsidRPr="00EF1C10">
        <w:rPr>
          <w:rFonts w:hint="cs"/>
          <w:vertAlign w:val="baseline"/>
          <w:rtl/>
        </w:rPr>
        <w:t>،</w:t>
      </w:r>
      <w:r w:rsidRPr="00EF1C10">
        <w:rPr>
          <w:vertAlign w:val="baseline"/>
          <w:rtl/>
        </w:rPr>
        <w:t xml:space="preserve"> ص64.</w:t>
      </w:r>
    </w:p>
  </w:footnote>
  <w:footnote w:id="293">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(ماردين، ابو العلى، أحمد جودت باشا من جهة حقوق المدني، ص160 – 166.)</w:t>
      </w:r>
    </w:p>
    <w:p w:rsidR="005F44B2" w:rsidRDefault="005F44B2" w:rsidP="006D59AD">
      <w:pPr>
        <w:pStyle w:val="a4"/>
        <w:spacing w:line="312" w:lineRule="auto"/>
      </w:pPr>
      <w:r w:rsidRPr="00EF1C10">
        <w:rPr>
          <w:vertAlign w:val="baseline"/>
        </w:rPr>
        <w:t>Mardin, Ebul’ulâ, Medeni Hukuk Cephesinden A</w:t>
      </w:r>
      <w:r>
        <w:rPr>
          <w:vertAlign w:val="baseline"/>
        </w:rPr>
        <w:t>hmet Cevdet Pa</w:t>
      </w:r>
      <w:r>
        <w:rPr>
          <w:rFonts w:ascii="Times New Roman" w:hAnsi="Times New Roman" w:cs="Times New Roman"/>
          <w:vertAlign w:val="baseline"/>
        </w:rPr>
        <w:t>ş</w:t>
      </w:r>
      <w:r>
        <w:rPr>
          <w:vertAlign w:val="baseline"/>
        </w:rPr>
        <w:t>a, s. 160 – 165</w:t>
      </w:r>
    </w:p>
  </w:footnote>
  <w:footnote w:id="294">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(ماردين، ابو العلى، أحمد جودت باشا من جهة حقوق المدني، ص160 – 166.)</w:t>
      </w:r>
    </w:p>
    <w:p w:rsidR="005F44B2" w:rsidRDefault="005F44B2" w:rsidP="006D59AD">
      <w:pPr>
        <w:pStyle w:val="a4"/>
        <w:bidi w:val="0"/>
        <w:spacing w:line="312" w:lineRule="auto"/>
      </w:pPr>
      <w:r w:rsidRPr="00EF1C10">
        <w:rPr>
          <w:vertAlign w:val="baseline"/>
        </w:rPr>
        <w:t>Mardin, Ebul’ulâ, Medeni Hukuk Cephesinden A</w:t>
      </w:r>
      <w:r>
        <w:rPr>
          <w:vertAlign w:val="baseline"/>
        </w:rPr>
        <w:t>hmet Cevdet Pa</w:t>
      </w:r>
      <w:r>
        <w:rPr>
          <w:rFonts w:ascii="Times New Roman" w:hAnsi="Times New Roman" w:cs="Times New Roman"/>
          <w:vertAlign w:val="baseline"/>
        </w:rPr>
        <w:t>ş</w:t>
      </w:r>
      <w:r>
        <w:rPr>
          <w:vertAlign w:val="baseline"/>
        </w:rPr>
        <w:t>a, s. 160 – 165</w:t>
      </w:r>
    </w:p>
  </w:footnote>
  <w:footnote w:id="295">
    <w:p w:rsidR="005F44B2" w:rsidRPr="00EF1C10"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أنظر: (ماردين، ابو العلى، أحمد جودت باشا من جهة حقوق المدني، ص 163.)</w:t>
      </w:r>
    </w:p>
    <w:p w:rsidR="005F44B2" w:rsidRDefault="005F44B2" w:rsidP="006D59AD">
      <w:pPr>
        <w:pStyle w:val="a4"/>
        <w:spacing w:line="312" w:lineRule="auto"/>
      </w:pPr>
      <w:r w:rsidRPr="00EF1C10">
        <w:rPr>
          <w:vertAlign w:val="baseline"/>
        </w:rPr>
        <w:t>Mardin, Ebul’ulâ, Medeni Hukuk Cephesinden Ahmet Cevdet Pa</w:t>
      </w:r>
      <w:r w:rsidRPr="00EF1C10">
        <w:rPr>
          <w:rFonts w:ascii="Times New Roman" w:hAnsi="Times New Roman" w:cs="Times New Roman"/>
          <w:vertAlign w:val="baseline"/>
        </w:rPr>
        <w:t>ş</w:t>
      </w:r>
      <w:r w:rsidRPr="00EF1C10">
        <w:rPr>
          <w:vertAlign w:val="baseline"/>
        </w:rPr>
        <w:t>a, s. 163.</w:t>
      </w:r>
    </w:p>
  </w:footnote>
  <w:footnote w:id="296">
    <w:p w:rsidR="005F44B2" w:rsidRDefault="005F44B2" w:rsidP="006D59AD">
      <w:pPr>
        <w:pStyle w:val="a4"/>
        <w:spacing w:line="312" w:lineRule="auto"/>
        <w:rPr>
          <w:u w:val="single"/>
          <w:vertAlign w:val="baseline"/>
        </w:rPr>
      </w:pPr>
      <w:r w:rsidRPr="000C2566">
        <w:rPr>
          <w:rtl/>
        </w:rPr>
        <w:t>(</w:t>
      </w:r>
      <w:r w:rsidRPr="000C2566">
        <w:rPr>
          <w:rStyle w:val="FootnoteReference"/>
          <w:rFonts w:cs="Arabic Transparent"/>
        </w:rPr>
        <w:footnoteRef/>
      </w:r>
      <w:r w:rsidRPr="000C2566">
        <w:rPr>
          <w:rtl/>
        </w:rPr>
        <w:t>)</w:t>
      </w:r>
      <w:r w:rsidRPr="00EF1C10">
        <w:rPr>
          <w:vertAlign w:val="baseline"/>
          <w:rtl/>
        </w:rPr>
        <w:t xml:space="preserve"> هو الكتاب السادس من المجلة ولكنه أتلف، بعد نشر الكتاب الرابع، بدأت اللجنة تحضير الكتاب الخامس وعندما وصلوا إلى نهايته عُزل أحمد جودت باشا من رئاسة مجلة الأحكام العدلية وعين واليا لمدينة بورصة، وبعد عزله بدأ اللجنة تكتب الكتاب السادس </w:t>
      </w:r>
      <w:r w:rsidRPr="00EF1C10">
        <w:rPr>
          <w:rFonts w:hint="cs"/>
          <w:vertAlign w:val="baseline"/>
          <w:rtl/>
        </w:rPr>
        <w:t>وهو</w:t>
      </w:r>
      <w:r w:rsidRPr="00EF1C10">
        <w:rPr>
          <w:vertAlign w:val="baseline"/>
          <w:rtl/>
        </w:rPr>
        <w:t xml:space="preserve"> كتاب الوديعة، بعد إص</w:t>
      </w:r>
      <w:r w:rsidRPr="00EF1C10">
        <w:rPr>
          <w:rFonts w:hint="cs"/>
          <w:vertAlign w:val="baseline"/>
          <w:rtl/>
        </w:rPr>
        <w:t>دار</w:t>
      </w:r>
      <w:r w:rsidRPr="00EF1C10">
        <w:rPr>
          <w:vertAlign w:val="baseline"/>
          <w:rtl/>
        </w:rPr>
        <w:t xml:space="preserve"> الكتاب تعرّض لانتقاد كثير من المتخصصين في الحقوق، لأنه كان مختلفًا عن الكتب الأخرى من ناحية تقسيم ابوابه و لغته القضائية، وتنظيم أحكامه، وتقنية تقنينه وغير ذلك، لهذا السبب جُمع كتاب الوديعة وأتلف، وبعد رجوع أحمد جودت باشا رئيسا، أدخل موضوع الوديعة في كتاب </w:t>
      </w:r>
      <w:r w:rsidRPr="00B950E7">
        <w:rPr>
          <w:rFonts w:hint="cs"/>
          <w:vertAlign w:val="baseline"/>
          <w:rtl/>
        </w:rPr>
        <w:t>الأمانات</w:t>
      </w:r>
      <w:r w:rsidRPr="00B950E7">
        <w:rPr>
          <w:vertAlign w:val="baseline"/>
          <w:rtl/>
        </w:rPr>
        <w:t xml:space="preserve">. أنظر: ( آيدِن، عاكف، الكتاب السادس للمجلة التي أُتلفت، </w:t>
      </w:r>
      <w:r w:rsidRPr="00B950E7">
        <w:rPr>
          <w:rFonts w:hint="cs"/>
          <w:b/>
          <w:bCs/>
          <w:i/>
          <w:iCs/>
          <w:vertAlign w:val="baseline"/>
          <w:rtl/>
        </w:rPr>
        <w:t>بحوث</w:t>
      </w:r>
      <w:r w:rsidRPr="00B950E7">
        <w:rPr>
          <w:b/>
          <w:bCs/>
          <w:i/>
          <w:iCs/>
          <w:vertAlign w:val="baseline"/>
          <w:rtl/>
        </w:rPr>
        <w:t xml:space="preserve"> ا</w:t>
      </w:r>
      <w:r w:rsidRPr="00B950E7">
        <w:rPr>
          <w:rFonts w:hint="cs"/>
          <w:b/>
          <w:bCs/>
          <w:i/>
          <w:iCs/>
          <w:vertAlign w:val="baseline"/>
          <w:rtl/>
        </w:rPr>
        <w:t>لعثمانية</w:t>
      </w:r>
      <w:r w:rsidRPr="00B950E7">
        <w:rPr>
          <w:rFonts w:hint="cs"/>
          <w:vertAlign w:val="baseline"/>
          <w:rtl/>
        </w:rPr>
        <w:t>،</w:t>
      </w:r>
      <w:r w:rsidRPr="00B950E7">
        <w:rPr>
          <w:vertAlign w:val="baseline"/>
          <w:rtl/>
        </w:rPr>
        <w:t xml:space="preserve"> اسطانبول، 1993، ج13، ص 207 – 213)</w:t>
      </w:r>
    </w:p>
    <w:p w:rsidR="005F44B2" w:rsidRPr="00EF1C10" w:rsidRDefault="005F44B2" w:rsidP="006D59AD">
      <w:pPr>
        <w:pStyle w:val="a4"/>
        <w:spacing w:line="312" w:lineRule="auto"/>
        <w:rPr>
          <w:vertAlign w:val="baseline"/>
          <w:rtl/>
        </w:rPr>
      </w:pPr>
      <w:r w:rsidRPr="00EF1C10">
        <w:rPr>
          <w:vertAlign w:val="baseline"/>
        </w:rPr>
        <w:t>AYDIN</w:t>
      </w:r>
      <w:r>
        <w:rPr>
          <w:vertAlign w:val="baseline"/>
        </w:rPr>
        <w:t>,</w:t>
      </w:r>
      <w:r w:rsidRPr="00EF1C10">
        <w:rPr>
          <w:vertAlign w:val="baseline"/>
        </w:rPr>
        <w:t xml:space="preserve"> M. Akif, “ </w:t>
      </w:r>
      <w:r w:rsidRPr="00EF1C10">
        <w:rPr>
          <w:b/>
          <w:bCs/>
          <w:vertAlign w:val="baseline"/>
        </w:rPr>
        <w:t>MECELLEN</w:t>
      </w:r>
      <w:r w:rsidRPr="00EF1C10">
        <w:rPr>
          <w:rFonts w:ascii="Times New Roman" w:hAnsi="Times New Roman" w:cs="Times New Roman"/>
          <w:b/>
          <w:bCs/>
          <w:vertAlign w:val="baseline"/>
        </w:rPr>
        <w:t>İ</w:t>
      </w:r>
      <w:r w:rsidRPr="00EF1C10">
        <w:rPr>
          <w:b/>
          <w:bCs/>
          <w:vertAlign w:val="baseline"/>
        </w:rPr>
        <w:t>N Y</w:t>
      </w:r>
      <w:r w:rsidRPr="00EF1C10">
        <w:rPr>
          <w:rFonts w:ascii="Times New Roman" w:hAnsi="Times New Roman" w:cs="Times New Roman"/>
          <w:b/>
          <w:bCs/>
          <w:vertAlign w:val="baseline"/>
        </w:rPr>
        <w:t>Ü</w:t>
      </w:r>
      <w:r w:rsidRPr="00EF1C10">
        <w:rPr>
          <w:b/>
          <w:bCs/>
          <w:vertAlign w:val="baseline"/>
        </w:rPr>
        <w:t>R</w:t>
      </w:r>
      <w:r w:rsidRPr="00EF1C10">
        <w:rPr>
          <w:rFonts w:ascii="Times New Roman" w:hAnsi="Times New Roman" w:cs="Times New Roman"/>
          <w:b/>
          <w:bCs/>
          <w:vertAlign w:val="baseline"/>
        </w:rPr>
        <w:t>Ü</w:t>
      </w:r>
      <w:r w:rsidRPr="00EF1C10">
        <w:rPr>
          <w:b/>
          <w:bCs/>
          <w:vertAlign w:val="baseline"/>
        </w:rPr>
        <w:t>RL</w:t>
      </w:r>
      <w:r w:rsidRPr="00EF1C10">
        <w:rPr>
          <w:rFonts w:ascii="Times New Roman" w:hAnsi="Times New Roman" w:cs="Times New Roman"/>
          <w:b/>
          <w:bCs/>
          <w:vertAlign w:val="baseline"/>
        </w:rPr>
        <w:t>Ü</w:t>
      </w:r>
      <w:r w:rsidRPr="00EF1C10">
        <w:rPr>
          <w:b/>
          <w:bCs/>
          <w:vertAlign w:val="baseline"/>
        </w:rPr>
        <w:t>KTEN KALDIRILAN ALTINCI K</w:t>
      </w:r>
      <w:r w:rsidRPr="00EF1C10">
        <w:rPr>
          <w:rFonts w:ascii="Times New Roman" w:hAnsi="Times New Roman" w:cs="Times New Roman"/>
          <w:b/>
          <w:bCs/>
          <w:vertAlign w:val="baseline"/>
        </w:rPr>
        <w:t>İ</w:t>
      </w:r>
      <w:r w:rsidRPr="00EF1C10">
        <w:rPr>
          <w:b/>
          <w:bCs/>
          <w:vertAlign w:val="baseline"/>
        </w:rPr>
        <w:t>TABI: K</w:t>
      </w:r>
      <w:r w:rsidRPr="00EF1C10">
        <w:rPr>
          <w:rFonts w:ascii="Times New Roman" w:hAnsi="Times New Roman" w:cs="Times New Roman"/>
          <w:b/>
          <w:bCs/>
          <w:vertAlign w:val="baseline"/>
        </w:rPr>
        <w:t>İ</w:t>
      </w:r>
      <w:r w:rsidRPr="00EF1C10">
        <w:rPr>
          <w:b/>
          <w:bCs/>
          <w:vertAlign w:val="baseline"/>
        </w:rPr>
        <w:t>TAB</w:t>
      </w:r>
      <w:r w:rsidRPr="00EF1C10">
        <w:rPr>
          <w:rFonts w:ascii="Times New Roman" w:hAnsi="Times New Roman" w:cs="Times New Roman"/>
          <w:b/>
          <w:bCs/>
          <w:vertAlign w:val="baseline"/>
        </w:rPr>
        <w:t>Ü</w:t>
      </w:r>
      <w:r w:rsidRPr="00EF1C10">
        <w:rPr>
          <w:b/>
          <w:bCs/>
          <w:vertAlign w:val="baseline"/>
        </w:rPr>
        <w:t>’L-VED</w:t>
      </w:r>
      <w:r w:rsidRPr="00EF1C10">
        <w:rPr>
          <w:rFonts w:ascii="Times New Roman" w:hAnsi="Times New Roman" w:cs="Times New Roman"/>
          <w:b/>
          <w:bCs/>
          <w:vertAlign w:val="baseline"/>
        </w:rPr>
        <w:t>Î</w:t>
      </w:r>
      <w:r w:rsidRPr="00EF1C10">
        <w:rPr>
          <w:b/>
          <w:bCs/>
          <w:vertAlign w:val="baseline"/>
        </w:rPr>
        <w:t>A</w:t>
      </w:r>
      <w:r w:rsidRPr="00EF1C10">
        <w:rPr>
          <w:rFonts w:eastAsia="Times New Roman" w:hint="eastAsia"/>
          <w:vertAlign w:val="baseline"/>
        </w:rPr>
        <w:t>”</w:t>
      </w:r>
      <w:r w:rsidRPr="00EF1C10">
        <w:rPr>
          <w:vertAlign w:val="baseline"/>
        </w:rPr>
        <w:t xml:space="preserve">, </w:t>
      </w:r>
      <w:r w:rsidRPr="00EF1C10">
        <w:rPr>
          <w:b/>
          <w:bCs/>
          <w:i/>
          <w:iCs/>
          <w:vertAlign w:val="baseline"/>
        </w:rPr>
        <w:t>Osmanl</w:t>
      </w:r>
      <w:r w:rsidRPr="00EF1C10">
        <w:rPr>
          <w:rFonts w:eastAsia="Times New Roman" w:hint="cs"/>
          <w:b/>
          <w:bCs/>
          <w:i/>
          <w:iCs/>
          <w:vertAlign w:val="baseline"/>
        </w:rPr>
        <w:t>ı</w:t>
      </w:r>
      <w:r w:rsidRPr="00EF1C10">
        <w:rPr>
          <w:b/>
          <w:bCs/>
          <w:i/>
          <w:iCs/>
          <w:vertAlign w:val="baseline"/>
        </w:rPr>
        <w:t xml:space="preserve"> Ara</w:t>
      </w:r>
      <w:r w:rsidRPr="00EF1C10">
        <w:rPr>
          <w:rFonts w:ascii="Times New Roman" w:hAnsi="Times New Roman" w:cs="Times New Roman"/>
          <w:b/>
          <w:bCs/>
          <w:i/>
          <w:iCs/>
          <w:vertAlign w:val="baseline"/>
        </w:rPr>
        <w:t>ş</w:t>
      </w:r>
      <w:r w:rsidRPr="00EF1C10">
        <w:rPr>
          <w:b/>
          <w:bCs/>
          <w:i/>
          <w:iCs/>
          <w:vertAlign w:val="baseline"/>
        </w:rPr>
        <w:t>t</w:t>
      </w:r>
      <w:r w:rsidRPr="00EF1C10">
        <w:rPr>
          <w:rFonts w:eastAsia="Times New Roman" w:hint="cs"/>
          <w:b/>
          <w:bCs/>
          <w:i/>
          <w:iCs/>
          <w:vertAlign w:val="baseline"/>
        </w:rPr>
        <w:t>ı</w:t>
      </w:r>
      <w:r w:rsidRPr="00EF1C10">
        <w:rPr>
          <w:b/>
          <w:bCs/>
          <w:i/>
          <w:iCs/>
          <w:vertAlign w:val="baseline"/>
        </w:rPr>
        <w:t>rmalar</w:t>
      </w:r>
      <w:r w:rsidRPr="00EF1C10">
        <w:rPr>
          <w:rFonts w:eastAsia="Times New Roman" w:hint="cs"/>
          <w:b/>
          <w:bCs/>
          <w:i/>
          <w:iCs/>
          <w:vertAlign w:val="baseline"/>
        </w:rPr>
        <w:t>ı</w:t>
      </w:r>
      <w:r w:rsidRPr="00EF1C10">
        <w:rPr>
          <w:vertAlign w:val="baseline"/>
        </w:rPr>
        <w:t xml:space="preserve">, 1993, </w:t>
      </w:r>
      <w:r w:rsidRPr="00EF1C10">
        <w:rPr>
          <w:rFonts w:ascii="Times New Roman" w:hAnsi="Times New Roman" w:cs="Times New Roman"/>
          <w:vertAlign w:val="baseline"/>
        </w:rPr>
        <w:t>İ</w:t>
      </w:r>
      <w:r w:rsidRPr="00EF1C10">
        <w:rPr>
          <w:vertAlign w:val="baseline"/>
        </w:rPr>
        <w:t>stanbul, c13, s. 207</w:t>
      </w:r>
      <w:r>
        <w:rPr>
          <w:vertAlign w:val="baseline"/>
        </w:rPr>
        <w:t>–</w:t>
      </w:r>
      <w:r w:rsidRPr="00EF1C10">
        <w:rPr>
          <w:vertAlign w:val="baseline"/>
        </w:rPr>
        <w:t>213</w:t>
      </w:r>
      <w:r>
        <w:rPr>
          <w:vertAlign w:val="baseline"/>
        </w:rPr>
        <w:t>;</w:t>
      </w:r>
    </w:p>
    <w:p w:rsidR="005F44B2" w:rsidRPr="00EF1C10" w:rsidRDefault="005F44B2" w:rsidP="006D59AD">
      <w:pPr>
        <w:pStyle w:val="a4"/>
        <w:spacing w:line="312" w:lineRule="auto"/>
        <w:rPr>
          <w:vertAlign w:val="baseline"/>
          <w:rtl/>
        </w:rPr>
      </w:pPr>
      <w:r w:rsidRPr="00EF1C10">
        <w:rPr>
          <w:rFonts w:hint="cs"/>
          <w:vertAlign w:val="baseline"/>
          <w:rtl/>
        </w:rPr>
        <w:t>أنظر</w:t>
      </w:r>
      <w:r w:rsidRPr="00EF1C10">
        <w:rPr>
          <w:vertAlign w:val="baseline"/>
          <w:rtl/>
        </w:rPr>
        <w:t>:( كشكجي، عثمان، المرجع سابق، ص 112)</w:t>
      </w:r>
    </w:p>
    <w:p w:rsidR="005F44B2" w:rsidRDefault="005F44B2" w:rsidP="006D59AD">
      <w:pPr>
        <w:pStyle w:val="a4"/>
        <w:spacing w:line="312" w:lineRule="auto"/>
      </w:pPr>
      <w:r w:rsidRPr="00EF1C10">
        <w:rPr>
          <w:vertAlign w:val="baseline"/>
        </w:rPr>
        <w:t>KA</w:t>
      </w:r>
      <w:r w:rsidRPr="00EF1C10">
        <w:rPr>
          <w:rFonts w:ascii="Times New Roman" w:hAnsi="Times New Roman" w:cs="Times New Roman"/>
          <w:vertAlign w:val="baseline"/>
        </w:rPr>
        <w:t>Ş</w:t>
      </w:r>
      <w:r w:rsidRPr="00EF1C10">
        <w:rPr>
          <w:vertAlign w:val="baseline"/>
        </w:rPr>
        <w:t>IK</w:t>
      </w:r>
      <w:r w:rsidRPr="00EF1C10">
        <w:rPr>
          <w:rFonts w:ascii="Times New Roman" w:hAnsi="Times New Roman" w:cs="Times New Roman"/>
          <w:vertAlign w:val="baseline"/>
        </w:rPr>
        <w:t>Ç</w:t>
      </w:r>
      <w:r w:rsidRPr="00EF1C10">
        <w:rPr>
          <w:vertAlign w:val="baseline"/>
        </w:rPr>
        <w:t>I, Osman, MECELLE’N</w:t>
      </w:r>
      <w:r w:rsidRPr="00EF1C10">
        <w:rPr>
          <w:rFonts w:ascii="Times New Roman" w:hAnsi="Times New Roman" w:cs="Times New Roman"/>
          <w:vertAlign w:val="baseline"/>
        </w:rPr>
        <w:t>İ</w:t>
      </w:r>
      <w:r w:rsidRPr="00EF1C10">
        <w:rPr>
          <w:vertAlign w:val="baseline"/>
        </w:rPr>
        <w:t>N HAZIRLANI</w:t>
      </w:r>
      <w:r w:rsidRPr="00EF1C10">
        <w:rPr>
          <w:rFonts w:ascii="Times New Roman" w:hAnsi="Times New Roman" w:cs="Times New Roman"/>
          <w:vertAlign w:val="baseline"/>
        </w:rPr>
        <w:t>Ş</w:t>
      </w:r>
      <w:r w:rsidRPr="00EF1C10">
        <w:rPr>
          <w:vertAlign w:val="baseline"/>
        </w:rPr>
        <w:t xml:space="preserve">I </w:t>
      </w:r>
      <w:r w:rsidRPr="00EF1C10">
        <w:rPr>
          <w:rFonts w:ascii="Times New Roman" w:hAnsi="Times New Roman" w:cs="Times New Roman"/>
          <w:vertAlign w:val="baseline"/>
        </w:rPr>
        <w:t>Ö</w:t>
      </w:r>
      <w:r w:rsidRPr="00EF1C10">
        <w:rPr>
          <w:vertAlign w:val="baseline"/>
        </w:rPr>
        <w:t>ZELL</w:t>
      </w:r>
      <w:r w:rsidRPr="00EF1C10">
        <w:rPr>
          <w:rFonts w:ascii="Times New Roman" w:hAnsi="Times New Roman" w:cs="Times New Roman"/>
          <w:vertAlign w:val="baseline"/>
        </w:rPr>
        <w:t>İ</w:t>
      </w:r>
      <w:r w:rsidRPr="00EF1C10">
        <w:rPr>
          <w:vertAlign w:val="baseline"/>
        </w:rPr>
        <w:t>KLER</w:t>
      </w:r>
      <w:r w:rsidRPr="00EF1C10">
        <w:rPr>
          <w:rFonts w:ascii="Times New Roman" w:hAnsi="Times New Roman" w:cs="Times New Roman"/>
          <w:vertAlign w:val="baseline"/>
        </w:rPr>
        <w:t>İ</w:t>
      </w:r>
      <w:r w:rsidRPr="00EF1C10">
        <w:rPr>
          <w:vertAlign w:val="baseline"/>
        </w:rPr>
        <w:t xml:space="preserve"> VE </w:t>
      </w:r>
      <w:r w:rsidRPr="00EF1C10">
        <w:rPr>
          <w:rFonts w:ascii="Times New Roman" w:hAnsi="Times New Roman" w:cs="Times New Roman"/>
          <w:vertAlign w:val="baseline"/>
        </w:rPr>
        <w:t>Ü</w:t>
      </w:r>
      <w:r w:rsidRPr="00EF1C10">
        <w:rPr>
          <w:vertAlign w:val="baseline"/>
        </w:rPr>
        <w:t>ZER</w:t>
      </w:r>
      <w:r w:rsidRPr="00EF1C10">
        <w:rPr>
          <w:rFonts w:ascii="Times New Roman" w:hAnsi="Times New Roman" w:cs="Times New Roman"/>
          <w:vertAlign w:val="baseline"/>
        </w:rPr>
        <w:t>İ</w:t>
      </w:r>
      <w:r w:rsidRPr="00EF1C10">
        <w:rPr>
          <w:vertAlign w:val="baseline"/>
        </w:rPr>
        <w:t>NDE YAPILAN DE</w:t>
      </w:r>
      <w:r w:rsidRPr="00EF1C10">
        <w:rPr>
          <w:rFonts w:ascii="Times New Roman" w:hAnsi="Times New Roman" w:cs="Times New Roman"/>
          <w:vertAlign w:val="baseline"/>
        </w:rPr>
        <w:t>ĞİŞİ</w:t>
      </w:r>
      <w:r w:rsidRPr="00EF1C10">
        <w:rPr>
          <w:vertAlign w:val="baseline"/>
        </w:rPr>
        <w:t>KL</w:t>
      </w:r>
      <w:r w:rsidRPr="00EF1C10">
        <w:rPr>
          <w:rFonts w:ascii="Times New Roman" w:hAnsi="Times New Roman" w:cs="Times New Roman"/>
          <w:vertAlign w:val="baseline"/>
        </w:rPr>
        <w:t>İ</w:t>
      </w:r>
      <w:r w:rsidRPr="00EF1C10">
        <w:rPr>
          <w:vertAlign w:val="baseline"/>
        </w:rPr>
        <w:t xml:space="preserve">K </w:t>
      </w:r>
      <w:r w:rsidRPr="00EF1C10">
        <w:rPr>
          <w:rFonts w:ascii="Times New Roman" w:hAnsi="Times New Roman" w:cs="Times New Roman"/>
          <w:vertAlign w:val="baseline"/>
        </w:rPr>
        <w:t>Ç</w:t>
      </w:r>
      <w:r w:rsidRPr="00EF1C10">
        <w:rPr>
          <w:vertAlign w:val="baseline"/>
        </w:rPr>
        <w:t>ALI</w:t>
      </w:r>
      <w:r w:rsidRPr="00EF1C10">
        <w:rPr>
          <w:rFonts w:ascii="Times New Roman" w:hAnsi="Times New Roman" w:cs="Times New Roman"/>
          <w:vertAlign w:val="baseline"/>
        </w:rPr>
        <w:t>Ş</w:t>
      </w:r>
      <w:r w:rsidRPr="00EF1C10">
        <w:rPr>
          <w:vertAlign w:val="baseline"/>
        </w:rPr>
        <w:t>MALARI, s.112</w:t>
      </w:r>
    </w:p>
  </w:footnote>
  <w:footnote w:id="297">
    <w:p w:rsidR="005F44B2" w:rsidRPr="00822844" w:rsidRDefault="005F44B2" w:rsidP="006D59AD">
      <w:pPr>
        <w:pStyle w:val="a4"/>
        <w:spacing w:line="312" w:lineRule="auto"/>
        <w:rPr>
          <w:vertAlign w:val="baseline"/>
        </w:rPr>
      </w:pPr>
      <w:r w:rsidRPr="000C2566">
        <w:rPr>
          <w:rtl/>
        </w:rPr>
        <w:t>(</w:t>
      </w:r>
      <w:r w:rsidRPr="000C2566">
        <w:rPr>
          <w:rStyle w:val="FootnoteReference"/>
          <w:rFonts w:cs="Arabic Transparent"/>
        </w:rPr>
        <w:footnoteRef/>
      </w:r>
      <w:r w:rsidRPr="000C2566">
        <w:rPr>
          <w:rtl/>
        </w:rPr>
        <w:t>)</w:t>
      </w:r>
      <w:r w:rsidRPr="00822844">
        <w:rPr>
          <w:rFonts w:hint="cs"/>
          <w:vertAlign w:val="baseline"/>
          <w:rtl/>
        </w:rPr>
        <w:t>أنظر</w:t>
      </w:r>
      <w:r w:rsidRPr="00822844">
        <w:rPr>
          <w:vertAlign w:val="baseline"/>
          <w:rtl/>
        </w:rPr>
        <w:t xml:space="preserve">: ( مالكاج، محمد، "المجلة و بحث ببليوغرافي عنها"، ص64 - 70)                                                            </w:t>
      </w:r>
      <w:r w:rsidRPr="00822844">
        <w:rPr>
          <w:vertAlign w:val="baseline"/>
        </w:rPr>
        <w:t>MALKA</w:t>
      </w:r>
      <w:r w:rsidRPr="00822844">
        <w:rPr>
          <w:rFonts w:ascii="Times New Roman" w:hAnsi="Times New Roman" w:cs="Times New Roman"/>
          <w:vertAlign w:val="baseline"/>
        </w:rPr>
        <w:t>Ç</w:t>
      </w:r>
      <w:r w:rsidRPr="00822844">
        <w:rPr>
          <w:vertAlign w:val="baseline"/>
        </w:rPr>
        <w:t xml:space="preserve">, Mehmet, ANA HATLARIYLA MECELLE VE MECELLE </w:t>
      </w:r>
      <w:r w:rsidRPr="00822844">
        <w:rPr>
          <w:rFonts w:ascii="Times New Roman" w:hAnsi="Times New Roman" w:cs="Times New Roman"/>
          <w:vertAlign w:val="baseline"/>
        </w:rPr>
        <w:t>İ</w:t>
      </w:r>
      <w:r w:rsidRPr="00822844">
        <w:rPr>
          <w:vertAlign w:val="baseline"/>
        </w:rPr>
        <w:t xml:space="preserve">LE </w:t>
      </w:r>
      <w:r w:rsidRPr="00822844">
        <w:rPr>
          <w:rFonts w:ascii="Times New Roman" w:hAnsi="Times New Roman" w:cs="Times New Roman"/>
          <w:vertAlign w:val="baseline"/>
        </w:rPr>
        <w:t>İ</w:t>
      </w:r>
      <w:r w:rsidRPr="00822844">
        <w:rPr>
          <w:vertAlign w:val="baseline"/>
        </w:rPr>
        <w:t>LG</w:t>
      </w:r>
      <w:r w:rsidRPr="00822844">
        <w:rPr>
          <w:rFonts w:ascii="Times New Roman" w:hAnsi="Times New Roman" w:cs="Times New Roman"/>
          <w:vertAlign w:val="baseline"/>
        </w:rPr>
        <w:t>İ</w:t>
      </w:r>
      <w:r w:rsidRPr="00822844">
        <w:rPr>
          <w:vertAlign w:val="baseline"/>
        </w:rPr>
        <w:t>L</w:t>
      </w:r>
      <w:r w:rsidRPr="00822844">
        <w:rPr>
          <w:rFonts w:ascii="Times New Roman" w:hAnsi="Times New Roman" w:cs="Times New Roman"/>
          <w:vertAlign w:val="baseline"/>
        </w:rPr>
        <w:t>İ</w:t>
      </w:r>
      <w:r w:rsidRPr="00822844">
        <w:rPr>
          <w:vertAlign w:val="baseline"/>
        </w:rPr>
        <w:t xml:space="preserve"> B</w:t>
      </w:r>
      <w:r w:rsidRPr="00822844">
        <w:rPr>
          <w:rFonts w:ascii="Times New Roman" w:hAnsi="Times New Roman" w:cs="Times New Roman"/>
          <w:vertAlign w:val="baseline"/>
        </w:rPr>
        <w:t>İ</w:t>
      </w:r>
      <w:r w:rsidRPr="00822844">
        <w:rPr>
          <w:vertAlign w:val="baseline"/>
        </w:rPr>
        <w:t>BL</w:t>
      </w:r>
      <w:r w:rsidRPr="00822844">
        <w:rPr>
          <w:rFonts w:ascii="Times New Roman" w:hAnsi="Times New Roman" w:cs="Times New Roman"/>
          <w:vertAlign w:val="baseline"/>
        </w:rPr>
        <w:t>İ</w:t>
      </w:r>
      <w:r w:rsidRPr="00822844">
        <w:rPr>
          <w:vertAlign w:val="baseline"/>
        </w:rPr>
        <w:t>YOGRAF</w:t>
      </w:r>
      <w:r w:rsidRPr="00822844">
        <w:rPr>
          <w:rFonts w:ascii="Times New Roman" w:hAnsi="Times New Roman" w:cs="Times New Roman"/>
          <w:vertAlign w:val="baseline"/>
        </w:rPr>
        <w:t>İ</w:t>
      </w:r>
      <w:r w:rsidRPr="00822844">
        <w:rPr>
          <w:vertAlign w:val="baseline"/>
        </w:rPr>
        <w:t xml:space="preserve">K </w:t>
      </w:r>
      <w:r w:rsidRPr="00822844">
        <w:rPr>
          <w:rFonts w:ascii="Times New Roman" w:hAnsi="Times New Roman" w:cs="Times New Roman"/>
          <w:vertAlign w:val="baseline"/>
        </w:rPr>
        <w:t>Ç</w:t>
      </w:r>
      <w:r w:rsidRPr="00822844">
        <w:rPr>
          <w:vertAlign w:val="baseline"/>
        </w:rPr>
        <w:t>ALI</w:t>
      </w:r>
      <w:r w:rsidRPr="00822844">
        <w:rPr>
          <w:rFonts w:ascii="Times New Roman" w:hAnsi="Times New Roman" w:cs="Times New Roman"/>
          <w:vertAlign w:val="baseline"/>
        </w:rPr>
        <w:t>Ş</w:t>
      </w:r>
      <w:r w:rsidRPr="00822844">
        <w:rPr>
          <w:vertAlign w:val="baseline"/>
        </w:rPr>
        <w:t>MA, s. 64 – 70.</w:t>
      </w:r>
    </w:p>
    <w:p w:rsidR="005F44B2" w:rsidRPr="00822844" w:rsidRDefault="005F44B2" w:rsidP="006D59AD">
      <w:pPr>
        <w:pStyle w:val="a4"/>
        <w:spacing w:line="312" w:lineRule="auto"/>
        <w:rPr>
          <w:vertAlign w:val="baseline"/>
          <w:rtl/>
        </w:rPr>
      </w:pPr>
      <w:r w:rsidRPr="00822844">
        <w:rPr>
          <w:rFonts w:hint="cs"/>
          <w:vertAlign w:val="baseline"/>
          <w:rtl/>
        </w:rPr>
        <w:t>أنظر</w:t>
      </w:r>
      <w:r w:rsidRPr="00822844">
        <w:rPr>
          <w:vertAlign w:val="baseline"/>
          <w:rtl/>
        </w:rPr>
        <w:t xml:space="preserve">: (آيدِن، عاكف، الموسوعة الإسلامية للأوقاف الدينية التركية،" مجلة الأحكام العدلية"، ج28، ص233، 234.) </w:t>
      </w:r>
      <w:r w:rsidRPr="00822844">
        <w:rPr>
          <w:vertAlign w:val="baseline"/>
        </w:rPr>
        <w:t>AYDIN</w:t>
      </w:r>
      <w:r>
        <w:rPr>
          <w:vertAlign w:val="baseline"/>
        </w:rPr>
        <w:t>,</w:t>
      </w:r>
      <w:r w:rsidRPr="00822844">
        <w:rPr>
          <w:vertAlign w:val="baseline"/>
        </w:rPr>
        <w:t xml:space="preserve"> Akif, “</w:t>
      </w:r>
      <w:r w:rsidRPr="00822844">
        <w:rPr>
          <w:b/>
          <w:bCs/>
          <w:vertAlign w:val="baseline"/>
        </w:rPr>
        <w:t>MECELE-i AHK</w:t>
      </w:r>
      <w:r w:rsidRPr="00822844">
        <w:rPr>
          <w:rFonts w:ascii="Times New Roman" w:hAnsi="Times New Roman" w:cs="Times New Roman"/>
          <w:b/>
          <w:bCs/>
          <w:vertAlign w:val="baseline"/>
        </w:rPr>
        <w:t>Â</w:t>
      </w:r>
      <w:r w:rsidRPr="00822844">
        <w:rPr>
          <w:b/>
          <w:bCs/>
          <w:vertAlign w:val="baseline"/>
        </w:rPr>
        <w:t>M-</w:t>
      </w:r>
      <w:r w:rsidRPr="00822844">
        <w:rPr>
          <w:rFonts w:eastAsia="Times New Roman" w:hint="cs"/>
          <w:b/>
          <w:bCs/>
          <w:vertAlign w:val="baseline"/>
        </w:rPr>
        <w:t>ı</w:t>
      </w:r>
      <w:r w:rsidRPr="00822844">
        <w:rPr>
          <w:b/>
          <w:bCs/>
          <w:vertAlign w:val="baseline"/>
        </w:rPr>
        <w:t xml:space="preserve"> ADL</w:t>
      </w:r>
      <w:r w:rsidRPr="00822844">
        <w:rPr>
          <w:rFonts w:ascii="Times New Roman" w:hAnsi="Times New Roman" w:cs="Times New Roman"/>
          <w:b/>
          <w:bCs/>
          <w:vertAlign w:val="baseline"/>
        </w:rPr>
        <w:t>İ</w:t>
      </w:r>
      <w:r w:rsidRPr="00822844">
        <w:rPr>
          <w:b/>
          <w:bCs/>
          <w:vertAlign w:val="baseline"/>
        </w:rPr>
        <w:t>YYE</w:t>
      </w:r>
      <w:r w:rsidRPr="00822844">
        <w:rPr>
          <w:rFonts w:eastAsia="Times New Roman" w:hint="eastAsia"/>
          <w:vertAlign w:val="baseline"/>
        </w:rPr>
        <w:t>”</w:t>
      </w:r>
      <w:r w:rsidRPr="00822844">
        <w:rPr>
          <w:vertAlign w:val="baseline"/>
        </w:rPr>
        <w:t>, D</w:t>
      </w:r>
      <w:r w:rsidRPr="00822844">
        <w:rPr>
          <w:rFonts w:ascii="Times New Roman" w:hAnsi="Times New Roman" w:cs="Times New Roman"/>
          <w:vertAlign w:val="baseline"/>
        </w:rPr>
        <w:t>İ</w:t>
      </w:r>
      <w:r w:rsidRPr="00822844">
        <w:rPr>
          <w:vertAlign w:val="baseline"/>
        </w:rPr>
        <w:t>A, c28, s. 233, 234.</w:t>
      </w:r>
    </w:p>
    <w:p w:rsidR="005F44B2" w:rsidRPr="00822844" w:rsidRDefault="005F44B2" w:rsidP="006D59AD">
      <w:pPr>
        <w:pStyle w:val="a4"/>
        <w:spacing w:line="312" w:lineRule="auto"/>
        <w:rPr>
          <w:u w:val="single"/>
          <w:vertAlign w:val="baseline"/>
          <w:rtl/>
        </w:rPr>
      </w:pPr>
      <w:r w:rsidRPr="00822844">
        <w:rPr>
          <w:rFonts w:hint="cs"/>
          <w:vertAlign w:val="baseline"/>
          <w:rtl/>
        </w:rPr>
        <w:t>محمصاني،</w:t>
      </w:r>
      <w:r w:rsidRPr="00822844">
        <w:rPr>
          <w:vertAlign w:val="baseline"/>
          <w:rtl/>
        </w:rPr>
        <w:t xml:space="preserve"> صبحي رجب، فلسفة التشريع في الإسلام، ص70.</w:t>
      </w:r>
    </w:p>
    <w:p w:rsidR="005F44B2" w:rsidRDefault="005F44B2" w:rsidP="006D59AD">
      <w:pPr>
        <w:pStyle w:val="a4"/>
        <w:bidi w:val="0"/>
        <w:spacing w:line="312" w:lineRule="auto"/>
      </w:pPr>
      <w:r w:rsidRPr="00822844">
        <w:rPr>
          <w:vertAlign w:val="baseline"/>
        </w:rPr>
        <w:t>ELMALI, Ay</w:t>
      </w:r>
      <w:r w:rsidRPr="00822844">
        <w:rPr>
          <w:rFonts w:ascii="Times New Roman" w:hAnsi="Times New Roman" w:cs="Times New Roman"/>
          <w:vertAlign w:val="baseline"/>
        </w:rPr>
        <w:t>ş</w:t>
      </w:r>
      <w:r w:rsidRPr="00822844">
        <w:rPr>
          <w:vertAlign w:val="baseline"/>
        </w:rPr>
        <w:t xml:space="preserve">e, </w:t>
      </w:r>
      <w:r w:rsidRPr="00822844">
        <w:rPr>
          <w:b/>
          <w:bCs/>
          <w:vertAlign w:val="baseline"/>
        </w:rPr>
        <w:t>MECELLE-</w:t>
      </w:r>
      <w:r w:rsidRPr="00822844">
        <w:rPr>
          <w:rFonts w:ascii="Times New Roman" w:hAnsi="Times New Roman" w:cs="Times New Roman"/>
          <w:b/>
          <w:bCs/>
          <w:vertAlign w:val="baseline"/>
        </w:rPr>
        <w:t>İ</w:t>
      </w:r>
      <w:r w:rsidRPr="00822844">
        <w:rPr>
          <w:b/>
          <w:bCs/>
          <w:vertAlign w:val="baseline"/>
        </w:rPr>
        <w:t xml:space="preserve"> AHK</w:t>
      </w:r>
      <w:r w:rsidRPr="00822844">
        <w:rPr>
          <w:rFonts w:ascii="Times New Roman" w:hAnsi="Times New Roman" w:cs="Times New Roman"/>
          <w:b/>
          <w:bCs/>
          <w:vertAlign w:val="baseline"/>
        </w:rPr>
        <w:t>Â</w:t>
      </w:r>
      <w:r w:rsidRPr="00822844">
        <w:rPr>
          <w:b/>
          <w:bCs/>
          <w:vertAlign w:val="baseline"/>
        </w:rPr>
        <w:t>M-I ADL</w:t>
      </w:r>
      <w:r w:rsidRPr="00822844">
        <w:rPr>
          <w:rFonts w:ascii="Times New Roman" w:hAnsi="Times New Roman" w:cs="Times New Roman"/>
          <w:b/>
          <w:bCs/>
          <w:vertAlign w:val="baseline"/>
        </w:rPr>
        <w:t>İ</w:t>
      </w:r>
      <w:r w:rsidRPr="00822844">
        <w:rPr>
          <w:b/>
          <w:bCs/>
          <w:vertAlign w:val="baseline"/>
        </w:rPr>
        <w:t>YYE’N</w:t>
      </w:r>
      <w:r w:rsidRPr="00822844">
        <w:rPr>
          <w:rFonts w:ascii="Times New Roman" w:hAnsi="Times New Roman" w:cs="Times New Roman"/>
          <w:b/>
          <w:bCs/>
          <w:vertAlign w:val="baseline"/>
        </w:rPr>
        <w:t>İ</w:t>
      </w:r>
      <w:r w:rsidRPr="00822844">
        <w:rPr>
          <w:b/>
          <w:bCs/>
          <w:vertAlign w:val="baseline"/>
        </w:rPr>
        <w:t>N OLU</w:t>
      </w:r>
      <w:r w:rsidRPr="00822844">
        <w:rPr>
          <w:rFonts w:ascii="Times New Roman" w:hAnsi="Times New Roman" w:cs="Times New Roman"/>
          <w:b/>
          <w:bCs/>
          <w:vertAlign w:val="baseline"/>
        </w:rPr>
        <w:t>Ş</w:t>
      </w:r>
      <w:r w:rsidRPr="00822844">
        <w:rPr>
          <w:b/>
          <w:bCs/>
          <w:vertAlign w:val="baseline"/>
        </w:rPr>
        <w:t xml:space="preserve">UM </w:t>
      </w:r>
      <w:r w:rsidRPr="00822844">
        <w:rPr>
          <w:rFonts w:ascii="Times New Roman" w:hAnsi="Times New Roman" w:cs="Times New Roman"/>
          <w:b/>
          <w:bCs/>
          <w:vertAlign w:val="baseline"/>
        </w:rPr>
        <w:t>Ş</w:t>
      </w:r>
      <w:r w:rsidRPr="00822844">
        <w:rPr>
          <w:b/>
          <w:bCs/>
          <w:vertAlign w:val="baseline"/>
        </w:rPr>
        <w:t>ARTLARI VE HAZIRLANI</w:t>
      </w:r>
      <w:r w:rsidRPr="00822844">
        <w:rPr>
          <w:rFonts w:ascii="Times New Roman" w:hAnsi="Times New Roman" w:cs="Times New Roman"/>
          <w:b/>
          <w:bCs/>
          <w:vertAlign w:val="baseline"/>
        </w:rPr>
        <w:t>Ş</w:t>
      </w:r>
      <w:r w:rsidRPr="00822844">
        <w:rPr>
          <w:b/>
          <w:bCs/>
          <w:vertAlign w:val="baseline"/>
        </w:rPr>
        <w:t xml:space="preserve"> S</w:t>
      </w:r>
      <w:r w:rsidRPr="00822844">
        <w:rPr>
          <w:rFonts w:ascii="Times New Roman" w:hAnsi="Times New Roman" w:cs="Times New Roman"/>
          <w:b/>
          <w:bCs/>
          <w:vertAlign w:val="baseline"/>
        </w:rPr>
        <w:t>Ü</w:t>
      </w:r>
      <w:r w:rsidRPr="00822844">
        <w:rPr>
          <w:b/>
          <w:bCs/>
          <w:vertAlign w:val="baseline"/>
        </w:rPr>
        <w:t>REC</w:t>
      </w:r>
      <w:r w:rsidRPr="00822844">
        <w:rPr>
          <w:rFonts w:ascii="Times New Roman" w:hAnsi="Times New Roman" w:cs="Times New Roman"/>
          <w:b/>
          <w:bCs/>
          <w:vertAlign w:val="baseline"/>
        </w:rPr>
        <w:t>İ</w:t>
      </w:r>
      <w:r w:rsidRPr="00822844">
        <w:rPr>
          <w:vertAlign w:val="baseline"/>
        </w:rPr>
        <w:t xml:space="preserve">, Dokuz Eylül </w:t>
      </w:r>
      <w:r w:rsidRPr="00822844">
        <w:rPr>
          <w:rFonts w:ascii="Times New Roman" w:hAnsi="Times New Roman" w:cs="Times New Roman"/>
          <w:vertAlign w:val="baseline"/>
        </w:rPr>
        <w:t>Ü</w:t>
      </w:r>
      <w:r w:rsidRPr="00822844">
        <w:rPr>
          <w:vertAlign w:val="baseline"/>
        </w:rPr>
        <w:t xml:space="preserve">niversitesi, </w:t>
      </w:r>
      <w:r w:rsidRPr="00822844">
        <w:rPr>
          <w:rFonts w:ascii="Times New Roman" w:hAnsi="Times New Roman" w:cs="Times New Roman"/>
          <w:vertAlign w:val="baseline"/>
        </w:rPr>
        <w:t>İ</w:t>
      </w:r>
      <w:r w:rsidRPr="00822844">
        <w:rPr>
          <w:vertAlign w:val="baseline"/>
        </w:rPr>
        <w:t>ZM</w:t>
      </w:r>
      <w:r w:rsidRPr="00822844">
        <w:rPr>
          <w:rFonts w:ascii="Times New Roman" w:hAnsi="Times New Roman" w:cs="Times New Roman"/>
          <w:vertAlign w:val="baseline"/>
        </w:rPr>
        <w:t>İ</w:t>
      </w:r>
      <w:r w:rsidRPr="00822844">
        <w:rPr>
          <w:vertAlign w:val="baseline"/>
        </w:rPr>
        <w:t>R, 2</w:t>
      </w:r>
      <w:r>
        <w:rPr>
          <w:vertAlign w:val="baseline"/>
        </w:rPr>
        <w:t>005, s. 79 – 118;</w:t>
      </w:r>
    </w:p>
  </w:footnote>
  <w:footnote w:id="298">
    <w:p w:rsidR="005F44B2" w:rsidRPr="00822844" w:rsidRDefault="005F44B2" w:rsidP="006D59AD">
      <w:pPr>
        <w:pStyle w:val="a4"/>
        <w:spacing w:line="312" w:lineRule="auto"/>
        <w:rPr>
          <w:vertAlign w:val="baseline"/>
        </w:rPr>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 يِلْدِزْ، كمال – ناجار، طيّب، مصادر المجلة التي ذُكرت في م</w:t>
      </w:r>
      <w:r w:rsidRPr="00822844">
        <w:rPr>
          <w:rFonts w:hint="cs"/>
          <w:vertAlign w:val="baseline"/>
          <w:rtl/>
        </w:rPr>
        <w:t>رآة</w:t>
      </w:r>
      <w:r w:rsidRPr="00822844">
        <w:rPr>
          <w:vertAlign w:val="baseline"/>
          <w:rtl/>
        </w:rPr>
        <w:t xml:space="preserve"> مجلة، مجلة بحوث حقوق الاسلامي، عدد 20، 2012، ص 102.)</w:t>
      </w:r>
    </w:p>
    <w:p w:rsidR="005F44B2" w:rsidRDefault="005F44B2" w:rsidP="006D59AD">
      <w:pPr>
        <w:pStyle w:val="a4"/>
        <w:spacing w:line="312" w:lineRule="auto"/>
      </w:pPr>
      <w:r w:rsidRPr="00822844">
        <w:rPr>
          <w:vertAlign w:val="baseline"/>
        </w:rPr>
        <w:t xml:space="preserve">YILDIZ, Kemal – NACAR, Tayyip, </w:t>
      </w:r>
      <w:r w:rsidRPr="00822844">
        <w:rPr>
          <w:b/>
          <w:vertAlign w:val="baseline"/>
        </w:rPr>
        <w:t>Mir'at-</w:t>
      </w:r>
      <w:r w:rsidRPr="00822844">
        <w:rPr>
          <w:rFonts w:eastAsia="Times New Roman" w:hint="cs"/>
          <w:b/>
          <w:vertAlign w:val="baseline"/>
        </w:rPr>
        <w:t>ı</w:t>
      </w:r>
      <w:r w:rsidRPr="00822844">
        <w:rPr>
          <w:b/>
          <w:vertAlign w:val="baseline"/>
        </w:rPr>
        <w:t xml:space="preserve"> mecelle’de Belirtilen Mecelle Kaynaklar</w:t>
      </w:r>
      <w:r w:rsidRPr="00822844">
        <w:rPr>
          <w:rFonts w:eastAsia="Times New Roman" w:hint="cs"/>
          <w:b/>
          <w:vertAlign w:val="baseline"/>
        </w:rPr>
        <w:t>ı</w:t>
      </w:r>
      <w:r w:rsidRPr="00822844">
        <w:rPr>
          <w:b/>
          <w:vertAlign w:val="baseline"/>
        </w:rPr>
        <w:t xml:space="preserve">, </w:t>
      </w:r>
      <w:r w:rsidRPr="00822844">
        <w:rPr>
          <w:rFonts w:ascii="Times New Roman" w:hAnsi="Times New Roman" w:cs="Times New Roman"/>
          <w:vertAlign w:val="baseline"/>
        </w:rPr>
        <w:t>İ</w:t>
      </w:r>
      <w:r w:rsidRPr="00822844">
        <w:rPr>
          <w:vertAlign w:val="baseline"/>
        </w:rPr>
        <w:t>slam Hukuku Ara</w:t>
      </w:r>
      <w:r w:rsidRPr="00822844">
        <w:rPr>
          <w:rFonts w:ascii="Times New Roman" w:hAnsi="Times New Roman" w:cs="Times New Roman"/>
          <w:vertAlign w:val="baseline"/>
        </w:rPr>
        <w:t>ş</w:t>
      </w:r>
      <w:r w:rsidRPr="00822844">
        <w:rPr>
          <w:vertAlign w:val="baseline"/>
        </w:rPr>
        <w:t>t</w:t>
      </w:r>
      <w:r w:rsidRPr="00822844">
        <w:rPr>
          <w:rFonts w:eastAsia="Times New Roman" w:hint="cs"/>
          <w:vertAlign w:val="baseline"/>
        </w:rPr>
        <w:t>ı</w:t>
      </w:r>
      <w:r w:rsidRPr="00822844">
        <w:rPr>
          <w:vertAlign w:val="baseline"/>
        </w:rPr>
        <w:t>rmalar</w:t>
      </w:r>
      <w:r w:rsidRPr="00822844">
        <w:rPr>
          <w:rFonts w:eastAsia="Times New Roman" w:hint="cs"/>
          <w:vertAlign w:val="baseline"/>
        </w:rPr>
        <w:t>ı</w:t>
      </w:r>
      <w:r w:rsidRPr="00822844">
        <w:rPr>
          <w:vertAlign w:val="baseline"/>
        </w:rPr>
        <w:t xml:space="preserve"> Dergisi, sy.20, 2012, s.102. </w:t>
      </w:r>
    </w:p>
  </w:footnote>
  <w:footnote w:id="299">
    <w:p w:rsidR="005F44B2"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822844">
        <w:rPr>
          <w:rFonts w:hint="cs"/>
          <w:vertAlign w:val="baseline"/>
          <w:rtl/>
        </w:rPr>
        <w:t>مسعود</w:t>
      </w:r>
      <w:r w:rsidRPr="00822844">
        <w:rPr>
          <w:vertAlign w:val="baseline"/>
          <w:rtl/>
        </w:rPr>
        <w:t xml:space="preserve"> أفندي هو كان مفتيًا في مدينة قيصري، وألّف كتاب مرآة المجلة، هو الكتاب الوحيد الذي ألّف</w:t>
      </w:r>
      <w:r w:rsidRPr="00822844">
        <w:rPr>
          <w:rFonts w:hint="cs"/>
          <w:vertAlign w:val="baseline"/>
          <w:rtl/>
        </w:rPr>
        <w:t>ه</w:t>
      </w:r>
      <w:r w:rsidRPr="00822844">
        <w:rPr>
          <w:vertAlign w:val="baseline"/>
          <w:rtl/>
        </w:rPr>
        <w:t xml:space="preserve"> مسعود أفندي، وقد ذكر ف</w:t>
      </w:r>
      <w:r w:rsidRPr="00822844">
        <w:rPr>
          <w:rFonts w:hint="cs"/>
          <w:vertAlign w:val="baseline"/>
          <w:rtl/>
        </w:rPr>
        <w:t>ي</w:t>
      </w:r>
      <w:r w:rsidRPr="00822844">
        <w:rPr>
          <w:vertAlign w:val="baseline"/>
          <w:rtl/>
        </w:rPr>
        <w:t xml:space="preserve"> كتابه مصادر المجلة، أورد أولًا مادة المجلة وبعد ذلك ذكر تحت كل مادة مصادرها، وقد نقل بعض المتن الكاملةً من </w:t>
      </w:r>
      <w:r>
        <w:rPr>
          <w:rFonts w:hint="cs"/>
          <w:vertAlign w:val="baseline"/>
          <w:rtl/>
        </w:rPr>
        <w:t>المصدر</w:t>
      </w:r>
      <w:r>
        <w:rPr>
          <w:vertAlign w:val="baseline"/>
          <w:rtl/>
        </w:rPr>
        <w:t xml:space="preserve"> وذكر المتن الأخرى ملخصًا، أنظر: ( كجا، فرحتْ، </w:t>
      </w:r>
      <w:r w:rsidRPr="00822844">
        <w:rPr>
          <w:rFonts w:hint="cs"/>
          <w:vertAlign w:val="baseline"/>
          <w:rtl/>
        </w:rPr>
        <w:t>الموسوعة</w:t>
      </w:r>
      <w:r w:rsidRPr="00822844">
        <w:rPr>
          <w:vertAlign w:val="baseline"/>
          <w:rtl/>
        </w:rPr>
        <w:t xml:space="preserve"> الإسلامية للأوقاف الدينية التركية،</w:t>
      </w:r>
      <w:r w:rsidRPr="00D76EA8">
        <w:rPr>
          <w:rFonts w:hint="cs"/>
          <w:vertAlign w:val="baseline"/>
          <w:rtl/>
        </w:rPr>
        <w:t>اسم</w:t>
      </w:r>
      <w:r w:rsidRPr="00D76EA8">
        <w:rPr>
          <w:vertAlign w:val="baseline"/>
          <w:rtl/>
        </w:rPr>
        <w:t xml:space="preserve"> المادة</w:t>
      </w:r>
      <w:r>
        <w:rPr>
          <w:vertAlign w:val="baseline"/>
          <w:rtl/>
        </w:rPr>
        <w:t xml:space="preserve"> " م</w:t>
      </w:r>
      <w:r>
        <w:rPr>
          <w:rFonts w:hint="cs"/>
          <w:vertAlign w:val="baseline"/>
          <w:rtl/>
        </w:rPr>
        <w:t>سعود</w:t>
      </w:r>
      <w:r>
        <w:rPr>
          <w:vertAlign w:val="baseline"/>
          <w:rtl/>
        </w:rPr>
        <w:t xml:space="preserve"> أفندي " ، ج26، ص344، 345.)</w:t>
      </w:r>
    </w:p>
    <w:p w:rsidR="005F44B2" w:rsidRDefault="005F44B2" w:rsidP="006D59AD">
      <w:pPr>
        <w:pStyle w:val="a4"/>
        <w:spacing w:line="312" w:lineRule="auto"/>
      </w:pPr>
      <w:r>
        <w:rPr>
          <w:vertAlign w:val="baseline"/>
        </w:rPr>
        <w:t xml:space="preserve">KOCA, Ferhat, </w:t>
      </w:r>
      <w:r>
        <w:rPr>
          <w:b/>
          <w:bCs/>
          <w:vertAlign w:val="baseline"/>
        </w:rPr>
        <w:t>Mesud Efendi</w:t>
      </w:r>
      <w:r>
        <w:rPr>
          <w:vertAlign w:val="baseline"/>
        </w:rPr>
        <w:t>, D</w:t>
      </w:r>
      <w:r>
        <w:rPr>
          <w:rFonts w:ascii="Times New Roman" w:hAnsi="Times New Roman" w:cs="Times New Roman"/>
          <w:vertAlign w:val="baseline"/>
        </w:rPr>
        <w:t>İ</w:t>
      </w:r>
      <w:r>
        <w:rPr>
          <w:vertAlign w:val="baseline"/>
        </w:rPr>
        <w:t>A, c29, s. 344,345.</w:t>
      </w:r>
    </w:p>
  </w:footnote>
  <w:footnote w:id="30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لجنة</w:t>
      </w:r>
      <w:r w:rsidRPr="00822844">
        <w:rPr>
          <w:vertAlign w:val="baseline"/>
          <w:rtl/>
        </w:rPr>
        <w:t xml:space="preserve"> مكونة من عدة علماء وفقهاء في الخلافة العثمانية، </w:t>
      </w:r>
      <w:r w:rsidRPr="00822844">
        <w:rPr>
          <w:rFonts w:hint="cs"/>
          <w:b/>
          <w:bCs/>
          <w:vertAlign w:val="baseline"/>
          <w:rtl/>
        </w:rPr>
        <w:t>مجلة</w:t>
      </w:r>
      <w:r w:rsidRPr="00822844">
        <w:rPr>
          <w:b/>
          <w:bCs/>
          <w:vertAlign w:val="baseline"/>
          <w:rtl/>
        </w:rPr>
        <w:t xml:space="preserve"> الأحكام العدلية</w:t>
      </w:r>
      <w:r w:rsidRPr="00822844">
        <w:rPr>
          <w:rFonts w:hint="cs"/>
          <w:vertAlign w:val="baseline"/>
          <w:rtl/>
        </w:rPr>
        <w:t>،</w:t>
      </w:r>
      <w:r w:rsidRPr="00822844">
        <w:rPr>
          <w:vertAlign w:val="baseline"/>
          <w:rtl/>
        </w:rPr>
        <w:t xml:space="preserve"> تحقيق نجيب هواويني، دار نور محمد، ص 35.</w:t>
      </w:r>
    </w:p>
  </w:footnote>
  <w:footnote w:id="301">
    <w:p w:rsidR="005F44B2" w:rsidRPr="00822844"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822844">
        <w:rPr>
          <w:vertAlign w:val="baseline"/>
          <w:rtl/>
        </w:rPr>
        <w:t xml:space="preserve"> (مسعود أفندي، </w:t>
      </w:r>
      <w:r w:rsidRPr="00822844">
        <w:rPr>
          <w:rFonts w:hint="cs"/>
          <w:b/>
          <w:bCs/>
          <w:vertAlign w:val="baseline"/>
          <w:rtl/>
        </w:rPr>
        <w:t>مرآة</w:t>
      </w:r>
      <w:r w:rsidRPr="00822844">
        <w:rPr>
          <w:b/>
          <w:bCs/>
          <w:vertAlign w:val="baseline"/>
          <w:rtl/>
        </w:rPr>
        <w:t xml:space="preserve"> المجلة</w:t>
      </w:r>
      <w:r w:rsidRPr="00822844">
        <w:rPr>
          <w:rFonts w:hint="cs"/>
          <w:vertAlign w:val="baseline"/>
          <w:rtl/>
        </w:rPr>
        <w:t>،</w:t>
      </w:r>
      <w:r w:rsidRPr="00822844">
        <w:rPr>
          <w:vertAlign w:val="baseline"/>
          <w:rtl/>
        </w:rPr>
        <w:t xml:space="preserve"> اسطنبول، 1884-1302، مطبعة عثمانية، ص46)</w:t>
      </w:r>
    </w:p>
    <w:p w:rsidR="005F44B2" w:rsidRDefault="005F44B2" w:rsidP="006D59AD">
      <w:pPr>
        <w:pStyle w:val="a4"/>
        <w:spacing w:line="312" w:lineRule="auto"/>
      </w:pPr>
      <w:r w:rsidRPr="00822844">
        <w:rPr>
          <w:vertAlign w:val="baseline"/>
        </w:rPr>
        <w:t>Mes’</w:t>
      </w:r>
      <w:r w:rsidRPr="00822844">
        <w:rPr>
          <w:rFonts w:eastAsia="Times New Roman" w:hint="eastAsia"/>
          <w:vertAlign w:val="baseline"/>
        </w:rPr>
        <w:t>û</w:t>
      </w:r>
      <w:r w:rsidRPr="00822844">
        <w:rPr>
          <w:vertAlign w:val="baseline"/>
        </w:rPr>
        <w:t xml:space="preserve">d Efendi, </w:t>
      </w:r>
      <w:r w:rsidRPr="00822844">
        <w:rPr>
          <w:b/>
          <w:bCs/>
          <w:vertAlign w:val="baseline"/>
        </w:rPr>
        <w:t>Mir'at-</w:t>
      </w:r>
      <w:r w:rsidRPr="00822844">
        <w:rPr>
          <w:rFonts w:eastAsia="Times New Roman" w:hint="cs"/>
          <w:b/>
          <w:bCs/>
          <w:vertAlign w:val="baseline"/>
        </w:rPr>
        <w:t>ı</w:t>
      </w:r>
      <w:r w:rsidRPr="00822844">
        <w:rPr>
          <w:b/>
          <w:bCs/>
          <w:vertAlign w:val="baseline"/>
        </w:rPr>
        <w:t xml:space="preserve"> mecelle</w:t>
      </w:r>
      <w:r w:rsidRPr="00822844">
        <w:rPr>
          <w:vertAlign w:val="baseline"/>
        </w:rPr>
        <w:t xml:space="preserve">, </w:t>
      </w:r>
      <w:r w:rsidRPr="00822844">
        <w:rPr>
          <w:rFonts w:ascii="Times New Roman" w:hAnsi="Times New Roman" w:cs="Times New Roman"/>
          <w:vertAlign w:val="baseline"/>
        </w:rPr>
        <w:t>İ</w:t>
      </w:r>
      <w:r w:rsidRPr="00822844">
        <w:rPr>
          <w:vertAlign w:val="baseline"/>
        </w:rPr>
        <w:t>stanbul, 1884/1302, Matbaa-i Osmaniye, s. 46.</w:t>
      </w:r>
    </w:p>
  </w:footnote>
  <w:footnote w:id="302">
    <w:p w:rsidR="005F44B2" w:rsidRDefault="005F44B2" w:rsidP="006D59AD">
      <w:pPr>
        <w:pStyle w:val="a4"/>
        <w:spacing w:line="312" w:lineRule="auto"/>
      </w:pPr>
      <w:r w:rsidRPr="000C2566">
        <w:rPr>
          <w:rtl/>
        </w:rPr>
        <w:t>(</w:t>
      </w:r>
      <w:r w:rsidRPr="000C2566">
        <w:rPr>
          <w:rStyle w:val="FootnoteReference"/>
          <w:rFonts w:cs="Arabic Transparent"/>
        </w:rPr>
        <w:footnoteRef/>
      </w:r>
      <w:r w:rsidRPr="00822844">
        <w:rPr>
          <w:vertAlign w:val="baseline"/>
          <w:rtl/>
        </w:rPr>
        <w:t>) ابن عابدين، رد المحتار،ج4، ص24.</w:t>
      </w:r>
    </w:p>
  </w:footnote>
  <w:footnote w:id="30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مجلة</w:t>
      </w:r>
      <w:r w:rsidRPr="00822844">
        <w:rPr>
          <w:vertAlign w:val="baseline"/>
          <w:rtl/>
        </w:rPr>
        <w:t xml:space="preserve"> الأحكام العدلية، ص 67.</w:t>
      </w:r>
    </w:p>
  </w:footnote>
  <w:footnote w:id="30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Pr>
        <w:t xml:space="preserve"> Mes’</w:t>
      </w:r>
      <w:r w:rsidRPr="00822844">
        <w:rPr>
          <w:rFonts w:eastAsia="Times New Roman" w:hint="eastAsia"/>
          <w:vertAlign w:val="baseline"/>
        </w:rPr>
        <w:t>û</w:t>
      </w:r>
      <w:r w:rsidRPr="00822844">
        <w:rPr>
          <w:vertAlign w:val="baseline"/>
        </w:rPr>
        <w:t>d Efendi, Mir'at-</w:t>
      </w:r>
      <w:r w:rsidRPr="00822844">
        <w:rPr>
          <w:rFonts w:eastAsia="Times New Roman" w:hint="cs"/>
          <w:vertAlign w:val="baseline"/>
        </w:rPr>
        <w:t>ı</w:t>
      </w:r>
      <w:r w:rsidRPr="00822844">
        <w:rPr>
          <w:vertAlign w:val="baseline"/>
        </w:rPr>
        <w:t xml:space="preserve"> mecelle, s. 106.</w:t>
      </w:r>
    </w:p>
  </w:footnote>
  <w:footnote w:id="30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ابن</w:t>
      </w:r>
      <w:r w:rsidRPr="00822844">
        <w:rPr>
          <w:vertAlign w:val="baseline"/>
          <w:rtl/>
        </w:rPr>
        <w:t xml:space="preserve"> عابدين، رد المحتار،ج7، ص 169.</w:t>
      </w:r>
    </w:p>
  </w:footnote>
  <w:footnote w:id="30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مجلة الأحكام العدلية، ص 182.</w:t>
      </w:r>
    </w:p>
  </w:footnote>
  <w:footnote w:id="30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Pr>
        <w:t xml:space="preserve"> Mes’</w:t>
      </w:r>
      <w:r w:rsidRPr="00822844">
        <w:rPr>
          <w:rFonts w:eastAsia="Times New Roman" w:hint="eastAsia"/>
          <w:vertAlign w:val="baseline"/>
        </w:rPr>
        <w:t>û</w:t>
      </w:r>
      <w:r w:rsidRPr="00822844">
        <w:rPr>
          <w:vertAlign w:val="baseline"/>
        </w:rPr>
        <w:t>d Efendi, Mir'at-</w:t>
      </w:r>
      <w:r w:rsidRPr="00822844">
        <w:rPr>
          <w:rFonts w:eastAsia="Times New Roman" w:hint="cs"/>
          <w:vertAlign w:val="baseline"/>
        </w:rPr>
        <w:t>ı</w:t>
      </w:r>
      <w:r w:rsidRPr="00822844">
        <w:rPr>
          <w:vertAlign w:val="baseline"/>
        </w:rPr>
        <w:t xml:space="preserve"> mecelle, s. 338.</w:t>
      </w:r>
    </w:p>
  </w:footnote>
  <w:footnote w:id="30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ابن عابدين، رد المحتار، ج10، ص 285</w:t>
      </w:r>
    </w:p>
  </w:footnote>
  <w:footnote w:id="30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مجلة</w:t>
      </w:r>
      <w:r w:rsidRPr="00822844">
        <w:rPr>
          <w:vertAlign w:val="baseline"/>
          <w:rtl/>
        </w:rPr>
        <w:t xml:space="preserve"> الأحكام العدلية، ص 191.</w:t>
      </w:r>
    </w:p>
  </w:footnote>
  <w:footnote w:id="31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Pr>
        <w:t xml:space="preserve"> Mes’</w:t>
      </w:r>
      <w:r w:rsidRPr="00822844">
        <w:rPr>
          <w:rFonts w:eastAsia="Times New Roman" w:hint="eastAsia"/>
          <w:vertAlign w:val="baseline"/>
        </w:rPr>
        <w:t>û</w:t>
      </w:r>
      <w:r w:rsidRPr="00822844">
        <w:rPr>
          <w:vertAlign w:val="baseline"/>
        </w:rPr>
        <w:t>d Efendi, Mir'at-</w:t>
      </w:r>
      <w:r w:rsidRPr="00822844">
        <w:rPr>
          <w:rFonts w:eastAsia="Times New Roman" w:hint="cs"/>
          <w:vertAlign w:val="baseline"/>
        </w:rPr>
        <w:t>ı</w:t>
      </w:r>
      <w:r w:rsidRPr="00822844">
        <w:rPr>
          <w:vertAlign w:val="baseline"/>
        </w:rPr>
        <w:t xml:space="preserve"> mecelle, s. 356. </w:t>
      </w:r>
    </w:p>
  </w:footnote>
  <w:footnote w:id="31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ابن</w:t>
      </w:r>
      <w:r w:rsidRPr="00822844">
        <w:rPr>
          <w:vertAlign w:val="baseline"/>
          <w:rtl/>
        </w:rPr>
        <w:t xml:space="preserve"> عابدين، رد المحتار، ج9، ص 215.</w:t>
      </w:r>
    </w:p>
  </w:footnote>
  <w:footnote w:id="31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مجلة الأحكام العدلية، ص 367.</w:t>
      </w:r>
    </w:p>
  </w:footnote>
  <w:footnote w:id="31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Pr>
        <w:t xml:space="preserve"> Mes’</w:t>
      </w:r>
      <w:r w:rsidRPr="00822844">
        <w:rPr>
          <w:rFonts w:eastAsia="Times New Roman" w:hint="eastAsia"/>
          <w:vertAlign w:val="baseline"/>
        </w:rPr>
        <w:t>û</w:t>
      </w:r>
      <w:r w:rsidRPr="00822844">
        <w:rPr>
          <w:vertAlign w:val="baseline"/>
        </w:rPr>
        <w:t>d Efendi, Mir'at-</w:t>
      </w:r>
      <w:r w:rsidRPr="00822844">
        <w:rPr>
          <w:rFonts w:eastAsia="Times New Roman" w:hint="cs"/>
          <w:vertAlign w:val="baseline"/>
        </w:rPr>
        <w:t>ı</w:t>
      </w:r>
      <w:r w:rsidRPr="00822844">
        <w:rPr>
          <w:vertAlign w:val="baseline"/>
        </w:rPr>
        <w:t xml:space="preserve"> mecelle, s. 716 </w:t>
      </w:r>
    </w:p>
  </w:footnote>
  <w:footnote w:id="31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ابن</w:t>
      </w:r>
      <w:r w:rsidRPr="00822844">
        <w:rPr>
          <w:vertAlign w:val="baseline"/>
          <w:rtl/>
        </w:rPr>
        <w:t xml:space="preserve"> عابدين، رد المحتار،ج8، ص 286.</w:t>
      </w:r>
    </w:p>
  </w:footnote>
  <w:footnote w:id="31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مجلة</w:t>
      </w:r>
      <w:r w:rsidRPr="00822844">
        <w:rPr>
          <w:vertAlign w:val="baseline"/>
          <w:rtl/>
        </w:rPr>
        <w:t xml:space="preserve"> الأحكام العدلية، ص 373</w:t>
      </w:r>
      <w:r w:rsidRPr="00822844">
        <w:rPr>
          <w:vertAlign w:val="baseline"/>
        </w:rPr>
        <w:t>.</w:t>
      </w:r>
    </w:p>
  </w:footnote>
  <w:footnote w:id="31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Pr>
        <w:t>Mes’</w:t>
      </w:r>
      <w:r w:rsidRPr="00822844">
        <w:rPr>
          <w:rFonts w:eastAsia="Times New Roman" w:hint="eastAsia"/>
          <w:vertAlign w:val="baseline"/>
        </w:rPr>
        <w:t>û</w:t>
      </w:r>
      <w:r w:rsidRPr="00822844">
        <w:rPr>
          <w:vertAlign w:val="baseline"/>
        </w:rPr>
        <w:t>d Efendi, Mir'at-</w:t>
      </w:r>
      <w:r w:rsidRPr="00822844">
        <w:rPr>
          <w:rFonts w:eastAsia="Times New Roman" w:hint="cs"/>
          <w:vertAlign w:val="baseline"/>
        </w:rPr>
        <w:t>ı</w:t>
      </w:r>
      <w:r w:rsidRPr="00822844">
        <w:rPr>
          <w:vertAlign w:val="baseline"/>
        </w:rPr>
        <w:t xml:space="preserve"> mecelle, s. 730  </w:t>
      </w:r>
    </w:p>
  </w:footnote>
  <w:footnote w:id="31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ابن</w:t>
      </w:r>
      <w:r w:rsidRPr="00822844">
        <w:rPr>
          <w:vertAlign w:val="baseline"/>
          <w:rtl/>
        </w:rPr>
        <w:t xml:space="preserve"> عابدين، رد المحتار، ج8، ص 100.</w:t>
      </w:r>
    </w:p>
  </w:footnote>
  <w:footnote w:id="31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أنظر؛</w:t>
      </w:r>
      <w:r w:rsidRPr="00822844">
        <w:rPr>
          <w:vertAlign w:val="baseline"/>
          <w:rtl/>
        </w:rPr>
        <w:t xml:space="preserve"> ابن عابدين، رد المحتار، ج6، ص107.</w:t>
      </w:r>
    </w:p>
  </w:footnote>
  <w:footnote w:id="31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أنظر؛</w:t>
      </w:r>
      <w:r w:rsidRPr="00822844">
        <w:rPr>
          <w:vertAlign w:val="baseline"/>
          <w:rtl/>
        </w:rPr>
        <w:t xml:space="preserve"> ابن عابدين، رد المحتار، ج6، ص170.</w:t>
      </w:r>
    </w:p>
  </w:footnote>
  <w:footnote w:id="32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الجوهري، مختار صحاح، ج4، ص1496.</w:t>
      </w:r>
    </w:p>
  </w:footnote>
  <w:footnote w:id="32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منظور، لسان العرب، ج3، ص1998.</w:t>
      </w:r>
    </w:p>
  </w:footnote>
  <w:footnote w:id="32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عابدين، رد المحتار، ج6، ص137 – 143.</w:t>
      </w:r>
    </w:p>
  </w:footnote>
  <w:footnote w:id="32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سورة</w:t>
      </w:r>
      <w:r w:rsidRPr="00822844">
        <w:rPr>
          <w:vertAlign w:val="baseline"/>
          <w:rtl/>
        </w:rPr>
        <w:t xml:space="preserve"> المائدة،الآية 38.</w:t>
      </w:r>
    </w:p>
  </w:footnote>
  <w:footnote w:id="32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حزم، أبو محمد علي بن أحمد بن سعيد بن حزم الأندلسي القرطبي الظاهري (ت : 456هـ)، </w:t>
      </w:r>
      <w:r w:rsidRPr="00822844">
        <w:rPr>
          <w:rFonts w:hint="cs"/>
          <w:b/>
          <w:bCs/>
          <w:vertAlign w:val="baseline"/>
          <w:rtl/>
        </w:rPr>
        <w:t>مراتب</w:t>
      </w:r>
      <w:r w:rsidRPr="00822844">
        <w:rPr>
          <w:b/>
          <w:bCs/>
          <w:vertAlign w:val="baseline"/>
          <w:rtl/>
        </w:rPr>
        <w:t xml:space="preserve"> الإجماع في العبادات والمعاملات والاعتقادات</w:t>
      </w:r>
      <w:r w:rsidRPr="00822844">
        <w:rPr>
          <w:rFonts w:hint="cs"/>
          <w:b/>
          <w:vertAlign w:val="baseline"/>
          <w:rtl/>
        </w:rPr>
        <w:t>،</w:t>
      </w:r>
      <w:r w:rsidRPr="00822844">
        <w:rPr>
          <w:b/>
          <w:vertAlign w:val="baseline"/>
          <w:rtl/>
        </w:rPr>
        <w:t xml:space="preserve"> بيروت، دار الكتب العلمية، ص 135.</w:t>
      </w:r>
    </w:p>
  </w:footnote>
  <w:footnote w:id="32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أنظر؛</w:t>
      </w:r>
      <w:r w:rsidRPr="00822844">
        <w:rPr>
          <w:vertAlign w:val="baseline"/>
          <w:rtl/>
        </w:rPr>
        <w:t xml:space="preserve"> ابن عابدين، رد المحتار، ج6، ص20.</w:t>
      </w:r>
    </w:p>
  </w:footnote>
  <w:footnote w:id="32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rFonts w:hint="cs"/>
          <w:vertAlign w:val="baseline"/>
          <w:rtl/>
        </w:rPr>
        <w:t>ابن</w:t>
      </w:r>
      <w:r w:rsidRPr="00822844">
        <w:rPr>
          <w:vertAlign w:val="baseline"/>
          <w:rtl/>
        </w:rPr>
        <w:t xml:space="preserve"> عابدين، رد المحتار، ج6، ص169، ص171.</w:t>
      </w:r>
    </w:p>
  </w:footnote>
  <w:footnote w:id="32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المرجع السابق.</w:t>
      </w:r>
    </w:p>
  </w:footnote>
  <w:footnote w:id="32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منظور، لسان العرب، ج2، ص1280، 1281.</w:t>
      </w:r>
    </w:p>
  </w:footnote>
  <w:footnote w:id="32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ابن عابدين، رد المحتار، ج10، ص187.</w:t>
      </w:r>
    </w:p>
  </w:footnote>
  <w:footnote w:id="33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الموصلي، عبد الله بن محمود بن مودود الموصلي البلدحي ( ت 683 هـ)، </w:t>
      </w:r>
      <w:r w:rsidRPr="00822844">
        <w:rPr>
          <w:rFonts w:hint="cs"/>
          <w:bCs/>
          <w:vertAlign w:val="baseline"/>
          <w:rtl/>
        </w:rPr>
        <w:t>الاختيار</w:t>
      </w:r>
      <w:r w:rsidRPr="00822844">
        <w:rPr>
          <w:bCs/>
          <w:vertAlign w:val="baseline"/>
          <w:rtl/>
        </w:rPr>
        <w:t xml:space="preserve"> لتعليل المختار</w:t>
      </w:r>
      <w:r w:rsidRPr="00822844">
        <w:rPr>
          <w:rFonts w:hint="cs"/>
          <w:vertAlign w:val="baseline"/>
          <w:rtl/>
        </w:rPr>
        <w:t>،</w:t>
      </w:r>
      <w:r w:rsidRPr="00822844">
        <w:rPr>
          <w:vertAlign w:val="baseline"/>
          <w:rtl/>
        </w:rPr>
        <w:t xml:space="preserve"> مطبعة الحلبي، </w:t>
      </w:r>
      <w:r>
        <w:rPr>
          <w:rFonts w:hint="cs"/>
          <w:vertAlign w:val="baseline"/>
          <w:rtl/>
        </w:rPr>
        <w:t>القاهرة،</w:t>
      </w:r>
      <w:r>
        <w:rPr>
          <w:vertAlign w:val="baseline"/>
          <w:rtl/>
        </w:rPr>
        <w:t xml:space="preserve"> 1937</w:t>
      </w:r>
      <w:r w:rsidRPr="00822844">
        <w:rPr>
          <w:rFonts w:hint="cs"/>
          <w:vertAlign w:val="baseline"/>
          <w:rtl/>
        </w:rPr>
        <w:t>م</w:t>
      </w:r>
      <w:r>
        <w:rPr>
          <w:rFonts w:hint="cs"/>
          <w:vertAlign w:val="baseline"/>
          <w:rtl/>
        </w:rPr>
        <w:t>،</w:t>
      </w:r>
      <w:r>
        <w:rPr>
          <w:vertAlign w:val="baseline"/>
          <w:rtl/>
        </w:rPr>
        <w:t xml:space="preserve"> ج5، ص29.</w:t>
      </w:r>
    </w:p>
  </w:footnote>
  <w:footnote w:id="331">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822844">
        <w:rPr>
          <w:rFonts w:hint="cs"/>
          <w:vertAlign w:val="baseline"/>
          <w:rtl/>
        </w:rPr>
        <w:t>الخرشي،</w:t>
      </w:r>
      <w:r w:rsidRPr="00822844">
        <w:rPr>
          <w:vertAlign w:val="baseline"/>
          <w:rtl/>
        </w:rPr>
        <w:t xml:space="preserve"> محمد بن عبد الله الخرشي المالكي أبو عبد الله (ت: 1101هـ)، </w:t>
      </w:r>
      <w:r w:rsidRPr="00822844">
        <w:rPr>
          <w:rFonts w:hint="cs"/>
          <w:bCs/>
          <w:vertAlign w:val="baseline"/>
          <w:rtl/>
        </w:rPr>
        <w:t>شرح</w:t>
      </w:r>
      <w:r w:rsidRPr="00822844">
        <w:rPr>
          <w:bCs/>
          <w:vertAlign w:val="baseline"/>
          <w:rtl/>
        </w:rPr>
        <w:t xml:space="preserve"> مختصر خليل للخرشي</w:t>
      </w:r>
      <w:r w:rsidRPr="00822844">
        <w:rPr>
          <w:rFonts w:hint="cs"/>
          <w:vertAlign w:val="baseline"/>
          <w:rtl/>
        </w:rPr>
        <w:t>،</w:t>
      </w:r>
      <w:r w:rsidRPr="00822844">
        <w:rPr>
          <w:vertAlign w:val="baseline"/>
          <w:rtl/>
        </w:rPr>
        <w:t xml:space="preserve"> بيروت، دار الفكر، ج8، ص7</w:t>
      </w:r>
      <w:r>
        <w:rPr>
          <w:vertAlign w:val="baseline"/>
          <w:rtl/>
        </w:rPr>
        <w:t>.</w:t>
      </w:r>
    </w:p>
  </w:footnote>
  <w:footnote w:id="332">
    <w:p w:rsidR="005F44B2" w:rsidRDefault="005F44B2" w:rsidP="006D59AD">
      <w:pPr>
        <w:pStyle w:val="a4"/>
        <w:spacing w:line="312" w:lineRule="auto"/>
      </w:pPr>
      <w:r>
        <w:rPr>
          <w:rtl/>
        </w:rPr>
        <w:t>(</w:t>
      </w:r>
      <w:r>
        <w:rPr>
          <w:rStyle w:val="FootnoteReference"/>
          <w:rFonts w:cs="Arabic Transparent"/>
        </w:rPr>
        <w:footnoteRef/>
      </w:r>
      <w:r>
        <w:rPr>
          <w:rtl/>
        </w:rPr>
        <w:t>)</w:t>
      </w:r>
      <w:r w:rsidRPr="00822844">
        <w:rPr>
          <w:rFonts w:hint="cs"/>
          <w:vertAlign w:val="baseline"/>
          <w:rtl/>
        </w:rPr>
        <w:t>الرملي،</w:t>
      </w:r>
      <w:r w:rsidRPr="00822844">
        <w:rPr>
          <w:vertAlign w:val="baseline"/>
          <w:rtl/>
        </w:rPr>
        <w:t xml:space="preserve"> ش</w:t>
      </w:r>
      <w:r w:rsidRPr="00822844">
        <w:rPr>
          <w:rFonts w:hint="cs"/>
          <w:vertAlign w:val="baseline"/>
          <w:rtl/>
        </w:rPr>
        <w:t>مس</w:t>
      </w:r>
      <w:r w:rsidRPr="00822844">
        <w:rPr>
          <w:vertAlign w:val="baseline"/>
          <w:rtl/>
        </w:rPr>
        <w:t xml:space="preserve"> الدين محمد بن أبي العباس أحمد بن حمزة شهاب الدين الرملي (ت: 1004هـ)، </w:t>
      </w:r>
      <w:r w:rsidRPr="00822844">
        <w:rPr>
          <w:rFonts w:hint="cs"/>
          <w:b/>
          <w:bCs/>
          <w:vertAlign w:val="baseline"/>
          <w:rtl/>
        </w:rPr>
        <w:t>نهاية</w:t>
      </w:r>
      <w:r w:rsidRPr="00822844">
        <w:rPr>
          <w:b/>
          <w:bCs/>
          <w:vertAlign w:val="baseline"/>
          <w:rtl/>
        </w:rPr>
        <w:t xml:space="preserve"> المحتاج إلى شرح المنهاج</w:t>
      </w:r>
      <w:r w:rsidRPr="00822844">
        <w:rPr>
          <w:rFonts w:hint="cs"/>
          <w:vertAlign w:val="baseline"/>
          <w:rtl/>
        </w:rPr>
        <w:t>،</w:t>
      </w:r>
      <w:r w:rsidRPr="00822844">
        <w:rPr>
          <w:vertAlign w:val="baseline"/>
          <w:rtl/>
        </w:rPr>
        <w:t xml:space="preserve"> طبعة أخيرة، بيروت، دار الفكر</w:t>
      </w:r>
      <w:r>
        <w:rPr>
          <w:rFonts w:hint="cs"/>
          <w:vertAlign w:val="baseline"/>
          <w:rtl/>
        </w:rPr>
        <w:t>،</w:t>
      </w:r>
      <w:r>
        <w:rPr>
          <w:vertAlign w:val="baseline"/>
          <w:rtl/>
        </w:rPr>
        <w:t xml:space="preserve"> 1984م، ج7، ص 248.</w:t>
      </w:r>
    </w:p>
  </w:footnote>
  <w:footnote w:id="33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C643CB">
        <w:rPr>
          <w:rFonts w:hint="cs"/>
          <w:vertAlign w:val="baseline"/>
          <w:rtl/>
        </w:rPr>
        <w:t>برهان</w:t>
      </w:r>
      <w:r w:rsidRPr="00C643CB">
        <w:rPr>
          <w:vertAlign w:val="baseline"/>
          <w:rtl/>
        </w:rPr>
        <w:t xml:space="preserve"> الدين</w:t>
      </w:r>
      <w:r>
        <w:rPr>
          <w:rFonts w:hint="cs"/>
          <w:vertAlign w:val="baseline"/>
          <w:rtl/>
        </w:rPr>
        <w:t>،</w:t>
      </w:r>
      <w:r>
        <w:rPr>
          <w:vertAlign w:val="baseline"/>
          <w:rtl/>
        </w:rPr>
        <w:t xml:space="preserve"> </w:t>
      </w:r>
      <w:r w:rsidRPr="00C643CB">
        <w:rPr>
          <w:rFonts w:hint="cs"/>
          <w:vertAlign w:val="baseline"/>
          <w:rtl/>
        </w:rPr>
        <w:t>إبراهيم</w:t>
      </w:r>
      <w:r w:rsidRPr="00C643CB">
        <w:rPr>
          <w:vertAlign w:val="baseline"/>
          <w:rtl/>
        </w:rPr>
        <w:t xml:space="preserve"> بن محمد بن عبد الله بن محمد ابن مفلح، أبو إسحاق، برهان الدين (</w:t>
      </w:r>
      <w:r>
        <w:rPr>
          <w:rFonts w:hint="cs"/>
          <w:vertAlign w:val="baseline"/>
          <w:rtl/>
        </w:rPr>
        <w:t>ت</w:t>
      </w:r>
      <w:r w:rsidRPr="00C643CB">
        <w:rPr>
          <w:vertAlign w:val="baseline"/>
          <w:rtl/>
        </w:rPr>
        <w:t xml:space="preserve"> 884هـ)</w:t>
      </w:r>
      <w:r>
        <w:rPr>
          <w:rFonts w:hint="cs"/>
          <w:vertAlign w:val="baseline"/>
          <w:rtl/>
        </w:rPr>
        <w:t>،</w:t>
      </w:r>
      <w:r>
        <w:rPr>
          <w:vertAlign w:val="baseline"/>
          <w:rtl/>
        </w:rPr>
        <w:t xml:space="preserve"> </w:t>
      </w:r>
      <w:r w:rsidRPr="00C643CB">
        <w:rPr>
          <w:rFonts w:hint="cs"/>
          <w:b/>
          <w:bCs/>
          <w:vertAlign w:val="baseline"/>
          <w:rtl/>
        </w:rPr>
        <w:t>المبدع</w:t>
      </w:r>
      <w:r w:rsidRPr="00C643CB">
        <w:rPr>
          <w:b/>
          <w:bCs/>
          <w:vertAlign w:val="baseline"/>
          <w:rtl/>
        </w:rPr>
        <w:t xml:space="preserve"> في شرح المقنع</w:t>
      </w:r>
      <w:r>
        <w:rPr>
          <w:rFonts w:hint="cs"/>
          <w:vertAlign w:val="baseline"/>
          <w:rtl/>
        </w:rPr>
        <w:t>،</w:t>
      </w:r>
      <w:r>
        <w:rPr>
          <w:vertAlign w:val="baseline"/>
          <w:rtl/>
        </w:rPr>
        <w:t xml:space="preserve"> ط1، دار الكتب العلمية، بيروت، </w:t>
      </w:r>
      <w:r w:rsidRPr="00C643CB">
        <w:rPr>
          <w:vertAlign w:val="baseline"/>
          <w:rtl/>
        </w:rPr>
        <w:t xml:space="preserve">1418 هـ </w:t>
      </w:r>
      <w:r>
        <w:rPr>
          <w:vertAlign w:val="baseline"/>
          <w:rtl/>
        </w:rPr>
        <w:t>/</w:t>
      </w:r>
      <w:r w:rsidRPr="00C643CB">
        <w:rPr>
          <w:vertAlign w:val="baseline"/>
          <w:rtl/>
        </w:rPr>
        <w:t xml:space="preserve"> 1997 م</w:t>
      </w:r>
      <w:r>
        <w:rPr>
          <w:rFonts w:hint="cs"/>
          <w:vertAlign w:val="baseline"/>
          <w:rtl/>
        </w:rPr>
        <w:t>،</w:t>
      </w:r>
      <w:r>
        <w:rPr>
          <w:vertAlign w:val="baseline"/>
          <w:rtl/>
        </w:rPr>
        <w:t xml:space="preserve"> ج7، ص193.</w:t>
      </w:r>
    </w:p>
  </w:footnote>
  <w:footnote w:id="33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عودة، عبد القادر، </w:t>
      </w:r>
      <w:r w:rsidRPr="00822844">
        <w:rPr>
          <w:rFonts w:hint="cs"/>
          <w:b/>
          <w:bCs/>
          <w:vertAlign w:val="baseline"/>
          <w:rtl/>
        </w:rPr>
        <w:t>التشريع</w:t>
      </w:r>
      <w:r w:rsidRPr="00822844">
        <w:rPr>
          <w:b/>
          <w:bCs/>
          <w:vertAlign w:val="baseline"/>
          <w:rtl/>
        </w:rPr>
        <w:t xml:space="preserve"> الجنائي الإسلامي مقارناً بالقانون الوضعي</w:t>
      </w:r>
      <w:r w:rsidRPr="00822844">
        <w:rPr>
          <w:rFonts w:hint="cs"/>
          <w:vertAlign w:val="baseline"/>
          <w:rtl/>
        </w:rPr>
        <w:t>،</w:t>
      </w:r>
      <w:r w:rsidRPr="00822844">
        <w:rPr>
          <w:vertAlign w:val="baseline"/>
          <w:rtl/>
        </w:rPr>
        <w:t xml:space="preserve"> بيروت، دار الكاتب العربي، ج2، ص65.</w:t>
      </w:r>
    </w:p>
  </w:footnote>
  <w:footnote w:id="33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عابدين، رد المحتار، ج3، ص108؛ المرجع السا</w:t>
      </w:r>
      <w:r w:rsidRPr="00822844">
        <w:rPr>
          <w:rFonts w:hint="cs"/>
          <w:vertAlign w:val="baseline"/>
          <w:rtl/>
        </w:rPr>
        <w:t>بق،</w:t>
      </w:r>
      <w:r w:rsidRPr="00822844">
        <w:rPr>
          <w:vertAlign w:val="baseline"/>
          <w:rtl/>
        </w:rPr>
        <w:t xml:space="preserve"> ج6، ض190.</w:t>
      </w:r>
    </w:p>
  </w:footnote>
  <w:footnote w:id="33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ابن عابدين، مجموعة الرسائل، كتاب تنبيه الولاة والحكام على أحكام شاتم خير </w:t>
      </w:r>
      <w:r w:rsidRPr="00822844">
        <w:rPr>
          <w:rFonts w:hint="cs"/>
          <w:vertAlign w:val="baseline"/>
          <w:rtl/>
        </w:rPr>
        <w:t>الأنام،</w:t>
      </w:r>
      <w:r w:rsidRPr="00822844">
        <w:rPr>
          <w:vertAlign w:val="baseline"/>
          <w:rtl/>
        </w:rPr>
        <w:t xml:space="preserve"> ج1، ص523.</w:t>
      </w:r>
    </w:p>
  </w:footnote>
  <w:footnote w:id="33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عابدين، رد المحتار، ج10، ص188؛ ج6، ص20؛ ج10 ص187.</w:t>
      </w:r>
    </w:p>
  </w:footnote>
  <w:footnote w:id="33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المرغيناني، علي بن أبي بكر بن عبد الجليل الفرغاني المرغيناني، أبو الحسن برهان الدين (ت: 593هـ)، </w:t>
      </w:r>
      <w:r w:rsidRPr="00822844">
        <w:rPr>
          <w:rFonts w:hint="cs"/>
          <w:b/>
          <w:bCs/>
          <w:vertAlign w:val="baseline"/>
          <w:rtl/>
        </w:rPr>
        <w:t>الهداية</w:t>
      </w:r>
      <w:r w:rsidRPr="00822844">
        <w:rPr>
          <w:b/>
          <w:bCs/>
          <w:vertAlign w:val="baseline"/>
          <w:rtl/>
        </w:rPr>
        <w:t xml:space="preserve"> في شرح بداية المبتدي</w:t>
      </w:r>
      <w:r w:rsidRPr="00822844">
        <w:rPr>
          <w:rFonts w:hint="cs"/>
          <w:vertAlign w:val="baseline"/>
          <w:rtl/>
        </w:rPr>
        <w:t>،</w:t>
      </w:r>
      <w:r w:rsidRPr="00822844">
        <w:rPr>
          <w:vertAlign w:val="baseline"/>
          <w:rtl/>
        </w:rPr>
        <w:t xml:space="preserve"> تحقيق طلال يوسف، ط1،دار احياء التراث العربي، بيروت، 1245ه</w:t>
      </w:r>
      <w:r w:rsidRPr="00822844">
        <w:rPr>
          <w:vertAlign w:val="baseline"/>
        </w:rPr>
        <w:t>‍</w:t>
      </w:r>
      <w:r w:rsidRPr="00822844">
        <w:rPr>
          <w:vertAlign w:val="baseline"/>
          <w:rtl/>
        </w:rPr>
        <w:t>/2004م</w:t>
      </w:r>
      <w:r>
        <w:rPr>
          <w:rFonts w:hint="cs"/>
          <w:vertAlign w:val="baseline"/>
          <w:rtl/>
        </w:rPr>
        <w:t>،</w:t>
      </w:r>
      <w:r w:rsidRPr="00822844">
        <w:rPr>
          <w:vertAlign w:val="baseline"/>
          <w:rtl/>
        </w:rPr>
        <w:t xml:space="preserve"> ج2، ص377؛ ابن عابدين، رد المحتار، ج6، ص110، ص382، 388؛ ابن عابدين، مجموعة الرسائل، كتاب تنبيه الولاة والحكام على أحكام شاتم خير الأنام، ج1، ص505، 522.</w:t>
      </w:r>
    </w:p>
  </w:footnote>
  <w:footnote w:id="33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عابدين، رد المحتار، ج3، ص108؛ المرجع السابق، ج6، ص107.</w:t>
      </w:r>
    </w:p>
  </w:footnote>
  <w:footnote w:id="34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ابن عابدين، رد المحتار، ج6، ص107.</w:t>
      </w:r>
    </w:p>
  </w:footnote>
  <w:footnote w:id="34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الجوهري، الصحاح، ج3، ص1158.</w:t>
      </w:r>
    </w:p>
  </w:footnote>
  <w:footnote w:id="34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822844">
        <w:rPr>
          <w:vertAlign w:val="baseline"/>
          <w:rtl/>
        </w:rPr>
        <w:t xml:space="preserve"> أنظر: الرملي، </w:t>
      </w:r>
      <w:r w:rsidRPr="00C643CB">
        <w:rPr>
          <w:rFonts w:hint="cs"/>
          <w:vertAlign w:val="baseline"/>
          <w:rtl/>
        </w:rPr>
        <w:t>نهاية</w:t>
      </w:r>
      <w:r w:rsidRPr="00C643CB">
        <w:rPr>
          <w:vertAlign w:val="baseline"/>
          <w:rtl/>
        </w:rPr>
        <w:t xml:space="preserve"> المحتاج إلى شرح المنهاج</w:t>
      </w:r>
      <w:r w:rsidRPr="00822844">
        <w:rPr>
          <w:rFonts w:hint="cs"/>
          <w:vertAlign w:val="baseline"/>
          <w:rtl/>
        </w:rPr>
        <w:t>،ج</w:t>
      </w:r>
      <w:r w:rsidRPr="00822844">
        <w:rPr>
          <w:vertAlign w:val="baseline"/>
          <w:rtl/>
        </w:rPr>
        <w:t>7، ص 104، 105.</w:t>
      </w:r>
    </w:p>
  </w:footnote>
  <w:footnote w:id="34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F02C9">
        <w:rPr>
          <w:vertAlign w:val="baseline"/>
          <w:rtl/>
        </w:rPr>
        <w:t xml:space="preserve"> أنظر: الشربيني، شمس الدين، محمد بن أحمد الخطيب الشربيني (ت 977 هـ)، </w:t>
      </w:r>
      <w:r w:rsidRPr="00DF02C9">
        <w:rPr>
          <w:rFonts w:hint="cs"/>
          <w:b/>
          <w:bCs/>
          <w:vertAlign w:val="baseline"/>
          <w:rtl/>
        </w:rPr>
        <w:t>مغني</w:t>
      </w:r>
      <w:r w:rsidRPr="00DF02C9">
        <w:rPr>
          <w:b/>
          <w:bCs/>
          <w:vertAlign w:val="baseline"/>
          <w:rtl/>
        </w:rPr>
        <w:t xml:space="preserve"> المحتاج إلى معرفة معاني ألفاظ المنهاج</w:t>
      </w:r>
      <w:r w:rsidRPr="00DF02C9">
        <w:rPr>
          <w:rFonts w:hint="cs"/>
          <w:vertAlign w:val="baseline"/>
          <w:rtl/>
        </w:rPr>
        <w:t>،</w:t>
      </w:r>
      <w:r w:rsidRPr="00DF02C9">
        <w:rPr>
          <w:vertAlign w:val="baseline"/>
          <w:rtl/>
        </w:rPr>
        <w:t xml:space="preserve"> ط1، دار</w:t>
      </w:r>
      <w:r>
        <w:rPr>
          <w:vertAlign w:val="baseline"/>
          <w:rtl/>
        </w:rPr>
        <w:t xml:space="preserve"> الكتب العلمية، 1994م، ج5، ص443؛ قليوبي، </w:t>
      </w:r>
      <w:r w:rsidRPr="008372A5">
        <w:rPr>
          <w:rFonts w:hint="cs"/>
          <w:vertAlign w:val="baseline"/>
          <w:rtl/>
        </w:rPr>
        <w:t>حاشيتا</w:t>
      </w:r>
      <w:r w:rsidRPr="008372A5">
        <w:rPr>
          <w:vertAlign w:val="baseline"/>
          <w:rtl/>
        </w:rPr>
        <w:t xml:space="preserve"> قليوبي وعميرة</w:t>
      </w:r>
      <w:r>
        <w:rPr>
          <w:rFonts w:hint="cs"/>
          <w:vertAlign w:val="baseline"/>
          <w:rtl/>
        </w:rPr>
        <w:t>،</w:t>
      </w:r>
      <w:r>
        <w:rPr>
          <w:vertAlign w:val="baseline"/>
          <w:rtl/>
        </w:rPr>
        <w:t xml:space="preserve"> ج4، ص180.</w:t>
      </w:r>
    </w:p>
  </w:footnote>
  <w:footnote w:id="34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F02C9">
        <w:rPr>
          <w:vertAlign w:val="baseline"/>
          <w:rtl/>
        </w:rPr>
        <w:t xml:space="preserve"> أنظر: القرافي، </w:t>
      </w:r>
      <w:r>
        <w:rPr>
          <w:rFonts w:hint="cs"/>
          <w:vertAlign w:val="baseline"/>
          <w:rtl/>
        </w:rPr>
        <w:t>الذخيرة،</w:t>
      </w:r>
      <w:r>
        <w:rPr>
          <w:vertAlign w:val="baseline"/>
          <w:rtl/>
        </w:rPr>
        <w:t xml:space="preserve"> </w:t>
      </w:r>
      <w:r w:rsidRPr="00DF02C9">
        <w:rPr>
          <w:rFonts w:hint="cs"/>
          <w:vertAlign w:val="baseline"/>
          <w:rtl/>
        </w:rPr>
        <w:t>ج</w:t>
      </w:r>
      <w:r w:rsidRPr="00DF02C9">
        <w:rPr>
          <w:vertAlign w:val="baseline"/>
          <w:rtl/>
        </w:rPr>
        <w:t>12، ص65.</w:t>
      </w:r>
    </w:p>
  </w:footnote>
  <w:footnote w:id="34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F02C9">
        <w:rPr>
          <w:vertAlign w:val="baseline"/>
          <w:rtl/>
        </w:rPr>
        <w:t xml:space="preserve"> أنظر: ابن قدامة، أبو محمد موفق الدين عبد الله بن أحمد بن محمد بن قدامة الجماعيلي المقدسي ثم الدمشقي الحنبلي، الشهير بابن قدامة المقدسي (ت: 620هـ)، </w:t>
      </w:r>
      <w:r w:rsidRPr="00DF02C9">
        <w:rPr>
          <w:rFonts w:hint="cs"/>
          <w:b/>
          <w:bCs/>
          <w:vertAlign w:val="baseline"/>
          <w:rtl/>
        </w:rPr>
        <w:t>المغني</w:t>
      </w:r>
      <w:r w:rsidRPr="00DF02C9">
        <w:rPr>
          <w:b/>
          <w:bCs/>
          <w:vertAlign w:val="baseline"/>
          <w:rtl/>
        </w:rPr>
        <w:t xml:space="preserve"> لابن قدامة</w:t>
      </w:r>
      <w:r>
        <w:rPr>
          <w:rFonts w:hint="cs"/>
          <w:vertAlign w:val="baseline"/>
          <w:rtl/>
        </w:rPr>
        <w:t>،</w:t>
      </w:r>
      <w:r>
        <w:rPr>
          <w:vertAlign w:val="baseline"/>
          <w:rtl/>
        </w:rPr>
        <w:t xml:space="preserve"> مكتبة القاهرة، 1968م، ج9، ص60؛ قليوبي، </w:t>
      </w:r>
      <w:r w:rsidRPr="008372A5">
        <w:rPr>
          <w:rFonts w:hint="cs"/>
          <w:vertAlign w:val="baseline"/>
          <w:rtl/>
        </w:rPr>
        <w:t>حاشيتا</w:t>
      </w:r>
      <w:r w:rsidRPr="008372A5">
        <w:rPr>
          <w:vertAlign w:val="baseline"/>
          <w:rtl/>
        </w:rPr>
        <w:t xml:space="preserve"> قليوبي وعميرة</w:t>
      </w:r>
      <w:r>
        <w:rPr>
          <w:rFonts w:hint="cs"/>
          <w:vertAlign w:val="baseline"/>
          <w:rtl/>
        </w:rPr>
        <w:t>،</w:t>
      </w:r>
      <w:r>
        <w:rPr>
          <w:vertAlign w:val="baseline"/>
          <w:rtl/>
        </w:rPr>
        <w:t xml:space="preserve"> ج4، ص180.</w:t>
      </w:r>
    </w:p>
  </w:footnote>
  <w:footnote w:id="34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F02C9">
        <w:rPr>
          <w:vertAlign w:val="baseline"/>
          <w:rtl/>
        </w:rPr>
        <w:t xml:space="preserve"> أنظر: السرخسي، محمد بن أحمد بن أبي سهل شمس الأئمة السرخسي (ت: 483هـ)، </w:t>
      </w:r>
      <w:r w:rsidRPr="00DF02C9">
        <w:rPr>
          <w:rFonts w:hint="cs"/>
          <w:b/>
          <w:bCs/>
          <w:vertAlign w:val="baseline"/>
          <w:rtl/>
        </w:rPr>
        <w:t>المبسوط</w:t>
      </w:r>
      <w:r w:rsidRPr="00DF02C9">
        <w:rPr>
          <w:rFonts w:hint="cs"/>
          <w:vertAlign w:val="baseline"/>
          <w:rtl/>
        </w:rPr>
        <w:t>،</w:t>
      </w:r>
      <w:r w:rsidRPr="00DF02C9">
        <w:rPr>
          <w:vertAlign w:val="baseline"/>
          <w:rtl/>
        </w:rPr>
        <w:t xml:space="preserve"> بيروت، دار المع</w:t>
      </w:r>
      <w:r w:rsidRPr="00DF02C9">
        <w:rPr>
          <w:rFonts w:hint="cs"/>
          <w:vertAlign w:val="baseline"/>
          <w:rtl/>
        </w:rPr>
        <w:t>رفة،</w:t>
      </w:r>
      <w:r w:rsidRPr="00DF02C9">
        <w:rPr>
          <w:vertAlign w:val="baseline"/>
          <w:rtl/>
        </w:rPr>
        <w:t xml:space="preserve"> 1993م، ج9، ص78.</w:t>
      </w:r>
    </w:p>
  </w:footnote>
  <w:footnote w:id="347">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3F3F5B">
        <w:rPr>
          <w:rFonts w:hint="cs"/>
          <w:vertAlign w:val="baseline"/>
          <w:rtl/>
        </w:rPr>
        <w:t>البيهقي</w:t>
      </w:r>
      <w:r>
        <w:rPr>
          <w:rFonts w:hint="cs"/>
          <w:vertAlign w:val="baseline"/>
          <w:rtl/>
        </w:rPr>
        <w:t>،</w:t>
      </w:r>
      <w:r>
        <w:rPr>
          <w:vertAlign w:val="baseline"/>
          <w:rtl/>
        </w:rPr>
        <w:t xml:space="preserve"> </w:t>
      </w:r>
      <w:r w:rsidRPr="003F3F5B">
        <w:rPr>
          <w:rFonts w:hint="cs"/>
          <w:vertAlign w:val="baseline"/>
          <w:rtl/>
        </w:rPr>
        <w:t>أحمد</w:t>
      </w:r>
      <w:r w:rsidRPr="003F3F5B">
        <w:rPr>
          <w:vertAlign w:val="baseline"/>
          <w:rtl/>
        </w:rPr>
        <w:t xml:space="preserve"> بن الحسين بن علي بن موسى الخُسْرَوْجِردي الخراساني، أبو بكر البيهقي (</w:t>
      </w:r>
      <w:r>
        <w:rPr>
          <w:rFonts w:hint="cs"/>
          <w:vertAlign w:val="baseline"/>
          <w:rtl/>
        </w:rPr>
        <w:t>ت</w:t>
      </w:r>
      <w:r w:rsidRPr="003F3F5B">
        <w:rPr>
          <w:vertAlign w:val="baseline"/>
          <w:rtl/>
        </w:rPr>
        <w:t>: 458هـ)</w:t>
      </w:r>
      <w:r>
        <w:rPr>
          <w:rFonts w:hint="cs"/>
          <w:vertAlign w:val="baseline"/>
          <w:rtl/>
        </w:rPr>
        <w:t>،</w:t>
      </w:r>
      <w:r>
        <w:rPr>
          <w:vertAlign w:val="baseline"/>
          <w:rtl/>
        </w:rPr>
        <w:t xml:space="preserve"> </w:t>
      </w:r>
      <w:r w:rsidRPr="003F3F5B">
        <w:rPr>
          <w:rFonts w:hint="cs"/>
          <w:b/>
          <w:bCs/>
          <w:vertAlign w:val="baseline"/>
          <w:rtl/>
        </w:rPr>
        <w:t>السنن</w:t>
      </w:r>
      <w:r w:rsidRPr="003F3F5B">
        <w:rPr>
          <w:b/>
          <w:bCs/>
          <w:vertAlign w:val="baseline"/>
          <w:rtl/>
        </w:rPr>
        <w:t xml:space="preserve"> الكبرى</w:t>
      </w:r>
      <w:r>
        <w:rPr>
          <w:rFonts w:hint="cs"/>
          <w:vertAlign w:val="baseline"/>
          <w:rtl/>
        </w:rPr>
        <w:t>،</w:t>
      </w:r>
      <w:r w:rsidRPr="003F3F5B">
        <w:rPr>
          <w:rFonts w:hint="cs"/>
          <w:vertAlign w:val="baseline"/>
          <w:rtl/>
        </w:rPr>
        <w:t>المحقق</w:t>
      </w:r>
      <w:r w:rsidRPr="003F3F5B">
        <w:rPr>
          <w:vertAlign w:val="baseline"/>
          <w:rtl/>
        </w:rPr>
        <w:t>: محمد عبد القادر عطا</w:t>
      </w:r>
      <w:r>
        <w:rPr>
          <w:rFonts w:hint="cs"/>
          <w:vertAlign w:val="baseline"/>
          <w:rtl/>
        </w:rPr>
        <w:t>،</w:t>
      </w:r>
      <w:r>
        <w:rPr>
          <w:vertAlign w:val="baseline"/>
          <w:rtl/>
        </w:rPr>
        <w:t xml:space="preserve"> ط3، </w:t>
      </w:r>
      <w:r w:rsidRPr="003F3F5B">
        <w:rPr>
          <w:rFonts w:hint="cs"/>
          <w:vertAlign w:val="baseline"/>
          <w:rtl/>
        </w:rPr>
        <w:t>دار</w:t>
      </w:r>
      <w:r w:rsidRPr="003F3F5B">
        <w:rPr>
          <w:vertAlign w:val="baseline"/>
          <w:rtl/>
        </w:rPr>
        <w:t xml:space="preserve"> الكتب العلمية</w:t>
      </w:r>
      <w:r>
        <w:rPr>
          <w:rFonts w:hint="cs"/>
          <w:vertAlign w:val="baseline"/>
          <w:rtl/>
        </w:rPr>
        <w:t>،</w:t>
      </w:r>
      <w:r>
        <w:rPr>
          <w:vertAlign w:val="baseline"/>
          <w:rtl/>
        </w:rPr>
        <w:t xml:space="preserve"> بيروت، </w:t>
      </w:r>
      <w:r w:rsidRPr="003F3F5B">
        <w:rPr>
          <w:vertAlign w:val="baseline"/>
          <w:rtl/>
        </w:rPr>
        <w:t xml:space="preserve">1424 هـ </w:t>
      </w:r>
      <w:r>
        <w:rPr>
          <w:vertAlign w:val="baseline"/>
          <w:rtl/>
        </w:rPr>
        <w:t>/</w:t>
      </w:r>
      <w:r w:rsidRPr="003F3F5B">
        <w:rPr>
          <w:vertAlign w:val="baseline"/>
          <w:rtl/>
        </w:rPr>
        <w:t xml:space="preserve"> 2003 م</w:t>
      </w:r>
      <w:r>
        <w:rPr>
          <w:rFonts w:hint="cs"/>
          <w:vertAlign w:val="baseline"/>
          <w:rtl/>
        </w:rPr>
        <w:t>،</w:t>
      </w:r>
      <w:r>
        <w:rPr>
          <w:vertAlign w:val="baseline"/>
          <w:rtl/>
        </w:rPr>
        <w:t xml:space="preserve"> كتاب الحدود، باب ما جاء في حد اللوطي، رقم الحديث: 17028، ج8، ص428.</w:t>
      </w:r>
    </w:p>
  </w:footnote>
  <w:footnote w:id="348">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المرجع السابق، كتاب الحدود، باب ما جاء في حد اللوطي، رقم الحديث: 17028، ج8، ص428.</w:t>
      </w:r>
    </w:p>
  </w:footnote>
  <w:footnote w:id="34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DF02C9">
        <w:rPr>
          <w:vertAlign w:val="baseline"/>
          <w:rtl/>
        </w:rPr>
        <w:t xml:space="preserve"> أنظر: الموصلي، الاختيار، ج4، ص91.</w:t>
      </w:r>
    </w:p>
  </w:footnote>
  <w:footnote w:id="35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ج6، ص20، 107، 110؛ ابن عابدين، مجموعة الرسائل، كتاب تنبيه الولاة والحكام على أ</w:t>
      </w:r>
      <w:r w:rsidRPr="00FB5347">
        <w:rPr>
          <w:rFonts w:hint="cs"/>
          <w:vertAlign w:val="baseline"/>
          <w:rtl/>
        </w:rPr>
        <w:t>حكام</w:t>
      </w:r>
      <w:r w:rsidRPr="00FB5347">
        <w:rPr>
          <w:vertAlign w:val="baseline"/>
          <w:rtl/>
        </w:rPr>
        <w:t xml:space="preserve"> شاتم خير الأنام، ج1</w:t>
      </w:r>
      <w:r w:rsidRPr="00FB5347">
        <w:rPr>
          <w:rFonts w:hint="cs"/>
          <w:vertAlign w:val="baseline"/>
          <w:rtl/>
        </w:rPr>
        <w:t>،</w:t>
      </w:r>
      <w:r w:rsidRPr="00FB5347">
        <w:rPr>
          <w:vertAlign w:val="baseline"/>
          <w:rtl/>
        </w:rPr>
        <w:t xml:space="preserve"> ص514.</w:t>
      </w:r>
    </w:p>
  </w:footnote>
  <w:footnote w:id="35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أنظر</w:t>
      </w:r>
      <w:r w:rsidRPr="00FB5347">
        <w:rPr>
          <w:vertAlign w:val="baseline"/>
          <w:rtl/>
        </w:rPr>
        <w:t>:ابن عابدين، رد المحتار، ج6، ص183.</w:t>
      </w:r>
    </w:p>
  </w:footnote>
  <w:footnote w:id="35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ج6، ص184.</w:t>
      </w:r>
    </w:p>
  </w:footnote>
  <w:footnote w:id="35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ج6، ص109.</w:t>
      </w:r>
    </w:p>
  </w:footnote>
  <w:footnote w:id="354">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الجويني، نهاية المطلب، ج17، ص298.</w:t>
      </w:r>
    </w:p>
  </w:footnote>
  <w:footnote w:id="355">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w:t>
      </w:r>
      <w:r w:rsidRPr="00FB5347">
        <w:rPr>
          <w:rFonts w:hint="cs"/>
          <w:vertAlign w:val="baseline"/>
          <w:rtl/>
        </w:rPr>
        <w:t>الزركشي،</w:t>
      </w:r>
      <w:r w:rsidRPr="00FB5347">
        <w:rPr>
          <w:vertAlign w:val="baseline"/>
          <w:rtl/>
        </w:rPr>
        <w:t xml:space="preserve"> شمس الدين محمد بن عبد الله الزركشي المصري الحنبلي (ت: 772هـ)، </w:t>
      </w:r>
      <w:r w:rsidRPr="00FB5347">
        <w:rPr>
          <w:rFonts w:hint="cs"/>
          <w:b/>
          <w:bCs/>
          <w:vertAlign w:val="baseline"/>
          <w:rtl/>
        </w:rPr>
        <w:t>شرح</w:t>
      </w:r>
      <w:r w:rsidRPr="00FB5347">
        <w:rPr>
          <w:b/>
          <w:bCs/>
          <w:vertAlign w:val="baseline"/>
          <w:rtl/>
        </w:rPr>
        <w:t xml:space="preserve"> الزركشي على مختصر الخرقي</w:t>
      </w:r>
      <w:r w:rsidRPr="00FB5347">
        <w:rPr>
          <w:rFonts w:hint="cs"/>
          <w:vertAlign w:val="baseline"/>
          <w:rtl/>
        </w:rPr>
        <w:t>،</w:t>
      </w:r>
      <w:r w:rsidRPr="00FB5347">
        <w:rPr>
          <w:vertAlign w:val="baseline"/>
          <w:rtl/>
        </w:rPr>
        <w:t xml:space="preserve"> ط1، دار العبيكان، 1413 هـ / 1993 م، ج6، </w:t>
      </w:r>
      <w:r>
        <w:rPr>
          <w:rFonts w:hint="cs"/>
          <w:vertAlign w:val="baseline"/>
          <w:rtl/>
        </w:rPr>
        <w:t>ص</w:t>
      </w:r>
      <w:r>
        <w:rPr>
          <w:vertAlign w:val="baseline"/>
          <w:rtl/>
        </w:rPr>
        <w:t>363.</w:t>
      </w:r>
    </w:p>
  </w:footnote>
  <w:footnote w:id="356">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أنظر: </w:t>
      </w:r>
      <w:r w:rsidRPr="008A3A46">
        <w:rPr>
          <w:rFonts w:hint="cs"/>
          <w:vertAlign w:val="baseline"/>
          <w:rtl/>
        </w:rPr>
        <w:t>الموصلي</w:t>
      </w:r>
      <w:r>
        <w:rPr>
          <w:rFonts w:hint="cs"/>
          <w:vertAlign w:val="baseline"/>
          <w:rtl/>
        </w:rPr>
        <w:t>،</w:t>
      </w:r>
      <w:r>
        <w:rPr>
          <w:vertAlign w:val="baseline"/>
          <w:rtl/>
        </w:rPr>
        <w:t xml:space="preserve"> </w:t>
      </w:r>
      <w:r w:rsidRPr="008A3A46">
        <w:rPr>
          <w:rFonts w:hint="cs"/>
          <w:vertAlign w:val="baseline"/>
          <w:rtl/>
        </w:rPr>
        <w:t>الاختيار</w:t>
      </w:r>
      <w:r>
        <w:rPr>
          <w:rFonts w:hint="cs"/>
          <w:vertAlign w:val="baseline"/>
          <w:rtl/>
        </w:rPr>
        <w:t>،</w:t>
      </w:r>
      <w:r>
        <w:rPr>
          <w:vertAlign w:val="baseline"/>
          <w:rtl/>
        </w:rPr>
        <w:t xml:space="preserve"> ج4، ص114.</w:t>
      </w:r>
    </w:p>
  </w:footnote>
  <w:footnote w:id="35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تيمية، تقي الدين أبو العباس أحمد بن عبد الحليم بن عبد السلام بن عبد الله بن أبي القاسم بن محمد ابن تيمية الحراني الحنبلي الدمشقي (ت: 728هـ)، </w:t>
      </w:r>
      <w:r w:rsidRPr="00FB5347">
        <w:rPr>
          <w:rFonts w:hint="cs"/>
          <w:b/>
          <w:bCs/>
          <w:vertAlign w:val="baseline"/>
          <w:rtl/>
        </w:rPr>
        <w:t>السياسة</w:t>
      </w:r>
      <w:r w:rsidRPr="00FB5347">
        <w:rPr>
          <w:b/>
          <w:bCs/>
          <w:vertAlign w:val="baseline"/>
          <w:rtl/>
        </w:rPr>
        <w:t xml:space="preserve"> الشرعية في اصلاح الراعي والرعية</w:t>
      </w:r>
      <w:r w:rsidRPr="00FB5347">
        <w:rPr>
          <w:rFonts w:hint="cs"/>
          <w:vertAlign w:val="baseline"/>
          <w:rtl/>
        </w:rPr>
        <w:t>،</w:t>
      </w:r>
      <w:r w:rsidRPr="00FB5347">
        <w:rPr>
          <w:vertAlign w:val="baseline"/>
          <w:rtl/>
        </w:rPr>
        <w:t xml:space="preserve"> ط1، وزارة الشئون الإسلامية والأوقاف والدعوة والإرشاد، 1418هـ، ج1، ص62.</w:t>
      </w:r>
    </w:p>
  </w:footnote>
  <w:footnote w:id="35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ج6، ص109.</w:t>
      </w:r>
    </w:p>
  </w:footnote>
  <w:footnote w:id="35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مجموعة الرسائل، في السحر وأقسامه وأحكامه، ج2، ص444؛ ابن عابدين، رد المحتار، ج6، ص345؛ ابن عابدين، مجموعة الرسائل، كتاب تنبيه الولاة والحكام على أحكام شاتم خير الأنام، ج1، ص523.</w:t>
      </w:r>
    </w:p>
  </w:footnote>
  <w:footnote w:id="36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منظور، لسان العرب، ج3، ص1951.</w:t>
      </w:r>
    </w:p>
  </w:footnote>
  <w:footnote w:id="36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مجموعة الرسائل، في السحر وأقسامه وأحكامه، ج2، ص442. </w:t>
      </w:r>
    </w:p>
  </w:footnote>
  <w:footnote w:id="36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ج1، ص134.</w:t>
      </w:r>
    </w:p>
  </w:footnote>
  <w:footnote w:id="36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ابن</w:t>
      </w:r>
      <w:r w:rsidRPr="00FB5347">
        <w:rPr>
          <w:vertAlign w:val="baseline"/>
          <w:rtl/>
        </w:rPr>
        <w:t xml:space="preserve"> قدامة، المغني، ج9، ص28.</w:t>
      </w:r>
    </w:p>
  </w:footnote>
  <w:footnote w:id="36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ج1، ص134.</w:t>
      </w:r>
    </w:p>
  </w:footnote>
  <w:footnote w:id="36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قدامة، المغني، ج9</w:t>
      </w:r>
      <w:r>
        <w:rPr>
          <w:rFonts w:hint="cs"/>
          <w:vertAlign w:val="baseline"/>
          <w:rtl/>
        </w:rPr>
        <w:t>،</w:t>
      </w:r>
      <w:r>
        <w:rPr>
          <w:vertAlign w:val="baseline"/>
          <w:rtl/>
        </w:rPr>
        <w:t xml:space="preserve"> ص29؛ قليوبي، حاشيتا قليوبي وعميرة، ج4، ص170؛ الجمل، حاشية الجمل، ج5، ص111.</w:t>
      </w:r>
    </w:p>
  </w:footnote>
  <w:footnote w:id="36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أنظر</w:t>
      </w:r>
      <w:r w:rsidRPr="00FB5347">
        <w:rPr>
          <w:vertAlign w:val="baseline"/>
          <w:rtl/>
        </w:rPr>
        <w:t>: ابن عابدين، رد المحتار، ج6، ص382.</w:t>
      </w:r>
    </w:p>
  </w:footnote>
  <w:footnote w:id="36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w:t>
      </w:r>
      <w:r w:rsidRPr="00FB5347">
        <w:rPr>
          <w:rFonts w:hint="cs"/>
          <w:vertAlign w:val="baseline"/>
          <w:rtl/>
        </w:rPr>
        <w:t>تار،</w:t>
      </w:r>
      <w:r w:rsidRPr="00FB5347">
        <w:rPr>
          <w:vertAlign w:val="baseline"/>
          <w:rtl/>
        </w:rPr>
        <w:t xml:space="preserve"> ج1، ص135.</w:t>
      </w:r>
    </w:p>
  </w:footnote>
  <w:footnote w:id="36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مجموعة الرسائل، في السحر وأقسامه وأحكامه، ج2، ص443، 444؛ أنظر: ابن عابدين</w:t>
      </w:r>
      <w:r w:rsidRPr="00FB5347">
        <w:rPr>
          <w:rFonts w:hint="cs"/>
          <w:vertAlign w:val="baseline"/>
          <w:rtl/>
        </w:rPr>
        <w:t>،</w:t>
      </w:r>
      <w:r w:rsidRPr="00FB5347">
        <w:rPr>
          <w:vertAlign w:val="baseline"/>
          <w:rtl/>
        </w:rPr>
        <w:t xml:space="preserve"> مجموعة الرسائل، كتاب تنبيه الولاة والحكام على أحكام شاتم خير الأنام، ج1، ص505.</w:t>
      </w:r>
    </w:p>
  </w:footnote>
  <w:footnote w:id="36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مجموعة الرسائل، كتاب </w:t>
      </w:r>
      <w:r w:rsidRPr="00FB5347">
        <w:rPr>
          <w:rFonts w:hint="cs"/>
          <w:vertAlign w:val="baseline"/>
          <w:rtl/>
        </w:rPr>
        <w:t>تنبيه</w:t>
      </w:r>
      <w:r w:rsidRPr="00FB5347">
        <w:rPr>
          <w:vertAlign w:val="baseline"/>
          <w:rtl/>
        </w:rPr>
        <w:t xml:space="preserve"> الولاة والحكام على أحكام شاتم خير الأنام، ج1، ص522.</w:t>
      </w:r>
    </w:p>
  </w:footnote>
  <w:footnote w:id="37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ج1، ص135؛ ج6، ص107؛ ابن عابدين، مجموعة الرسا</w:t>
      </w:r>
      <w:r w:rsidRPr="00FB5347">
        <w:rPr>
          <w:rFonts w:hint="cs"/>
          <w:vertAlign w:val="baseline"/>
          <w:rtl/>
        </w:rPr>
        <w:t>ئل،</w:t>
      </w:r>
      <w:r w:rsidRPr="00FB5347">
        <w:rPr>
          <w:vertAlign w:val="baseline"/>
          <w:rtl/>
        </w:rPr>
        <w:t xml:space="preserve"> في السحر وأقسامه وأح</w:t>
      </w:r>
      <w:r w:rsidRPr="00FB5347">
        <w:rPr>
          <w:rFonts w:hint="cs"/>
          <w:vertAlign w:val="baseline"/>
          <w:rtl/>
        </w:rPr>
        <w:t>كامه،</w:t>
      </w:r>
      <w:r w:rsidRPr="00FB5347">
        <w:rPr>
          <w:vertAlign w:val="baseline"/>
          <w:rtl/>
        </w:rPr>
        <w:t xml:space="preserve"> ج2، ص444.</w:t>
      </w:r>
    </w:p>
  </w:footnote>
  <w:footnote w:id="37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منظور، لسان العرب، ج4، ص2195.</w:t>
      </w:r>
    </w:p>
  </w:footnote>
  <w:footnote w:id="37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منظور، لسان العرب، ج3، ص1517.</w:t>
      </w:r>
    </w:p>
  </w:footnote>
  <w:footnote w:id="373">
    <w:p w:rsidR="005F44B2" w:rsidRDefault="005F44B2" w:rsidP="006D59AD">
      <w:pPr>
        <w:pStyle w:val="a4"/>
        <w:spacing w:line="312" w:lineRule="auto"/>
      </w:pPr>
      <w:r>
        <w:rPr>
          <w:rtl/>
        </w:rPr>
        <w:t>(</w:t>
      </w:r>
      <w:r>
        <w:rPr>
          <w:rStyle w:val="FootnoteReference"/>
          <w:rFonts w:cs="Arabic Transparent"/>
        </w:rPr>
        <w:footnoteRef/>
      </w:r>
      <w:r>
        <w:rPr>
          <w:rtl/>
        </w:rPr>
        <w:t>)</w:t>
      </w:r>
      <w:r>
        <w:rPr>
          <w:vertAlign w:val="baseline"/>
          <w:rtl/>
        </w:rPr>
        <w:t xml:space="preserve"> الب</w:t>
      </w:r>
      <w:r w:rsidRPr="00FB5347">
        <w:rPr>
          <w:rFonts w:hint="cs"/>
          <w:vertAlign w:val="baseline"/>
          <w:rtl/>
        </w:rPr>
        <w:t>هوتي،</w:t>
      </w:r>
      <w:r w:rsidRPr="00FB5347">
        <w:rPr>
          <w:vertAlign w:val="baseline"/>
          <w:rtl/>
        </w:rPr>
        <w:t xml:space="preserve"> منصور بن يونس بن صلاح الدين ابن حسن بن إدريس البهوتى الحنبلى (ت: 1051هـ)، </w:t>
      </w:r>
      <w:r w:rsidRPr="00FB5347">
        <w:rPr>
          <w:rFonts w:hint="cs"/>
          <w:b/>
          <w:bCs/>
          <w:vertAlign w:val="baseline"/>
          <w:rtl/>
        </w:rPr>
        <w:t>كشاف</w:t>
      </w:r>
      <w:r w:rsidRPr="00FB5347">
        <w:rPr>
          <w:b/>
          <w:bCs/>
          <w:vertAlign w:val="baseline"/>
          <w:rtl/>
        </w:rPr>
        <w:t xml:space="preserve"> القناع عن متن الإقناع</w:t>
      </w:r>
      <w:r w:rsidRPr="00FB5347">
        <w:rPr>
          <w:rFonts w:hint="cs"/>
          <w:vertAlign w:val="baseline"/>
          <w:rtl/>
        </w:rPr>
        <w:t>،</w:t>
      </w:r>
      <w:r w:rsidRPr="00FB5347">
        <w:rPr>
          <w:vertAlign w:val="baseline"/>
          <w:rtl/>
        </w:rPr>
        <w:t xml:space="preserve"> بدون طبعة و بدون تاريخ، دار الكتب العلمية</w:t>
      </w:r>
      <w:r>
        <w:rPr>
          <w:rFonts w:hint="cs"/>
          <w:vertAlign w:val="baseline"/>
          <w:rtl/>
        </w:rPr>
        <w:t>،</w:t>
      </w:r>
      <w:r>
        <w:rPr>
          <w:vertAlign w:val="baseline"/>
          <w:rtl/>
        </w:rPr>
        <w:t xml:space="preserve"> ج3، ص116.</w:t>
      </w:r>
    </w:p>
  </w:footnote>
  <w:footnote w:id="37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rFonts w:hint="cs"/>
          <w:vertAlign w:val="baseline"/>
          <w:rtl/>
        </w:rPr>
        <w:t>البهوتي،</w:t>
      </w:r>
      <w:r>
        <w:rPr>
          <w:vertAlign w:val="baseline"/>
          <w:rtl/>
        </w:rPr>
        <w:t xml:space="preserve"> كشاف القناع، ج3، ص116.</w:t>
      </w:r>
    </w:p>
  </w:footnote>
  <w:footnote w:id="37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ج6، ص371؛ ابن عابدين، مجموعة الرسائل، كتاب تنبيه الولاة والحكام على أحكام شاتم خير الأنام، ج1، ص</w:t>
      </w:r>
      <w:r>
        <w:rPr>
          <w:vertAlign w:val="baseline"/>
          <w:rtl/>
        </w:rPr>
        <w:t>491، 492؛</w:t>
      </w:r>
      <w:r w:rsidRPr="00FB5347">
        <w:rPr>
          <w:vertAlign w:val="baseline"/>
          <w:rtl/>
        </w:rPr>
        <w:t xml:space="preserve"> القرطبي، أبو عبد الله محمد بن أحمد بن أبي بكر بن فرح الأنصاري الخزرجي شمس الدين القرطبي (ت: 671هـ)، </w:t>
      </w:r>
      <w:r w:rsidRPr="00FB5347">
        <w:rPr>
          <w:rFonts w:hint="cs"/>
          <w:b/>
          <w:bCs/>
          <w:vertAlign w:val="baseline"/>
          <w:rtl/>
        </w:rPr>
        <w:t>الجامع</w:t>
      </w:r>
      <w:r w:rsidRPr="00FB5347">
        <w:rPr>
          <w:b/>
          <w:bCs/>
          <w:vertAlign w:val="baseline"/>
          <w:rtl/>
        </w:rPr>
        <w:t xml:space="preserve"> لأحكام القرآن (تفسير القرطبي)</w:t>
      </w:r>
      <w:r w:rsidRPr="00FB5347">
        <w:rPr>
          <w:rFonts w:hint="cs"/>
          <w:vertAlign w:val="baseline"/>
          <w:rtl/>
        </w:rPr>
        <w:t>،</w:t>
      </w:r>
      <w:r w:rsidRPr="00FB5347">
        <w:rPr>
          <w:vertAlign w:val="baseline"/>
          <w:rtl/>
        </w:rPr>
        <w:t xml:space="preserve"> تحقيق أحمد البردوني وإبراهيم أطفيش، ط2، دار الكتب المصرية، القاهرة، 1964م، ج8، ص82؛ ابن تيمية، </w:t>
      </w:r>
      <w:r w:rsidRPr="00FB5347">
        <w:rPr>
          <w:rFonts w:hint="cs"/>
          <w:b/>
          <w:bCs/>
          <w:vertAlign w:val="baseline"/>
          <w:rtl/>
        </w:rPr>
        <w:t>الصارم</w:t>
      </w:r>
      <w:r w:rsidRPr="00FB5347">
        <w:rPr>
          <w:b/>
          <w:bCs/>
          <w:vertAlign w:val="baseline"/>
          <w:rtl/>
        </w:rPr>
        <w:t xml:space="preserve"> المسلول على شاتم الرسول</w:t>
      </w:r>
      <w:r w:rsidRPr="00FB5347">
        <w:rPr>
          <w:rFonts w:hint="cs"/>
          <w:vertAlign w:val="baseline"/>
          <w:rtl/>
        </w:rPr>
        <w:t>،</w:t>
      </w:r>
      <w:r w:rsidRPr="00FB5347">
        <w:rPr>
          <w:vertAlign w:val="baseline"/>
          <w:rtl/>
        </w:rPr>
        <w:t xml:space="preserve"> تحقيق محمد محي الدين عبد الحميد، ناشر الحرس الوطني السعودي</w:t>
      </w:r>
      <w:r>
        <w:rPr>
          <w:rFonts w:hint="cs"/>
          <w:vertAlign w:val="baseline"/>
          <w:rtl/>
        </w:rPr>
        <w:t>،</w:t>
      </w:r>
      <w:r>
        <w:rPr>
          <w:vertAlign w:val="baseline"/>
          <w:rtl/>
        </w:rPr>
        <w:t xml:space="preserve"> ج1، ص3.</w:t>
      </w:r>
    </w:p>
  </w:footnote>
  <w:footnote w:id="37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ص344.</w:t>
      </w:r>
    </w:p>
  </w:footnote>
  <w:footnote w:id="37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ص345.</w:t>
      </w:r>
    </w:p>
  </w:footnote>
  <w:footnote w:id="37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w:t>
      </w:r>
      <w:r>
        <w:rPr>
          <w:rFonts w:hint="cs"/>
          <w:vertAlign w:val="baseline"/>
          <w:rtl/>
        </w:rPr>
        <w:t>بدين،</w:t>
      </w:r>
      <w:r>
        <w:rPr>
          <w:vertAlign w:val="baseline"/>
          <w:rtl/>
        </w:rPr>
        <w:t xml:space="preserve"> رد المحتار، ج6، ص107، 346.</w:t>
      </w:r>
    </w:p>
  </w:footnote>
  <w:footnote w:id="37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منظور، لسان العرب، ج1، ص229.</w:t>
      </w:r>
    </w:p>
  </w:footnote>
  <w:footnote w:id="38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أنظر:ابن عابدين، رد المحتار، ج1، ص157.</w:t>
      </w:r>
    </w:p>
  </w:footnote>
  <w:footnote w:id="38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الموسوعة الفقهية الكويتية، ج8، ص21، 22، 23.</w:t>
      </w:r>
    </w:p>
  </w:footnote>
  <w:footnote w:id="38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الشاطبي، إبراهيم بن موسى بن محمد اللخمي الغرناطي الشهير بالشاطبي (ت: 790هـ)، </w:t>
      </w:r>
      <w:r w:rsidRPr="00FB5347">
        <w:rPr>
          <w:rFonts w:hint="cs"/>
          <w:b/>
          <w:bCs/>
          <w:vertAlign w:val="baseline"/>
          <w:rtl/>
        </w:rPr>
        <w:t>الاعْتِصَام</w:t>
      </w:r>
      <w:r w:rsidRPr="00FB5347">
        <w:rPr>
          <w:rFonts w:hint="cs"/>
          <w:vertAlign w:val="baseline"/>
          <w:rtl/>
        </w:rPr>
        <w:t>،</w:t>
      </w:r>
      <w:r w:rsidRPr="00FB5347">
        <w:rPr>
          <w:vertAlign w:val="baseline"/>
          <w:rtl/>
        </w:rPr>
        <w:t xml:space="preserve"> تحقيق: الجزء الأول: د. محمد بن عبد الرحمن الشقير، الجزء الثاني: د سعد بن عبد الله آل حميد، الجزء الثالث: د هشام بن إسماعيل الصيني، ط1، دار ابن الجوزي، المملكة </w:t>
      </w:r>
      <w:r w:rsidRPr="00FB5347">
        <w:rPr>
          <w:rFonts w:hint="cs"/>
          <w:vertAlign w:val="baseline"/>
          <w:rtl/>
        </w:rPr>
        <w:t>العربية</w:t>
      </w:r>
      <w:r w:rsidRPr="00FB5347">
        <w:rPr>
          <w:vertAlign w:val="baseline"/>
          <w:rtl/>
        </w:rPr>
        <w:t xml:space="preserve"> السعودية، 2008م، ج1، ص47.</w:t>
      </w:r>
    </w:p>
  </w:footnote>
  <w:footnote w:id="38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الغزالي،  إحياء علوم الدين، ج2، ص3.</w:t>
      </w:r>
    </w:p>
  </w:footnote>
  <w:footnote w:id="38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ابن</w:t>
      </w:r>
      <w:r w:rsidRPr="00FB5347">
        <w:rPr>
          <w:vertAlign w:val="baseline"/>
          <w:rtl/>
        </w:rPr>
        <w:t xml:space="preserve"> عابدين، رد المحتار، ج2، ص299.</w:t>
      </w:r>
    </w:p>
  </w:footnote>
  <w:footnote w:id="38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ص386.</w:t>
      </w:r>
    </w:p>
  </w:footnote>
  <w:footnote w:id="38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المرج</w:t>
      </w:r>
      <w:r w:rsidRPr="00FB5347">
        <w:rPr>
          <w:rFonts w:hint="cs"/>
          <w:vertAlign w:val="baseline"/>
          <w:rtl/>
        </w:rPr>
        <w:t>ع</w:t>
      </w:r>
      <w:r w:rsidRPr="00FB5347">
        <w:rPr>
          <w:vertAlign w:val="baseline"/>
          <w:rtl/>
        </w:rPr>
        <w:t xml:space="preserve"> السابق</w:t>
      </w:r>
      <w:r>
        <w:rPr>
          <w:rFonts w:hint="cs"/>
          <w:vertAlign w:val="baseline"/>
          <w:rtl/>
        </w:rPr>
        <w:t>،</w:t>
      </w:r>
      <w:r>
        <w:rPr>
          <w:vertAlign w:val="baseline"/>
          <w:rtl/>
        </w:rPr>
        <w:t xml:space="preserve"> </w:t>
      </w:r>
      <w:r w:rsidRPr="00FB5347">
        <w:rPr>
          <w:rFonts w:hint="cs"/>
          <w:vertAlign w:val="baseline"/>
          <w:rtl/>
        </w:rPr>
        <w:t>ج</w:t>
      </w:r>
      <w:r w:rsidRPr="00FB5347">
        <w:rPr>
          <w:vertAlign w:val="baseline"/>
          <w:rtl/>
        </w:rPr>
        <w:t>6، ص386.</w:t>
      </w:r>
    </w:p>
  </w:footnote>
  <w:footnote w:id="38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ص20، 322، </w:t>
      </w:r>
    </w:p>
  </w:footnote>
  <w:footnote w:id="38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w:t>
      </w:r>
      <w:r>
        <w:rPr>
          <w:rFonts w:hint="cs"/>
          <w:vertAlign w:val="baseline"/>
          <w:rtl/>
        </w:rPr>
        <w:t>،</w:t>
      </w:r>
      <w:r>
        <w:rPr>
          <w:vertAlign w:val="baseline"/>
          <w:rtl/>
        </w:rPr>
        <w:t xml:space="preserve"> ص20، 322، 386.</w:t>
      </w:r>
    </w:p>
  </w:footnote>
  <w:footnote w:id="38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الفيومي، المصباح المنير، ج1، ص57.</w:t>
      </w:r>
    </w:p>
  </w:footnote>
  <w:footnote w:id="39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نجيم، زين الدين بن إبراهيم بن محمد، المعروف بابن نجيم المصري (ت: 970هـ)، </w:t>
      </w:r>
      <w:r w:rsidRPr="00FB5347">
        <w:rPr>
          <w:rFonts w:hint="cs"/>
          <w:b/>
          <w:bCs/>
          <w:vertAlign w:val="baseline"/>
          <w:rtl/>
        </w:rPr>
        <w:t>البحر</w:t>
      </w:r>
      <w:r w:rsidRPr="00FB5347">
        <w:rPr>
          <w:b/>
          <w:bCs/>
          <w:vertAlign w:val="baseline"/>
          <w:rtl/>
        </w:rPr>
        <w:t xml:space="preserve"> الرائق شرح كنز الدقائق</w:t>
      </w:r>
      <w:r w:rsidRPr="00FB5347">
        <w:rPr>
          <w:rFonts w:hint="cs"/>
          <w:vertAlign w:val="baseline"/>
          <w:rtl/>
        </w:rPr>
        <w:t>،</w:t>
      </w:r>
      <w:r w:rsidRPr="00FB5347">
        <w:rPr>
          <w:vertAlign w:val="baseline"/>
          <w:rtl/>
        </w:rPr>
        <w:t xml:space="preserve"> ط2، بدون تاريخ، دار الكتاب الإسلامي، ج5، ص151.</w:t>
      </w:r>
    </w:p>
  </w:footnote>
  <w:footnote w:id="39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ص411.</w:t>
      </w:r>
    </w:p>
  </w:footnote>
  <w:footnote w:id="39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المرجع السابق.</w:t>
      </w:r>
    </w:p>
  </w:footnote>
  <w:footnote w:id="39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المرجع السابق، ج3، ص107.</w:t>
      </w:r>
    </w:p>
  </w:footnote>
  <w:footnote w:id="39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vertAlign w:val="baseline"/>
          <w:rtl/>
        </w:rPr>
        <w:t xml:space="preserve"> البهوتي</w:t>
      </w:r>
      <w:r w:rsidRPr="00FB5347">
        <w:rPr>
          <w:rFonts w:hint="cs"/>
          <w:vertAlign w:val="baseline"/>
          <w:rtl/>
        </w:rPr>
        <w:t>،</w:t>
      </w:r>
      <w:r w:rsidRPr="00FB5347">
        <w:rPr>
          <w:vertAlign w:val="baseline"/>
          <w:rtl/>
        </w:rPr>
        <w:t xml:space="preserve"> </w:t>
      </w:r>
      <w:r w:rsidRPr="006657CF">
        <w:rPr>
          <w:rFonts w:hint="cs"/>
          <w:vertAlign w:val="baseline"/>
          <w:rtl/>
        </w:rPr>
        <w:t>كشاف</w:t>
      </w:r>
      <w:r w:rsidRPr="006657CF">
        <w:rPr>
          <w:vertAlign w:val="baseline"/>
          <w:rtl/>
        </w:rPr>
        <w:t xml:space="preserve"> القناع،</w:t>
      </w:r>
      <w:r w:rsidRPr="00FB5347">
        <w:rPr>
          <w:vertAlign w:val="baseline"/>
          <w:rtl/>
        </w:rPr>
        <w:t xml:space="preserve"> ج6، ص158.</w:t>
      </w:r>
    </w:p>
  </w:footnote>
  <w:footnote w:id="39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المرجع السابق، ج6، ص415، 416، 417، 418، 419، 420.</w:t>
      </w:r>
    </w:p>
  </w:footnote>
  <w:footnote w:id="39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المرجع السابق، ج3، ص107.</w:t>
      </w:r>
    </w:p>
  </w:footnote>
  <w:footnote w:id="39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w:t>
      </w:r>
      <w:r w:rsidRPr="00FB5347">
        <w:rPr>
          <w:rFonts w:hint="cs"/>
          <w:vertAlign w:val="baseline"/>
          <w:rtl/>
        </w:rPr>
        <w:t>،</w:t>
      </w:r>
      <w:r w:rsidRPr="00FB5347">
        <w:rPr>
          <w:vertAlign w:val="baseline"/>
          <w:rtl/>
        </w:rPr>
        <w:t xml:space="preserve"> مجموعة الرسائل، كتاب تنبيه الولاة والحكام على أحكام شاتم خير الأنام، ج1، ص505.</w:t>
      </w:r>
    </w:p>
  </w:footnote>
  <w:footnote w:id="398">
    <w:p w:rsidR="005F44B2" w:rsidRDefault="005F44B2" w:rsidP="007E376A">
      <w:pPr>
        <w:pStyle w:val="a4"/>
        <w:spacing w:line="312" w:lineRule="auto"/>
      </w:pPr>
      <w:r w:rsidRPr="000C2566">
        <w:rPr>
          <w:rtl/>
        </w:rPr>
        <w:t>(</w:t>
      </w:r>
      <w:r w:rsidRPr="000C2566">
        <w:rPr>
          <w:rStyle w:val="FootnoteReference"/>
          <w:rFonts w:cs="Arabic Transparent"/>
        </w:rPr>
        <w:footnoteRef/>
      </w:r>
      <w:r w:rsidRPr="000C2566">
        <w:rPr>
          <w:rtl/>
        </w:rPr>
        <w:t>)</w:t>
      </w:r>
      <w:r>
        <w:rPr>
          <w:rFonts w:hint="cs"/>
          <w:vertAlign w:val="baseline"/>
          <w:rtl/>
        </w:rPr>
        <w:t>أنظر،</w:t>
      </w:r>
      <w:r>
        <w:rPr>
          <w:vertAlign w:val="baseline"/>
          <w:rtl/>
        </w:rPr>
        <w:t xml:space="preserve"> ابن عابدين، رد المحتار</w:t>
      </w:r>
      <w:r w:rsidRPr="00FB5347">
        <w:rPr>
          <w:rFonts w:hint="cs"/>
          <w:vertAlign w:val="baseline"/>
          <w:rtl/>
        </w:rPr>
        <w:t>،</w:t>
      </w:r>
      <w:r w:rsidRPr="00FB5347">
        <w:rPr>
          <w:vertAlign w:val="baseline"/>
          <w:rtl/>
        </w:rPr>
        <w:t xml:space="preserve"> ج6، ص420.</w:t>
      </w:r>
    </w:p>
  </w:footnote>
  <w:footnote w:id="39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منظور، لسان العرب، ج3، ص1871.</w:t>
      </w:r>
    </w:p>
  </w:footnote>
  <w:footnote w:id="40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ص117، 383؛ ابن عابدين، مجموعة الرسائل، كتاب تنبيه الولاة والحكام على أحكام شاتم خير الأنام، ج1، ص522.</w:t>
      </w:r>
    </w:p>
  </w:footnote>
  <w:footnote w:id="40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تيمية، </w:t>
      </w:r>
      <w:r w:rsidRPr="00FB5347">
        <w:rPr>
          <w:rFonts w:hint="cs"/>
          <w:b/>
          <w:bCs/>
          <w:vertAlign w:val="baseline"/>
          <w:rtl/>
        </w:rPr>
        <w:t>مجموع</w:t>
      </w:r>
      <w:r w:rsidRPr="00FB5347">
        <w:rPr>
          <w:b/>
          <w:bCs/>
          <w:vertAlign w:val="baseline"/>
          <w:rtl/>
        </w:rPr>
        <w:t xml:space="preserve"> الفتاوى</w:t>
      </w:r>
      <w:r w:rsidRPr="00FB5347">
        <w:rPr>
          <w:rFonts w:hint="cs"/>
          <w:vertAlign w:val="baseline"/>
          <w:rtl/>
        </w:rPr>
        <w:t>،</w:t>
      </w:r>
      <w:r w:rsidRPr="00FB5347">
        <w:rPr>
          <w:vertAlign w:val="baseline"/>
          <w:rtl/>
        </w:rPr>
        <w:t xml:space="preserve"> تحقيق عبد الرحمن بن محمد بن قاسم، بدون طبعة، مجمع الملك فهد لطباعة المصحف الشريف، المدينة، 1995م، ج7، ص471.</w:t>
      </w:r>
    </w:p>
  </w:footnote>
  <w:footnote w:id="40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قدامة، مغني، ج6، ص370.</w:t>
      </w:r>
    </w:p>
  </w:footnote>
  <w:footnote w:id="40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ص383، 384.</w:t>
      </w:r>
    </w:p>
  </w:footnote>
  <w:footnote w:id="40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ص107، 322.</w:t>
      </w:r>
    </w:p>
  </w:footnote>
  <w:footnote w:id="40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ص107؛ ابن عابدين، مجموعة الرسائل، كتاب تنبيه الولاة والحكام على أحكام شاتم خير الأنام، ج1، ص505.</w:t>
      </w:r>
    </w:p>
  </w:footnote>
  <w:footnote w:id="40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ص360.</w:t>
      </w:r>
    </w:p>
  </w:footnote>
  <w:footnote w:id="40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ابن</w:t>
      </w:r>
      <w:r w:rsidRPr="00FB5347">
        <w:rPr>
          <w:vertAlign w:val="baseline"/>
          <w:rtl/>
        </w:rPr>
        <w:t xml:space="preserve"> عابدين، مجموعة الرسائل، كتاب تنبيه الولاة والحكام على أحكام شاتم خير الأنام، ج1، ص505.</w:t>
      </w:r>
    </w:p>
  </w:footnote>
  <w:footnote w:id="40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مجموعة الرسائل، كتاب تنبيه الولاة والحكام على أحكام شاتم خير الأنام، ج1، ص523.</w:t>
      </w:r>
    </w:p>
  </w:footnote>
  <w:footnote w:id="40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ص110.</w:t>
      </w:r>
    </w:p>
  </w:footnote>
  <w:footnote w:id="41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ص110.</w:t>
      </w:r>
    </w:p>
  </w:footnote>
  <w:footnote w:id="41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ص110؛ ج10، ص214؛ ابن عابدين، مجموعة الرسائل، كتاب تن</w:t>
      </w:r>
      <w:r w:rsidRPr="00FB5347">
        <w:rPr>
          <w:rFonts w:hint="cs"/>
          <w:vertAlign w:val="baseline"/>
          <w:rtl/>
        </w:rPr>
        <w:t>بيه</w:t>
      </w:r>
      <w:r w:rsidRPr="00FB5347">
        <w:rPr>
          <w:vertAlign w:val="baseline"/>
          <w:rtl/>
        </w:rPr>
        <w:t xml:space="preserve"> الولاة والحكام على أحكام شاتم خير الأنام، ج1، ص505.</w:t>
      </w:r>
    </w:p>
  </w:footnote>
  <w:footnote w:id="41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ص206، 353، 354؛ المرغناني، الهداية، ج3، ص238؛ الكاساني، علاء الدين، أبو بكر بن مسعود بن أحمد الكاساني الحنفي (ت 587هـ)، </w:t>
      </w:r>
      <w:r w:rsidRPr="00FB5347">
        <w:rPr>
          <w:rFonts w:hint="cs"/>
          <w:b/>
          <w:bCs/>
          <w:vertAlign w:val="baseline"/>
          <w:rtl/>
        </w:rPr>
        <w:t>بدائع</w:t>
      </w:r>
      <w:r w:rsidRPr="00FB5347">
        <w:rPr>
          <w:b/>
          <w:bCs/>
          <w:vertAlign w:val="baseline"/>
          <w:rtl/>
        </w:rPr>
        <w:t xml:space="preserve"> الصنائع في ترتيب الشرائع</w:t>
      </w:r>
      <w:r w:rsidRPr="00FB5347">
        <w:rPr>
          <w:rFonts w:hint="cs"/>
          <w:vertAlign w:val="baseline"/>
          <w:rtl/>
        </w:rPr>
        <w:t>،</w:t>
      </w:r>
      <w:r w:rsidRPr="00FB5347">
        <w:rPr>
          <w:vertAlign w:val="baseline"/>
          <w:rtl/>
        </w:rPr>
        <w:t xml:space="preserve"> ط2، دار الكتب العلمية، 1406هـ / 1986م، ج4، ص191؛  الموصلي، الاختيار، ج2، ص59؛ العيني، محمود بن أحمد بن موسى (ت 855ه</w:t>
      </w:r>
      <w:r w:rsidRPr="00FB5347">
        <w:rPr>
          <w:vertAlign w:val="baseline"/>
        </w:rPr>
        <w:t>‍</w:t>
      </w:r>
      <w:r w:rsidRPr="00FB5347">
        <w:rPr>
          <w:vertAlign w:val="baseline"/>
          <w:rtl/>
        </w:rPr>
        <w:t xml:space="preserve">)، </w:t>
      </w:r>
      <w:r w:rsidRPr="00FB5347">
        <w:rPr>
          <w:rFonts w:hint="cs"/>
          <w:b/>
          <w:bCs/>
          <w:vertAlign w:val="baseline"/>
          <w:rtl/>
        </w:rPr>
        <w:t>البناية</w:t>
      </w:r>
      <w:r w:rsidRPr="00FB5347">
        <w:rPr>
          <w:b/>
          <w:bCs/>
          <w:vertAlign w:val="baseline"/>
          <w:rtl/>
        </w:rPr>
        <w:t xml:space="preserve"> شرح الهداية</w:t>
      </w:r>
      <w:r w:rsidRPr="00FB5347">
        <w:rPr>
          <w:rFonts w:hint="cs"/>
          <w:vertAlign w:val="baseline"/>
          <w:rtl/>
        </w:rPr>
        <w:t>،</w:t>
      </w:r>
      <w:r w:rsidRPr="00FB5347">
        <w:rPr>
          <w:vertAlign w:val="baseline"/>
          <w:rtl/>
        </w:rPr>
        <w:t xml:space="preserve"> تحقيق: أيمن شعبان، دار الكتب العلمية، بي</w:t>
      </w:r>
      <w:r w:rsidRPr="00FB5347">
        <w:rPr>
          <w:rFonts w:hint="cs"/>
          <w:vertAlign w:val="baseline"/>
          <w:rtl/>
        </w:rPr>
        <w:t>روت،</w:t>
      </w:r>
      <w:r w:rsidRPr="00FB5347">
        <w:rPr>
          <w:vertAlign w:val="baseline"/>
          <w:rtl/>
        </w:rPr>
        <w:t xml:space="preserve"> لبنان، ط1، 1420ه</w:t>
      </w:r>
      <w:r w:rsidRPr="00FB5347">
        <w:rPr>
          <w:vertAlign w:val="baseline"/>
        </w:rPr>
        <w:t>‍</w:t>
      </w:r>
      <w:r w:rsidRPr="00FB5347">
        <w:rPr>
          <w:vertAlign w:val="baseline"/>
          <w:rtl/>
        </w:rPr>
        <w:t>/ 2000م، ج10، ص278.</w:t>
      </w:r>
    </w:p>
  </w:footnote>
  <w:footnote w:id="41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إلا أنهم أجازوا استئجار على تعليم القرآن. أنظر: الدسوقي، محمد بن أحمد بن عرفة الدسوقي المالكي (ت: 1230هـ)، </w:t>
      </w:r>
      <w:r w:rsidRPr="00FB5347">
        <w:rPr>
          <w:rFonts w:hint="cs"/>
          <w:b/>
          <w:bCs/>
          <w:vertAlign w:val="baseline"/>
          <w:rtl/>
        </w:rPr>
        <w:t>حاشية</w:t>
      </w:r>
      <w:r w:rsidRPr="00FB5347">
        <w:rPr>
          <w:b/>
          <w:bCs/>
          <w:vertAlign w:val="baseline"/>
          <w:rtl/>
        </w:rPr>
        <w:t xml:space="preserve"> الدسوقي على الشرح الكبير</w:t>
      </w:r>
      <w:r w:rsidRPr="00FB5347">
        <w:rPr>
          <w:rFonts w:hint="cs"/>
          <w:vertAlign w:val="baseline"/>
          <w:rtl/>
        </w:rPr>
        <w:t>،</w:t>
      </w:r>
      <w:r w:rsidRPr="00FB5347">
        <w:rPr>
          <w:vertAlign w:val="baseline"/>
          <w:rtl/>
        </w:rPr>
        <w:t xml:space="preserve"> بدون طبعة وبدون تاريخ، دار الفكر، ج4، ص 18؛ الخرشي، شرح مختصر خليل للخرشي، ج7، ص17.</w:t>
      </w:r>
    </w:p>
  </w:footnote>
  <w:footnote w:id="41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ولكن الشافعية أجازوا استأجار على تعليم القرآن. أنظر: النووي،  أبو زكريا محيي الدين يحيى بن شرف النووي (ت:676هـ)، </w:t>
      </w:r>
      <w:r w:rsidRPr="00FB5347">
        <w:rPr>
          <w:rFonts w:hint="cs"/>
          <w:b/>
          <w:bCs/>
          <w:vertAlign w:val="baseline"/>
          <w:rtl/>
        </w:rPr>
        <w:t>روضة</w:t>
      </w:r>
      <w:r w:rsidRPr="00FB5347">
        <w:rPr>
          <w:b/>
          <w:bCs/>
          <w:vertAlign w:val="baseline"/>
          <w:rtl/>
        </w:rPr>
        <w:t xml:space="preserve"> الطالبين وعمدة المفتين</w:t>
      </w:r>
      <w:r w:rsidRPr="00FB5347">
        <w:rPr>
          <w:rFonts w:hint="cs"/>
          <w:vertAlign w:val="baseline"/>
          <w:rtl/>
        </w:rPr>
        <w:t>،</w:t>
      </w:r>
      <w:r w:rsidRPr="00FB5347">
        <w:rPr>
          <w:vertAlign w:val="baseline"/>
          <w:rtl/>
        </w:rPr>
        <w:t xml:space="preserve"> تحقيق: زهير الشاويش، ط3، المكتبة الإسلامية، بيروت، 1412هـ / 1991م، ج7، ص304.</w:t>
      </w:r>
    </w:p>
  </w:footnote>
  <w:footnote w:id="41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w:t>
      </w:r>
      <w:r>
        <w:rPr>
          <w:vertAlign w:val="baseline"/>
          <w:rtl/>
        </w:rPr>
        <w:t>:</w:t>
      </w:r>
      <w:r w:rsidRPr="00FB5347">
        <w:rPr>
          <w:vertAlign w:val="baseline"/>
          <w:rtl/>
        </w:rPr>
        <w:t xml:space="preserve"> البهوتي،</w:t>
      </w:r>
      <w:r w:rsidRPr="006F59B2">
        <w:rPr>
          <w:rFonts w:hint="cs"/>
          <w:vertAlign w:val="baseline"/>
          <w:rtl/>
        </w:rPr>
        <w:t>شرح</w:t>
      </w:r>
      <w:r w:rsidRPr="006F59B2">
        <w:rPr>
          <w:vertAlign w:val="baseline"/>
          <w:rtl/>
        </w:rPr>
        <w:t xml:space="preserve"> منتهى الإرادات</w:t>
      </w:r>
      <w:r w:rsidRPr="00FB5347">
        <w:rPr>
          <w:rFonts w:hint="cs"/>
          <w:vertAlign w:val="baseline"/>
          <w:rtl/>
        </w:rPr>
        <w:t>،</w:t>
      </w:r>
      <w:r w:rsidRPr="00FB5347">
        <w:rPr>
          <w:vertAlign w:val="baseline"/>
          <w:rtl/>
        </w:rPr>
        <w:t xml:space="preserve"> ج1، ص132؛ ابن قدامة، المغني، ج1، ص301، ج5، ص410.</w:t>
      </w:r>
    </w:p>
  </w:footnote>
  <w:footnote w:id="41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ص206، 353، 354؛ الموصلي، الاختيار، ج2، ص59؛ المرغناني، الهداية، ج3، ص238؛ الدسوقي، حاشية الدسوقي، ج4، ص16،17؛ الشربيني، مغني المحتاج، ج3، ص461-462؛ قليوبي، حاشيتا قليوبي وعميرة، ج3، ص74؛ ابن قدامة، المغني، ج5، ص411؛ ابن تيمية،</w:t>
      </w:r>
      <w:r w:rsidRPr="00FB5347">
        <w:rPr>
          <w:rFonts w:hint="cs"/>
          <w:b/>
          <w:bCs/>
          <w:vertAlign w:val="baseline"/>
          <w:rtl/>
        </w:rPr>
        <w:t>الفتاوى</w:t>
      </w:r>
      <w:r w:rsidRPr="00FB5347">
        <w:rPr>
          <w:b/>
          <w:bCs/>
          <w:vertAlign w:val="baseline"/>
          <w:rtl/>
        </w:rPr>
        <w:t xml:space="preserve"> الكبرى لابن تيمية</w:t>
      </w:r>
      <w:r w:rsidRPr="00FB5347">
        <w:rPr>
          <w:rFonts w:hint="cs"/>
          <w:vertAlign w:val="baseline"/>
          <w:rtl/>
        </w:rPr>
        <w:t>،</w:t>
      </w:r>
      <w:r w:rsidRPr="00FB5347">
        <w:rPr>
          <w:vertAlign w:val="baseline"/>
          <w:rtl/>
        </w:rPr>
        <w:t xml:space="preserve"> ط1، دار الكتب العلمية، 1408هـ - 1987م، ج3، ص33.</w:t>
      </w:r>
    </w:p>
  </w:footnote>
  <w:footnote w:id="41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ج9، ص76.</w:t>
      </w:r>
    </w:p>
  </w:footnote>
  <w:footnote w:id="41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vertAlign w:val="baseline"/>
          <w:rtl/>
        </w:rPr>
        <w:t xml:space="preserve"> سورة النجم،</w:t>
      </w:r>
      <w:r w:rsidRPr="00FB5347">
        <w:rPr>
          <w:vertAlign w:val="baseline"/>
          <w:rtl/>
        </w:rPr>
        <w:t xml:space="preserve"> الآية 39.</w:t>
      </w:r>
    </w:p>
  </w:footnote>
  <w:footnote w:id="41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أحمد بن حنبل، مسند، ج24، ص288، رقم الحديث 15529. وقال عنه المحقق (شعيب الأرنؤوط،ومحمد نعيم العرقسُوسي، وإبراهيم الزيبق) في الهمش : " حديث صحيح، وهذا إسناد قوي، رجاله ثقات رجال الشيخين، غير أبي راشد الحُبراني، فقد روى له البخاري في "الأدب المفرد"، وأبو داود، والترمذي، وابن ماجه، وروى عنه جمع، ووثقه العجلي، وابن حبان، والحافظ ابن حجر في "التقريب" ".</w:t>
      </w:r>
    </w:p>
  </w:footnote>
  <w:footnote w:id="42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مجموعة الرسائل، شفاء العليل وبل الغليل في الوصية بالختمات والتهاليل، ج1، ص245.</w:t>
      </w:r>
    </w:p>
  </w:footnote>
  <w:footnote w:id="42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البهوتي، شرح منتهى الإرادات، ج2، ص258.</w:t>
      </w:r>
    </w:p>
  </w:footnote>
  <w:footnote w:id="42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FB5347">
        <w:rPr>
          <w:rFonts w:hint="cs"/>
          <w:vertAlign w:val="baseline"/>
          <w:rtl/>
        </w:rPr>
        <w:t>ابن</w:t>
      </w:r>
      <w:r w:rsidRPr="00FB5347">
        <w:rPr>
          <w:vertAlign w:val="baseline"/>
          <w:rtl/>
        </w:rPr>
        <w:t xml:space="preserve"> عابدين، مجموعة الرسائل، شفاء العليل وبل الغليل في الوصية بالختمات والتهاليل، ج1، ص251؛ انظر لأخذ الأجرة على الرقية: ابن عابدين، رد المحتار، ج9، ص78.</w:t>
      </w:r>
    </w:p>
  </w:footnote>
  <w:footnote w:id="42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مجموعة الرسائل، شفاء العليل وبل الغليل في الوصية بالختمات والتهاليل، ج1، ص252 – 255؛ ابن عابدين، مجموعة الرسائل، نشر العرف في بناء بعض الأحكام على العرف، ج2، ص173 ؛ ابن عابدين، ردالمحتار، ج9، ص76.</w:t>
      </w:r>
    </w:p>
  </w:footnote>
  <w:footnote w:id="42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مجموعة الرسائل، شفاء العليل وبل الغليل في الوصية بالختمات والتهاليل، ج1، ص255.</w:t>
      </w:r>
    </w:p>
  </w:footnote>
  <w:footnote w:id="42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المرج</w:t>
      </w:r>
      <w:r w:rsidRPr="00FB5347">
        <w:rPr>
          <w:rFonts w:hint="cs"/>
          <w:vertAlign w:val="baseline"/>
          <w:rtl/>
        </w:rPr>
        <w:t>ع</w:t>
      </w:r>
      <w:r w:rsidRPr="00FB5347">
        <w:rPr>
          <w:vertAlign w:val="baseline"/>
          <w:rtl/>
        </w:rPr>
        <w:t xml:space="preserve"> السابق، ج1، ص257؛ أنظر: ابن عابدين، مجموعة الرسائل، كتاب تنبيه الولاة والحكام على احكام شاتم خير الأنام، ج1، ص517.</w:t>
      </w:r>
    </w:p>
  </w:footnote>
  <w:footnote w:id="42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الموصلي، الاختيار، ج2، ص60.</w:t>
      </w:r>
    </w:p>
  </w:footnote>
  <w:footnote w:id="42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الجوهري، الصحاح، ج5، 2102.</w:t>
      </w:r>
    </w:p>
  </w:footnote>
  <w:footnote w:id="42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الموصلي، الإختيار، ج4، ص14.</w:t>
      </w:r>
    </w:p>
  </w:footnote>
  <w:footnote w:id="42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ج5، ص252.</w:t>
      </w:r>
    </w:p>
  </w:footnote>
  <w:footnote w:id="43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كيلاني، عبد الله ابراهيم زيد، السياسة الشرعية مدخل إلى تجديدي الخطا</w:t>
      </w:r>
      <w:r w:rsidRPr="00FB5347">
        <w:rPr>
          <w:rFonts w:hint="cs"/>
          <w:vertAlign w:val="baseline"/>
          <w:rtl/>
        </w:rPr>
        <w:t>ب</w:t>
      </w:r>
      <w:r w:rsidRPr="00FB5347">
        <w:rPr>
          <w:vertAlign w:val="baseline"/>
          <w:rtl/>
        </w:rPr>
        <w:t xml:space="preserve"> الإسلامي، ص137.</w:t>
      </w:r>
    </w:p>
  </w:footnote>
  <w:footnote w:id="43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يعني: أن لا يضيع الولد عنده باشتغالها عنه بالخروج من منزلها كل وقت؛ ابن عابدين رد المحتار، ج5، ص253.</w:t>
      </w:r>
    </w:p>
  </w:footnote>
  <w:footnote w:id="43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ج5، 253.</w:t>
      </w:r>
    </w:p>
  </w:footnote>
  <w:footnote w:id="43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ج5، ص266.</w:t>
      </w:r>
    </w:p>
  </w:footnote>
  <w:footnote w:id="43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منظور، لسان العرب، ج5، ص3225؛ الجوهري، مختار صحاح، ج1، ص191.</w:t>
      </w:r>
    </w:p>
  </w:footnote>
  <w:footnote w:id="43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الموسوعة الفقهية الكويتية، ج13، ص46؛ ابن عابدين، رد المحتار، ج6، ص19، 110.</w:t>
      </w:r>
    </w:p>
  </w:footnote>
  <w:footnote w:id="43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الشيباني، مجد الدين أبو السعادات المبارك بن محمد بن محمد بن محمد ابن عبد الكريم الشيباني الجزري ابن الأثير (ت: 606هـ)، </w:t>
      </w:r>
      <w:r w:rsidRPr="00FB5347">
        <w:rPr>
          <w:rFonts w:hint="cs"/>
          <w:b/>
          <w:bCs/>
          <w:vertAlign w:val="baseline"/>
          <w:rtl/>
        </w:rPr>
        <w:t>النهاية</w:t>
      </w:r>
      <w:r w:rsidRPr="00FB5347">
        <w:rPr>
          <w:b/>
          <w:bCs/>
          <w:vertAlign w:val="baseline"/>
          <w:rtl/>
        </w:rPr>
        <w:t xml:space="preserve"> في غريب الحدي</w:t>
      </w:r>
      <w:r w:rsidRPr="00FB5347">
        <w:rPr>
          <w:rFonts w:hint="cs"/>
          <w:b/>
          <w:bCs/>
          <w:vertAlign w:val="baseline"/>
          <w:rtl/>
        </w:rPr>
        <w:t>ث</w:t>
      </w:r>
      <w:r w:rsidRPr="00FB5347">
        <w:rPr>
          <w:b/>
          <w:bCs/>
          <w:vertAlign w:val="baseline"/>
          <w:rtl/>
        </w:rPr>
        <w:t xml:space="preserve"> والأثر</w:t>
      </w:r>
      <w:r w:rsidRPr="00FB5347">
        <w:rPr>
          <w:rFonts w:hint="cs"/>
          <w:vertAlign w:val="baseline"/>
          <w:rtl/>
        </w:rPr>
        <w:t>،</w:t>
      </w:r>
      <w:r w:rsidRPr="00FB5347">
        <w:rPr>
          <w:vertAlign w:val="baseline"/>
          <w:rtl/>
        </w:rPr>
        <w:t xml:space="preserve"> تحقيق: طاهر أحمد الزاوى - محمود محمد الطناحي، المكتبة العلمية، بيروت، 1399هـ / 1979م، ج3، ص349.</w:t>
      </w:r>
    </w:p>
  </w:footnote>
  <w:footnote w:id="43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المرجع السابق، ج6، ص19.</w:t>
      </w:r>
    </w:p>
  </w:footnote>
  <w:footnote w:id="43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صحيح البخاري، كتاب الحد</w:t>
      </w:r>
      <w:r w:rsidRPr="00FB5347">
        <w:rPr>
          <w:rFonts w:hint="cs"/>
          <w:vertAlign w:val="baseline"/>
          <w:rtl/>
        </w:rPr>
        <w:t>ود،</w:t>
      </w:r>
      <w:r w:rsidRPr="00FB5347">
        <w:rPr>
          <w:vertAlign w:val="baseline"/>
          <w:rtl/>
        </w:rPr>
        <w:t xml:space="preserve"> رقم الحديث 6833.</w:t>
      </w:r>
    </w:p>
  </w:footnote>
  <w:footnote w:id="43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الجوزي، ذم الهوي، ص123</w:t>
      </w:r>
      <w:r>
        <w:rPr>
          <w:rFonts w:hint="cs"/>
          <w:vertAlign w:val="baseline"/>
          <w:rtl/>
        </w:rPr>
        <w:t>؛</w:t>
      </w:r>
      <w:r>
        <w:rPr>
          <w:vertAlign w:val="baseline"/>
          <w:rtl/>
        </w:rPr>
        <w:t xml:space="preserve"> </w:t>
      </w:r>
      <w:r w:rsidRPr="00FB5347">
        <w:rPr>
          <w:rFonts w:hint="cs"/>
          <w:vertAlign w:val="baseline"/>
          <w:rtl/>
        </w:rPr>
        <w:t>سرخسي،</w:t>
      </w:r>
      <w:r w:rsidRPr="00FB5347">
        <w:rPr>
          <w:vertAlign w:val="baseline"/>
          <w:rtl/>
        </w:rPr>
        <w:t xml:space="preserve"> المبسوط، ج9، ص45؛ الآلوسي، روح المعاني، ج9، ص280؛ وقال العسقلاني عن قصة عمر – رضي الله عنه – و الحجاج أنها مشهورة: العسقلاني، فتح الباري، ج12، ص160.</w:t>
      </w:r>
    </w:p>
  </w:footnote>
  <w:footnote w:id="440">
    <w:p w:rsidR="005F44B2" w:rsidRDefault="005F44B2" w:rsidP="008C592B">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أنظر:من هذه الرسالة، ص</w:t>
      </w:r>
      <w:r>
        <w:rPr>
          <w:vertAlign w:val="baseline"/>
          <w:rtl/>
        </w:rPr>
        <w:t>50</w:t>
      </w:r>
      <w:r w:rsidRPr="00FB5347">
        <w:rPr>
          <w:vertAlign w:val="baseline"/>
          <w:rtl/>
        </w:rPr>
        <w:t>.</w:t>
      </w:r>
    </w:p>
  </w:footnote>
  <w:footnote w:id="44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ص21.</w:t>
      </w:r>
    </w:p>
  </w:footnote>
  <w:footnote w:id="44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سرخسي، المبسوط، ج9، ص45.</w:t>
      </w:r>
    </w:p>
  </w:footnote>
  <w:footnote w:id="44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الآلوسي، روح المعاني، ج9، ص280.</w:t>
      </w:r>
    </w:p>
  </w:footnote>
  <w:footnote w:id="444">
    <w:p w:rsidR="005F44B2" w:rsidRDefault="005F44B2" w:rsidP="006D59AD">
      <w:pPr>
        <w:pStyle w:val="a4"/>
        <w:spacing w:line="312" w:lineRule="auto"/>
      </w:pPr>
      <w:r w:rsidRPr="0072531D">
        <w:rPr>
          <w:rtl/>
        </w:rPr>
        <w:t>(</w:t>
      </w:r>
      <w:r w:rsidRPr="0072531D">
        <w:rPr>
          <w:rStyle w:val="FootnoteReference"/>
          <w:rFonts w:cs="Arabic Transparent"/>
        </w:rPr>
        <w:footnoteRef/>
      </w:r>
      <w:r w:rsidRPr="0072531D">
        <w:rPr>
          <w:rtl/>
        </w:rPr>
        <w:t>)</w:t>
      </w:r>
      <w:r w:rsidRPr="0072531D">
        <w:rPr>
          <w:vertAlign w:val="baseline"/>
          <w:rtl/>
        </w:rPr>
        <w:t xml:space="preserve"> أنظر: </w:t>
      </w:r>
      <w:hyperlink r:id="rId2" w:history="1">
        <w:r w:rsidRPr="0072531D">
          <w:rPr>
            <w:rStyle w:val="Hyperlink"/>
            <w:rFonts w:cs="Arabic Transparent"/>
            <w:color w:val="auto"/>
            <w:u w:val="none"/>
            <w:vertAlign w:val="baseline"/>
          </w:rPr>
          <w:t>https://islamqa.info/ar/201633</w:t>
        </w:r>
      </w:hyperlink>
      <w:r w:rsidRPr="0072531D">
        <w:rPr>
          <w:rFonts w:hint="cs"/>
          <w:vertAlign w:val="baseline"/>
          <w:rtl/>
        </w:rPr>
        <w:t>،</w:t>
      </w:r>
      <w:r w:rsidRPr="0072531D">
        <w:rPr>
          <w:vertAlign w:val="baseline"/>
          <w:rtl/>
        </w:rPr>
        <w:t xml:space="preserve"> 07/03/16، 16:15.</w:t>
      </w:r>
    </w:p>
  </w:footnote>
  <w:footnote w:id="44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تيمية، </w:t>
      </w:r>
      <w:r w:rsidRPr="003F7916">
        <w:rPr>
          <w:rFonts w:hint="cs"/>
          <w:vertAlign w:val="baseline"/>
          <w:rtl/>
        </w:rPr>
        <w:t>مجموع</w:t>
      </w:r>
      <w:r w:rsidRPr="003F7916">
        <w:rPr>
          <w:vertAlign w:val="baseline"/>
          <w:rtl/>
        </w:rPr>
        <w:t xml:space="preserve"> الفتاوى</w:t>
      </w:r>
      <w:r w:rsidRPr="00FB5347">
        <w:rPr>
          <w:rFonts w:hint="cs"/>
          <w:vertAlign w:val="baseline"/>
          <w:rtl/>
        </w:rPr>
        <w:t>،</w:t>
      </w:r>
      <w:r w:rsidRPr="00FB5347">
        <w:rPr>
          <w:vertAlign w:val="baseline"/>
          <w:rtl/>
        </w:rPr>
        <w:t xml:space="preserve"> ج15، ص313.</w:t>
      </w:r>
    </w:p>
  </w:footnote>
  <w:footnote w:id="44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ص19،20.</w:t>
      </w:r>
    </w:p>
  </w:footnote>
  <w:footnote w:id="44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النسائي، أبو عبد الرحمن أحمد بن شعيب بن علي الخراساني، النسائي (ت: 303هـ)، </w:t>
      </w:r>
      <w:r w:rsidRPr="00FB5347">
        <w:rPr>
          <w:rFonts w:hint="cs"/>
          <w:b/>
          <w:bCs/>
          <w:vertAlign w:val="baseline"/>
          <w:rtl/>
        </w:rPr>
        <w:t>السنن</w:t>
      </w:r>
      <w:r w:rsidRPr="00FB5347">
        <w:rPr>
          <w:b/>
          <w:bCs/>
          <w:vertAlign w:val="baseline"/>
          <w:rtl/>
        </w:rPr>
        <w:t xml:space="preserve"> الصغرى للنسائي</w:t>
      </w:r>
      <w:r w:rsidRPr="00FB5347">
        <w:rPr>
          <w:rFonts w:hint="cs"/>
          <w:vertAlign w:val="baseline"/>
          <w:rtl/>
        </w:rPr>
        <w:t>،</w:t>
      </w:r>
      <w:r w:rsidRPr="00FB5347">
        <w:rPr>
          <w:vertAlign w:val="baseline"/>
          <w:rtl/>
        </w:rPr>
        <w:t xml:space="preserve"> تحقيق: عبد الفتاح أبو غدة، ط2، مكتب المطبوعات الإسلامية، حلب، 1406 هـ / 1986م، ج8، ص319.</w:t>
      </w:r>
    </w:p>
  </w:footnote>
  <w:footnote w:id="44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الكاساني، بدائع الصنائع، ج7، ص39.</w:t>
      </w:r>
    </w:p>
  </w:footnote>
  <w:footnote w:id="44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الموصلي، الإختيار، ج4، ص86.</w:t>
      </w:r>
    </w:p>
  </w:footnote>
  <w:footnote w:id="45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المحتارن ج6، ص110.</w:t>
      </w:r>
    </w:p>
  </w:footnote>
  <w:footnote w:id="451">
    <w:p w:rsidR="005F44B2" w:rsidRPr="00FB5347" w:rsidRDefault="005F44B2" w:rsidP="006D59AD">
      <w:pPr>
        <w:pStyle w:val="a4"/>
        <w:spacing w:line="312" w:lineRule="auto"/>
        <w:rPr>
          <w:vertAlign w:val="baseline"/>
          <w:rtl/>
        </w:rPr>
      </w:pPr>
      <w:r w:rsidRPr="000C2566">
        <w:rPr>
          <w:rtl/>
        </w:rPr>
        <w:t>(</w:t>
      </w:r>
      <w:r w:rsidRPr="000C2566">
        <w:rPr>
          <w:rStyle w:val="FootnoteReference"/>
          <w:rFonts w:cs="Arabic Transparent"/>
        </w:rPr>
        <w:footnoteRef/>
      </w:r>
      <w:r w:rsidRPr="000C2566">
        <w:rPr>
          <w:rtl/>
        </w:rPr>
        <w:t>)</w:t>
      </w:r>
      <w:r w:rsidRPr="00FB5347">
        <w:rPr>
          <w:vertAlign w:val="baseline"/>
          <w:rtl/>
        </w:rPr>
        <w:t xml:space="preserve"> وهذه المسألة يعني عقوبة الزاني غير المحصن بجمع الجلد والنفي مسألة خلافية بين المذاهب، حيث يرى الحنفية أنه لايُجمع الجلد والنفي إلا إذا رأى الإمام مصلحة في التغريب، ويرى الشافعية والحنابلة أنه يُجمع الجلد والتغريب في الزاني غير المحصن حدًا، ويرى المالكية تغريب الرجل ولا تُغرّب المرأة.  </w:t>
      </w:r>
    </w:p>
    <w:p w:rsidR="005F44B2" w:rsidRDefault="005F44B2" w:rsidP="006D59AD">
      <w:pPr>
        <w:pStyle w:val="a4"/>
        <w:spacing w:line="312" w:lineRule="auto"/>
      </w:pPr>
      <w:r w:rsidRPr="00FB5347">
        <w:rPr>
          <w:rFonts w:hint="cs"/>
          <w:vertAlign w:val="baseline"/>
          <w:rtl/>
        </w:rPr>
        <w:t>أنظر</w:t>
      </w:r>
      <w:r w:rsidRPr="00FB5347">
        <w:rPr>
          <w:vertAlign w:val="baseline"/>
          <w:rtl/>
        </w:rPr>
        <w:t>: ابن نجيم، البحر الرائق، ج5، ص11؛ الموصلي، الإختيار، ج4، ص86؛ البابرتي، العناية شرح الهداية، ج5، ص244؛ المرغينا</w:t>
      </w:r>
      <w:r w:rsidRPr="00FB5347">
        <w:rPr>
          <w:rFonts w:hint="cs"/>
          <w:vertAlign w:val="baseline"/>
          <w:rtl/>
        </w:rPr>
        <w:t>ني،</w:t>
      </w:r>
      <w:r w:rsidRPr="00FB5347">
        <w:rPr>
          <w:vertAlign w:val="baseline"/>
          <w:rtl/>
        </w:rPr>
        <w:t xml:space="preserve"> الهداية، ج2، ص344؛ ا</w:t>
      </w:r>
      <w:r w:rsidRPr="00FB5347">
        <w:rPr>
          <w:rFonts w:hint="cs"/>
          <w:vertAlign w:val="baseline"/>
          <w:rtl/>
        </w:rPr>
        <w:t>لكاساني،</w:t>
      </w:r>
      <w:r w:rsidRPr="00FB5347">
        <w:rPr>
          <w:vertAlign w:val="baseline"/>
          <w:rtl/>
        </w:rPr>
        <w:t xml:space="preserve"> بدائع الصنائع، ج7، ص39؛ الماوردي، </w:t>
      </w:r>
      <w:r>
        <w:rPr>
          <w:rFonts w:hint="cs"/>
          <w:vertAlign w:val="baseline"/>
          <w:rtl/>
        </w:rPr>
        <w:t>ا</w:t>
      </w:r>
      <w:r w:rsidRPr="00FB5347">
        <w:rPr>
          <w:rFonts w:hint="cs"/>
          <w:vertAlign w:val="baseline"/>
          <w:rtl/>
        </w:rPr>
        <w:t>بو</w:t>
      </w:r>
      <w:r w:rsidRPr="00FB5347">
        <w:rPr>
          <w:vertAlign w:val="baseline"/>
          <w:rtl/>
        </w:rPr>
        <w:t xml:space="preserve"> الحسن علي بن محمد بن محمد بن حبيب البصري البغدادي، الشهير بالماوردي (ت: 450هـ)، </w:t>
      </w:r>
      <w:r w:rsidRPr="00FB5347">
        <w:rPr>
          <w:rFonts w:hint="cs"/>
          <w:b/>
          <w:bCs/>
          <w:vertAlign w:val="baseline"/>
          <w:rtl/>
        </w:rPr>
        <w:t>الحاوي</w:t>
      </w:r>
      <w:r w:rsidRPr="00FB5347">
        <w:rPr>
          <w:b/>
          <w:bCs/>
          <w:vertAlign w:val="baseline"/>
          <w:rtl/>
        </w:rPr>
        <w:t xml:space="preserve"> الكبير في فقه مذهب الإمام الشافعي وهو شرح مختصر المزني</w:t>
      </w:r>
      <w:r w:rsidRPr="00FB5347">
        <w:rPr>
          <w:rFonts w:hint="cs"/>
          <w:vertAlign w:val="baseline"/>
          <w:rtl/>
        </w:rPr>
        <w:t>،</w:t>
      </w:r>
      <w:r w:rsidRPr="00FB5347">
        <w:rPr>
          <w:vertAlign w:val="baseline"/>
          <w:rtl/>
        </w:rPr>
        <w:t xml:space="preserve"> ط1، ب</w:t>
      </w:r>
      <w:r w:rsidRPr="00FB5347">
        <w:rPr>
          <w:rFonts w:hint="cs"/>
          <w:vertAlign w:val="baseline"/>
          <w:rtl/>
        </w:rPr>
        <w:t>يروت،</w:t>
      </w:r>
      <w:r w:rsidRPr="00FB5347">
        <w:rPr>
          <w:vertAlign w:val="baseline"/>
          <w:rtl/>
        </w:rPr>
        <w:t xml:space="preserve"> دار الكتب العلمية، 1419 هـ /1999 م، ج13، ص193؛ الشربيني، مغني المحتاج، ج5، ص448؛ القليوبي وعميرة، حاشيتا قليوبي وعميرة، ج4، ص182؛ ابن قدامة، المغني، ج9، 37، 38؛ الزركشي، </w:t>
      </w:r>
      <w:r w:rsidRPr="00CA5C34">
        <w:rPr>
          <w:rFonts w:hint="cs"/>
          <w:vertAlign w:val="baseline"/>
          <w:rtl/>
        </w:rPr>
        <w:t>شرح</w:t>
      </w:r>
      <w:r w:rsidRPr="00CA5C34">
        <w:rPr>
          <w:vertAlign w:val="baseline"/>
          <w:rtl/>
        </w:rPr>
        <w:t xml:space="preserve"> الزركشي على مختصر الخرقي</w:t>
      </w:r>
      <w:r w:rsidRPr="00FB5347">
        <w:rPr>
          <w:rFonts w:hint="cs"/>
          <w:vertAlign w:val="baseline"/>
          <w:rtl/>
        </w:rPr>
        <w:t>،</w:t>
      </w:r>
      <w:r w:rsidRPr="00FB5347">
        <w:rPr>
          <w:vertAlign w:val="baseline"/>
          <w:rtl/>
        </w:rPr>
        <w:t xml:space="preserve"> ج6، ص278، 279، 280؛ ابن رشد، أبو الوليد محمد بن أحمد بن محمد بن أحمد بن رشد القرطبي الشهير بابن رشد الحفيد (ت: 595هـ)، </w:t>
      </w:r>
      <w:r w:rsidRPr="00FB5347">
        <w:rPr>
          <w:rFonts w:hint="cs"/>
          <w:b/>
          <w:bCs/>
          <w:vertAlign w:val="baseline"/>
          <w:rtl/>
        </w:rPr>
        <w:t>بداية</w:t>
      </w:r>
      <w:r w:rsidRPr="00FB5347">
        <w:rPr>
          <w:b/>
          <w:bCs/>
          <w:vertAlign w:val="baseline"/>
          <w:rtl/>
        </w:rPr>
        <w:t xml:space="preserve"> المجتهد ونهاية المقتصد</w:t>
      </w:r>
      <w:r w:rsidRPr="00FB5347">
        <w:rPr>
          <w:rFonts w:hint="cs"/>
          <w:vertAlign w:val="baseline"/>
          <w:rtl/>
        </w:rPr>
        <w:t>،</w:t>
      </w:r>
      <w:r w:rsidRPr="00FB5347">
        <w:rPr>
          <w:vertAlign w:val="baseline"/>
          <w:rtl/>
        </w:rPr>
        <w:t xml:space="preserve"> دار الحديث، القاهرة، 1425هـ / 2004 م، ج4، ص219؛ القرافي، الذخيرة، ج12، ص88.</w:t>
      </w:r>
    </w:p>
  </w:footnote>
  <w:footnote w:id="45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ج1، ص432.</w:t>
      </w:r>
    </w:p>
  </w:footnote>
  <w:footnote w:id="45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ج3، ص246، 247.</w:t>
      </w:r>
    </w:p>
  </w:footnote>
  <w:footnote w:id="45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المرغيناني، الهداية، ج1، ص104؛ ابن نجيم، البحر الرائق، ج2، ص249؛ الشلبي،  شهاب الدين أحمد بن محمد بن أحمد بن يونس بن إسماعيل بن يونس الشِّلْبِيُّ (ت: 1021 هـ)، تبيين الحقائق شرح كنز الدقائق وحاشية الشِّلْبِيِّ، ط1، المطبع</w:t>
      </w:r>
      <w:r w:rsidRPr="00FB5347">
        <w:rPr>
          <w:rFonts w:hint="cs"/>
          <w:vertAlign w:val="baseline"/>
          <w:rtl/>
        </w:rPr>
        <w:t>ة</w:t>
      </w:r>
      <w:r w:rsidRPr="00FB5347">
        <w:rPr>
          <w:vertAlign w:val="baseline"/>
          <w:rtl/>
        </w:rPr>
        <w:t xml:space="preserve"> الكبرى الأميرية، القاه</w:t>
      </w:r>
      <w:r w:rsidRPr="00FB5347">
        <w:rPr>
          <w:rFonts w:hint="cs"/>
          <w:vertAlign w:val="baseline"/>
          <w:rtl/>
        </w:rPr>
        <w:t>رة،</w:t>
      </w:r>
      <w:r w:rsidRPr="00FB5347">
        <w:rPr>
          <w:vertAlign w:val="baseline"/>
          <w:rtl/>
        </w:rPr>
        <w:t xml:space="preserve"> 1913هـ، ج1، ص283.</w:t>
      </w:r>
    </w:p>
  </w:footnote>
  <w:footnote w:id="45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rFonts w:hint="cs"/>
          <w:vertAlign w:val="baseline"/>
          <w:rtl/>
        </w:rPr>
        <w:t>البابرتي،</w:t>
      </w:r>
      <w:r w:rsidRPr="00FB5347">
        <w:rPr>
          <w:vertAlign w:val="baseline"/>
          <w:rtl/>
        </w:rPr>
        <w:t xml:space="preserve"> العناية شرح الهداية، ج2، ص225؛ العيني، البناية شرح الهداية، ج3، 392؛ الشلبي، حاشية الشلبي، ج1، ص283.</w:t>
      </w:r>
    </w:p>
  </w:footnote>
  <w:footnote w:id="45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ج3، ص 247.</w:t>
      </w:r>
    </w:p>
  </w:footnote>
  <w:footnote w:id="45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الفيومي، المصباح المنير، ج1، ص77.</w:t>
      </w:r>
    </w:p>
  </w:footnote>
  <w:footnote w:id="45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ص126، 147.</w:t>
      </w:r>
    </w:p>
  </w:footnote>
  <w:footnote w:id="45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عندما رجعنا إلى كتب متون الحديث، وجدنا هذا الحديث بصياغات مختلفة: أنظر: أبو داود، أبو داود سليمان بن الأشعث بن إسحاق بن بشير بن شداد بن عمرو الأزدي السِّجِسْتاني (تـ: 275هـ)، </w:t>
      </w:r>
      <w:r w:rsidRPr="00FB5347">
        <w:rPr>
          <w:rFonts w:hint="cs"/>
          <w:b/>
          <w:bCs/>
          <w:vertAlign w:val="baseline"/>
          <w:rtl/>
        </w:rPr>
        <w:t>سنن</w:t>
      </w:r>
      <w:r w:rsidRPr="00FB5347">
        <w:rPr>
          <w:b/>
          <w:bCs/>
          <w:vertAlign w:val="baseline"/>
          <w:rtl/>
        </w:rPr>
        <w:t xml:space="preserve"> أبي داود</w:t>
      </w:r>
      <w:r w:rsidRPr="00FB5347">
        <w:rPr>
          <w:rFonts w:hint="cs"/>
          <w:vertAlign w:val="baseline"/>
          <w:rtl/>
        </w:rPr>
        <w:t>،</w:t>
      </w:r>
      <w:r w:rsidRPr="00FB5347">
        <w:rPr>
          <w:vertAlign w:val="baseline"/>
          <w:rtl/>
        </w:rPr>
        <w:t xml:space="preserve"> المحقق: محمد محيي الدين عبد الحميد، بيروت، المكتبة العصرية، كتاب الخراج والإمارة، باب ما جاء في حكم أرض خيبر، رقم الحديث: 3006؛ ابن حبان، محمد بن حبان بن أحمد بن حبان بن معاذ بن مَعْبدَ، التميمي، أبو حاتم، الدارمي، البُستي (ت: 354هـ)، </w:t>
      </w:r>
      <w:r w:rsidRPr="00FB5347">
        <w:rPr>
          <w:rFonts w:hint="cs"/>
          <w:b/>
          <w:bCs/>
          <w:vertAlign w:val="baseline"/>
          <w:rtl/>
        </w:rPr>
        <w:t>صحيح</w:t>
      </w:r>
      <w:r w:rsidRPr="00FB5347">
        <w:rPr>
          <w:b/>
          <w:bCs/>
          <w:vertAlign w:val="baseline"/>
          <w:rtl/>
        </w:rPr>
        <w:t xml:space="preserve"> ابن حبان بترتيب ابن بلبان</w:t>
      </w:r>
      <w:r w:rsidRPr="00FB5347">
        <w:rPr>
          <w:rFonts w:hint="cs"/>
          <w:vertAlign w:val="baseline"/>
          <w:rtl/>
        </w:rPr>
        <w:t>،</w:t>
      </w:r>
      <w:r w:rsidRPr="00FB5347">
        <w:rPr>
          <w:vertAlign w:val="baseline"/>
          <w:rtl/>
        </w:rPr>
        <w:t xml:space="preserve"> المحقق: شعيب الأرنؤوط ، ط2، مؤسسة الرسالة، بيروت، 1414 هـ /1993 م، ج11، ص607، وذُكر في نفس الكتاب عن الحديث: تعليق الألباني: حسن - «صحيح أبي داود» (2658)، تعليق شعيبالأرنؤوط: إسناده صحيح.</w:t>
      </w:r>
    </w:p>
  </w:footnote>
  <w:footnote w:id="46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vertAlign w:val="baseline"/>
          <w:rtl/>
        </w:rPr>
        <w:t xml:space="preserve"> أنظر: من هذه الرسالة، ص49.</w:t>
      </w:r>
    </w:p>
  </w:footnote>
  <w:footnote w:id="46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ص21، 147، 170؛ ج8، ص141.</w:t>
      </w:r>
    </w:p>
  </w:footnote>
  <w:footnote w:id="46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ص147.</w:t>
      </w:r>
    </w:p>
  </w:footnote>
  <w:footnote w:id="46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منظور، لسان العرب، ج6، ص4234.</w:t>
      </w:r>
    </w:p>
  </w:footnote>
  <w:footnote w:id="46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ابن عابدين، رد المحتار، ج6، ص156.</w:t>
      </w:r>
    </w:p>
  </w:footnote>
  <w:footnote w:id="46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ابن عابدين، رد المحتار، ج6، ص156.</w:t>
      </w:r>
    </w:p>
  </w:footnote>
  <w:footnote w:id="466">
    <w:p w:rsidR="005F44B2" w:rsidRDefault="005F44B2" w:rsidP="007E376A">
      <w:pPr>
        <w:pStyle w:val="a4"/>
        <w:spacing w:line="312" w:lineRule="auto"/>
      </w:pPr>
      <w:r w:rsidRPr="000C2566">
        <w:rPr>
          <w:rtl/>
        </w:rPr>
        <w:t>(</w:t>
      </w:r>
      <w:r w:rsidRPr="000C2566">
        <w:rPr>
          <w:rStyle w:val="FootnoteReference"/>
          <w:rFonts w:cs="Arabic Transparent"/>
        </w:rPr>
        <w:footnoteRef/>
      </w:r>
      <w:r w:rsidRPr="000C2566">
        <w:rPr>
          <w:rtl/>
        </w:rPr>
        <w:t>)</w:t>
      </w:r>
      <w:r w:rsidRPr="00FB5347">
        <w:rPr>
          <w:vertAlign w:val="baseline"/>
          <w:rtl/>
        </w:rPr>
        <w:t xml:space="preserve"> أنظر: </w:t>
      </w:r>
      <w:r>
        <w:rPr>
          <w:rFonts w:hint="cs"/>
          <w:vertAlign w:val="baseline"/>
          <w:rtl/>
        </w:rPr>
        <w:t>ابن</w:t>
      </w:r>
      <w:r>
        <w:rPr>
          <w:vertAlign w:val="baseline"/>
          <w:rtl/>
        </w:rPr>
        <w:t xml:space="preserve"> عابدين</w:t>
      </w:r>
      <w:r w:rsidRPr="00FB5347">
        <w:rPr>
          <w:rFonts w:hint="cs"/>
          <w:vertAlign w:val="baseline"/>
          <w:rtl/>
        </w:rPr>
        <w:t>،</w:t>
      </w:r>
      <w:r>
        <w:rPr>
          <w:vertAlign w:val="baseline"/>
          <w:rtl/>
        </w:rPr>
        <w:t xml:space="preserve"> رد المحتار،</w:t>
      </w:r>
      <w:r w:rsidRPr="00FB5347">
        <w:rPr>
          <w:vertAlign w:val="baseline"/>
          <w:rtl/>
        </w:rPr>
        <w:t xml:space="preserve"> ج6، ص156.</w:t>
      </w:r>
    </w:p>
  </w:footnote>
  <w:footnote w:id="46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أنظر: ابن نجيم، بحر الرائق، ج5، ص60؛ داماد أفندي، عبد الرحمن بن محمد بن سليمان المدعو بشيخي زاده, يعرف بداماد أفندي (ت: 1078هـ)، </w:t>
      </w:r>
      <w:r w:rsidRPr="00A54CC3">
        <w:rPr>
          <w:rFonts w:hint="cs"/>
          <w:b/>
          <w:bCs/>
          <w:vertAlign w:val="baseline"/>
          <w:rtl/>
        </w:rPr>
        <w:t>مجمع</w:t>
      </w:r>
      <w:r w:rsidRPr="00A54CC3">
        <w:rPr>
          <w:b/>
          <w:bCs/>
          <w:vertAlign w:val="baseline"/>
          <w:rtl/>
        </w:rPr>
        <w:t xml:space="preserve"> الأنهر في شرح ملتقى الأبحر</w:t>
      </w:r>
      <w:r w:rsidRPr="00A54CC3">
        <w:rPr>
          <w:rFonts w:hint="cs"/>
          <w:vertAlign w:val="baseline"/>
          <w:rtl/>
        </w:rPr>
        <w:t>،</w:t>
      </w:r>
      <w:r w:rsidRPr="00A54CC3">
        <w:rPr>
          <w:vertAlign w:val="baseline"/>
          <w:rtl/>
        </w:rPr>
        <w:t xml:space="preserve"> بدون طبعة وبدون تاريخ، دار إحياء التراث العربي، ج1، ص618؛ إبراهيم بن نجيم، سراج الدين عمر بن إبراهيم بن نجيم الحنفي (ت: 1005هـ)، </w:t>
      </w:r>
      <w:r w:rsidRPr="00A54CC3">
        <w:rPr>
          <w:rFonts w:hint="cs"/>
          <w:b/>
          <w:bCs/>
          <w:vertAlign w:val="baseline"/>
          <w:rtl/>
        </w:rPr>
        <w:t>النهر</w:t>
      </w:r>
      <w:r w:rsidRPr="00A54CC3">
        <w:rPr>
          <w:b/>
          <w:bCs/>
          <w:vertAlign w:val="baseline"/>
          <w:rtl/>
        </w:rPr>
        <w:t xml:space="preserve"> الفائق شرح كنز الدقائق</w:t>
      </w:r>
      <w:r w:rsidRPr="00A54CC3">
        <w:rPr>
          <w:rFonts w:hint="cs"/>
          <w:vertAlign w:val="baseline"/>
          <w:rtl/>
        </w:rPr>
        <w:t>،</w:t>
      </w:r>
      <w:r w:rsidRPr="00A54CC3">
        <w:rPr>
          <w:vertAlign w:val="baseline"/>
          <w:rtl/>
        </w:rPr>
        <w:t xml:space="preserve"> المحقق: أحمد عزو عناية، ط1، دار الكتب العلمية، 1422هـ / 2002م؛ المرغيناني، الهداية، ج2، ص365.</w:t>
      </w:r>
    </w:p>
  </w:footnote>
  <w:footnote w:id="46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ابن عابدين، مجموعة الرسائل، تنبيه الرقود على مسائل النقود، ج2، ص86.</w:t>
      </w:r>
    </w:p>
  </w:footnote>
  <w:footnote w:id="46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أنظر: المرجع السابق.</w:t>
      </w:r>
    </w:p>
  </w:footnote>
  <w:footnote w:id="47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ابن عابدين، مجموعة الرسائل، تنبيه الرقود على مسائل النقود، ج2، ص87.</w:t>
      </w:r>
    </w:p>
  </w:footnote>
  <w:footnote w:id="47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المرجع السابق.</w:t>
      </w:r>
    </w:p>
  </w:footnote>
  <w:footnote w:id="47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المرجع السابق.</w:t>
      </w:r>
    </w:p>
  </w:footnote>
  <w:footnote w:id="47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المرجع السابق، ج2، ص88.</w:t>
      </w:r>
    </w:p>
  </w:footnote>
  <w:footnote w:id="47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Pr>
          <w:vertAlign w:val="baseline"/>
          <w:rtl/>
        </w:rPr>
        <w:t xml:space="preserve"> المرجع السابق، ج2، ص88.</w:t>
      </w:r>
    </w:p>
  </w:footnote>
  <w:footnote w:id="47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ابن منظور، لسان العرب، ج4، ص2348.</w:t>
      </w:r>
    </w:p>
  </w:footnote>
  <w:footnote w:id="47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ابن الهمام، كمال الدين محمد بن عبد الواحد السيواسي المعروف بابن الهمام (ت 861هـ)،</w:t>
      </w:r>
      <w:r w:rsidRPr="00A54CC3">
        <w:rPr>
          <w:rFonts w:hint="cs"/>
          <w:b/>
          <w:bCs/>
          <w:vertAlign w:val="baseline"/>
          <w:rtl/>
        </w:rPr>
        <w:t>فتح</w:t>
      </w:r>
      <w:r w:rsidRPr="00A54CC3">
        <w:rPr>
          <w:b/>
          <w:bCs/>
          <w:vertAlign w:val="baseline"/>
          <w:rtl/>
        </w:rPr>
        <w:t xml:space="preserve"> القدير</w:t>
      </w:r>
      <w:r w:rsidRPr="00A54CC3">
        <w:rPr>
          <w:rFonts w:hint="cs"/>
          <w:vertAlign w:val="baseline"/>
          <w:rtl/>
        </w:rPr>
        <w:t>،</w:t>
      </w:r>
      <w:r w:rsidRPr="00A54CC3">
        <w:rPr>
          <w:vertAlign w:val="baseline"/>
          <w:rtl/>
        </w:rPr>
        <w:t xml:space="preserve"> بدون طبعة وبدون تاريخ، دار الفكر، ج7، ص364.</w:t>
      </w:r>
    </w:p>
  </w:footnote>
  <w:footnote w:id="47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A54CC3">
        <w:rPr>
          <w:rFonts w:hint="cs"/>
          <w:vertAlign w:val="baseline"/>
          <w:rtl/>
        </w:rPr>
        <w:t>أنظر</w:t>
      </w:r>
      <w:r w:rsidRPr="00A54CC3">
        <w:rPr>
          <w:vertAlign w:val="baseline"/>
          <w:rtl/>
        </w:rPr>
        <w:t>: الزَّبيدي، تاج العروس، ج11، ص461.</w:t>
      </w:r>
    </w:p>
  </w:footnote>
  <w:footnote w:id="478">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rFonts w:hint="cs"/>
          <w:vertAlign w:val="baseline"/>
          <w:rtl/>
        </w:rPr>
        <w:t>العسقلاني،</w:t>
      </w:r>
      <w:r w:rsidRPr="00A54CC3">
        <w:rPr>
          <w:vertAlign w:val="baseline"/>
          <w:rtl/>
        </w:rPr>
        <w:t xml:space="preserve"> أحمد بن علي بن حجر أبو الفض</w:t>
      </w:r>
      <w:r w:rsidRPr="00A54CC3">
        <w:rPr>
          <w:rFonts w:hint="cs"/>
          <w:vertAlign w:val="baseline"/>
          <w:rtl/>
        </w:rPr>
        <w:t>ل</w:t>
      </w:r>
      <w:r w:rsidRPr="00A54CC3">
        <w:rPr>
          <w:vertAlign w:val="baseline"/>
          <w:rtl/>
        </w:rPr>
        <w:t xml:space="preserve"> العسقلاني الشافعي، </w:t>
      </w:r>
      <w:r w:rsidRPr="00A54CC3">
        <w:rPr>
          <w:rFonts w:hint="cs"/>
          <w:b/>
          <w:bCs/>
          <w:vertAlign w:val="baseline"/>
          <w:rtl/>
        </w:rPr>
        <w:t>فتح</w:t>
      </w:r>
      <w:r w:rsidRPr="00A54CC3">
        <w:rPr>
          <w:b/>
          <w:bCs/>
          <w:vertAlign w:val="baseline"/>
          <w:rtl/>
        </w:rPr>
        <w:t xml:space="preserve"> الباري شرح صحيح البخاري</w:t>
      </w:r>
      <w:r w:rsidRPr="00A54CC3">
        <w:rPr>
          <w:rFonts w:hint="cs"/>
          <w:vertAlign w:val="baseline"/>
          <w:rtl/>
        </w:rPr>
        <w:t>،</w:t>
      </w:r>
      <w:r w:rsidRPr="00A54CC3">
        <w:rPr>
          <w:vertAlign w:val="baseline"/>
          <w:rtl/>
        </w:rPr>
        <w:t xml:space="preserve"> رقم كتبه وأبوابه وأحاديثه: محمد فؤاد عبد الباقي، قام بإخراجه وصححه وأشرف على طبعه: محب الدين الخطيب، عليه تعليقات العلامة: عبد العزيز بن عبد الله بن باز، بيروت، دار المعرفة، 1379، ج10، ص412.</w:t>
      </w:r>
    </w:p>
  </w:footnote>
  <w:footnote w:id="479">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rFonts w:hint="cs"/>
          <w:vertAlign w:val="baseline"/>
          <w:rtl/>
        </w:rPr>
        <w:t>الحطاب</w:t>
      </w:r>
      <w:r w:rsidRPr="00A54CC3">
        <w:rPr>
          <w:vertAlign w:val="baseline"/>
          <w:rtl/>
        </w:rPr>
        <w:t xml:space="preserve"> الرُّعيني المالكي، شمس الدين أبو عبد الله محمد بن محمد بن عبد الرحمن الطرابلسي المغربي، المعروف بالحط</w:t>
      </w:r>
      <w:r w:rsidRPr="00A54CC3">
        <w:rPr>
          <w:rFonts w:hint="cs"/>
          <w:vertAlign w:val="baseline"/>
          <w:rtl/>
        </w:rPr>
        <w:t>اب</w:t>
      </w:r>
      <w:r w:rsidRPr="00A54CC3">
        <w:rPr>
          <w:vertAlign w:val="baseline"/>
          <w:rtl/>
        </w:rPr>
        <w:t xml:space="preserve"> الرُّعيني المالكي (ت:954هـ)، </w:t>
      </w:r>
      <w:r w:rsidRPr="00A54CC3">
        <w:rPr>
          <w:rFonts w:hint="cs"/>
          <w:b/>
          <w:bCs/>
          <w:vertAlign w:val="baseline"/>
          <w:rtl/>
        </w:rPr>
        <w:t>مواهب</w:t>
      </w:r>
      <w:r w:rsidRPr="00A54CC3">
        <w:rPr>
          <w:b/>
          <w:bCs/>
          <w:vertAlign w:val="baseline"/>
          <w:rtl/>
        </w:rPr>
        <w:t xml:space="preserve"> الجليل في شرح مختصر خليل</w:t>
      </w:r>
      <w:r w:rsidRPr="00A54CC3">
        <w:rPr>
          <w:rFonts w:hint="cs"/>
          <w:vertAlign w:val="baseline"/>
          <w:rtl/>
        </w:rPr>
        <w:t>،</w:t>
      </w:r>
      <w:r w:rsidRPr="00A54CC3">
        <w:rPr>
          <w:vertAlign w:val="baseline"/>
          <w:rtl/>
        </w:rPr>
        <w:t xml:space="preserve"> ط3، دار الفكر، 1412هـ / 1992م، ج6، ص122.</w:t>
      </w:r>
    </w:p>
  </w:footnote>
  <w:footnote w:id="480">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سورة الحج، الآية 30.</w:t>
      </w:r>
    </w:p>
  </w:footnote>
  <w:footnote w:id="481">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سورة الفرقان، الآية 72.</w:t>
      </w:r>
    </w:p>
  </w:footnote>
  <w:footnote w:id="482">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من ه</w:t>
      </w:r>
      <w:r>
        <w:rPr>
          <w:rFonts w:hint="cs"/>
          <w:vertAlign w:val="baseline"/>
          <w:rtl/>
        </w:rPr>
        <w:t>ذه</w:t>
      </w:r>
      <w:r>
        <w:rPr>
          <w:vertAlign w:val="baseline"/>
          <w:rtl/>
        </w:rPr>
        <w:t xml:space="preserve"> الرسالة، ص49، 50.</w:t>
      </w:r>
    </w:p>
  </w:footnote>
  <w:footnote w:id="483">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هو تسويد </w:t>
      </w:r>
      <w:r w:rsidRPr="00A54CC3">
        <w:rPr>
          <w:rFonts w:hint="cs"/>
          <w:vertAlign w:val="baseline"/>
          <w:rtl/>
        </w:rPr>
        <w:t>وجه</w:t>
      </w:r>
      <w:r w:rsidRPr="00A54CC3">
        <w:rPr>
          <w:vertAlign w:val="baseline"/>
          <w:rtl/>
        </w:rPr>
        <w:t xml:space="preserve"> شاهد زور.</w:t>
      </w:r>
    </w:p>
  </w:footnote>
  <w:footnote w:id="484">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ابن عابدين، رد المحتار، ج6، ص136.</w:t>
      </w:r>
    </w:p>
  </w:footnote>
  <w:footnote w:id="485">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أنظر: الشربيني، شمس الدين، محمد بن أحمد الخطيب الشربيني الشافعي (ت: 977هـ)، </w:t>
      </w:r>
      <w:r w:rsidRPr="00A54CC3">
        <w:rPr>
          <w:rFonts w:hint="cs"/>
          <w:b/>
          <w:bCs/>
          <w:vertAlign w:val="baseline"/>
          <w:rtl/>
        </w:rPr>
        <w:t>مغني</w:t>
      </w:r>
      <w:r w:rsidRPr="00A54CC3">
        <w:rPr>
          <w:b/>
          <w:bCs/>
          <w:vertAlign w:val="baseline"/>
          <w:rtl/>
        </w:rPr>
        <w:t xml:space="preserve"> المحت</w:t>
      </w:r>
      <w:r w:rsidRPr="00A54CC3">
        <w:rPr>
          <w:rFonts w:hint="cs"/>
          <w:b/>
          <w:bCs/>
          <w:vertAlign w:val="baseline"/>
          <w:rtl/>
        </w:rPr>
        <w:t>اج</w:t>
      </w:r>
      <w:r w:rsidRPr="00A54CC3">
        <w:rPr>
          <w:b/>
          <w:bCs/>
          <w:vertAlign w:val="baseline"/>
          <w:rtl/>
        </w:rPr>
        <w:t xml:space="preserve"> إلى معرفة معاني ألفاظ المنهاج</w:t>
      </w:r>
      <w:r w:rsidRPr="00A54CC3">
        <w:rPr>
          <w:rFonts w:hint="cs"/>
          <w:vertAlign w:val="baseline"/>
          <w:rtl/>
        </w:rPr>
        <w:t>،</w:t>
      </w:r>
      <w:r w:rsidRPr="00A54CC3">
        <w:rPr>
          <w:vertAlign w:val="baseline"/>
          <w:rtl/>
        </w:rPr>
        <w:t xml:space="preserve"> ط1، دار الكتب العلمية، 1994م، ج5، ص524؛ البهوتى، </w:t>
      </w:r>
      <w:r w:rsidRPr="00686DF2">
        <w:rPr>
          <w:rFonts w:hint="cs"/>
          <w:vertAlign w:val="baseline"/>
          <w:rtl/>
        </w:rPr>
        <w:t>كشاف</w:t>
      </w:r>
      <w:r w:rsidRPr="00686DF2">
        <w:rPr>
          <w:vertAlign w:val="baseline"/>
          <w:rtl/>
        </w:rPr>
        <w:t xml:space="preserve"> القناع عن متن الإقناع</w:t>
      </w:r>
      <w:r w:rsidRPr="00A54CC3">
        <w:rPr>
          <w:rFonts w:hint="cs"/>
          <w:vertAlign w:val="baseline"/>
          <w:rtl/>
        </w:rPr>
        <w:t>،</w:t>
      </w:r>
      <w:r w:rsidRPr="00A54CC3">
        <w:rPr>
          <w:vertAlign w:val="baseline"/>
          <w:rtl/>
        </w:rPr>
        <w:t xml:space="preserve"> ج6، ص147.</w:t>
      </w:r>
    </w:p>
  </w:footnote>
  <w:footnote w:id="486">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أنظر: ابن عابدين، رد المحتار، ج6، ص170؛ محمد بن فرامرز بن علي الشهير بملا - أو منلا أو المولىخسرو (ت:885هـ)،</w:t>
      </w:r>
      <w:r w:rsidRPr="00A54CC3">
        <w:rPr>
          <w:rFonts w:hint="cs"/>
          <w:b/>
          <w:bCs/>
          <w:vertAlign w:val="baseline"/>
          <w:rtl/>
        </w:rPr>
        <w:t>درر</w:t>
      </w:r>
      <w:r w:rsidRPr="00A54CC3">
        <w:rPr>
          <w:b/>
          <w:bCs/>
          <w:vertAlign w:val="baseline"/>
          <w:rtl/>
        </w:rPr>
        <w:t xml:space="preserve"> الحكام شرح غرر الأحكام</w:t>
      </w:r>
      <w:r w:rsidRPr="00A54CC3">
        <w:rPr>
          <w:rFonts w:hint="cs"/>
          <w:vertAlign w:val="baseline"/>
          <w:rtl/>
        </w:rPr>
        <w:t>،</w:t>
      </w:r>
      <w:r w:rsidRPr="00A54CC3">
        <w:rPr>
          <w:vertAlign w:val="baseline"/>
          <w:rtl/>
        </w:rPr>
        <w:t xml:space="preserve"> بدون طبعة وبدون تاريخ، دار إحياء الكتب العربية، ج2، ص82؛  إبراهيم بن نجيم، النهر الفائق شرح كنز الدقائق، ج3، ص186.</w:t>
      </w:r>
    </w:p>
  </w:footnote>
  <w:footnote w:id="487">
    <w:p w:rsidR="005F44B2" w:rsidRDefault="005F44B2" w:rsidP="006D59AD">
      <w:pPr>
        <w:pStyle w:val="a4"/>
        <w:spacing w:line="312" w:lineRule="auto"/>
      </w:pPr>
      <w:r w:rsidRPr="000C2566">
        <w:rPr>
          <w:rtl/>
        </w:rPr>
        <w:t>(</w:t>
      </w:r>
      <w:r w:rsidRPr="000C2566">
        <w:rPr>
          <w:rStyle w:val="FootnoteReference"/>
          <w:rFonts w:cs="Arabic Transparent"/>
        </w:rPr>
        <w:footnoteRef/>
      </w:r>
      <w:r w:rsidRPr="000C2566">
        <w:rPr>
          <w:rtl/>
        </w:rPr>
        <w:t>)</w:t>
      </w:r>
      <w:r w:rsidRPr="00A54CC3">
        <w:rPr>
          <w:vertAlign w:val="baseline"/>
          <w:rtl/>
        </w:rPr>
        <w:t xml:space="preserve"> المرجع السابق، ج6، ص171.</w:t>
      </w:r>
    </w:p>
  </w:footnote>
  <w:footnote w:id="488">
    <w:p w:rsidR="005F44B2" w:rsidRDefault="005F44B2" w:rsidP="00E50E72">
      <w:pPr>
        <w:pStyle w:val="a4"/>
        <w:spacing w:line="312" w:lineRule="auto"/>
      </w:pPr>
      <w:r w:rsidRPr="000C2566">
        <w:rPr>
          <w:rtl/>
        </w:rPr>
        <w:t>(</w:t>
      </w:r>
      <w:r w:rsidRPr="000C2566">
        <w:rPr>
          <w:rStyle w:val="FootnoteReference"/>
          <w:rFonts w:cs="Arabic Transparent"/>
        </w:rPr>
        <w:footnoteRef/>
      </w:r>
      <w:r w:rsidRPr="000C2566">
        <w:rPr>
          <w:rtl/>
        </w:rPr>
        <w:t xml:space="preserve">) </w:t>
      </w:r>
      <w:r w:rsidRPr="00A54CC3">
        <w:rPr>
          <w:rFonts w:hint="cs"/>
          <w:vertAlign w:val="baseline"/>
          <w:rtl/>
        </w:rPr>
        <w:t>أنظر</w:t>
      </w:r>
      <w:r w:rsidRPr="00A54CC3">
        <w:rPr>
          <w:vertAlign w:val="baseline"/>
          <w:rtl/>
        </w:rPr>
        <w:t>: من هذه الرسالة، ص</w:t>
      </w:r>
      <w:r>
        <w:rPr>
          <w:vertAlign w:val="baseline"/>
          <w:rtl/>
        </w:rPr>
        <w:t>78،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B2" w:rsidRDefault="005F4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B2" w:rsidRDefault="005F44B2" w:rsidP="000219BE">
    <w:pPr>
      <w:pStyle w:val="Header"/>
      <w:framePr w:wrap="auto" w:vAnchor="text" w:hAnchor="text" w:xAlign="center" w:y="1"/>
      <w:rPr>
        <w:rStyle w:val="PageNumber"/>
        <w:rFonts w:cs="Arabic Transparent"/>
      </w:rPr>
    </w:pPr>
    <w:r>
      <w:rPr>
        <w:rStyle w:val="PageNumber"/>
        <w:rFonts w:cs="Arabic Transparent"/>
      </w:rPr>
      <w:fldChar w:fldCharType="begin"/>
    </w:r>
    <w:r>
      <w:rPr>
        <w:rStyle w:val="PageNumber"/>
        <w:rFonts w:cs="Arabic Transparent"/>
      </w:rPr>
      <w:instrText xml:space="preserve">PAGE  </w:instrText>
    </w:r>
    <w:r>
      <w:rPr>
        <w:rStyle w:val="PageNumber"/>
        <w:rFonts w:cs="Arabic Transparent"/>
      </w:rPr>
      <w:fldChar w:fldCharType="separate"/>
    </w:r>
    <w:r>
      <w:rPr>
        <w:rStyle w:val="PageNumber"/>
        <w:rFonts w:cs="Arabic Transparent"/>
        <w:noProof/>
        <w:lang w:bidi="ar-SA"/>
      </w:rPr>
      <w:t>‌</w:t>
    </w:r>
    <w:r>
      <w:rPr>
        <w:rStyle w:val="PageNumber"/>
        <w:rFonts w:cs="Arabic Transparent" w:hint="cs"/>
        <w:noProof/>
        <w:rtl/>
        <w:lang w:bidi="ar-SA"/>
      </w:rPr>
      <w:t>ب</w:t>
    </w:r>
    <w:r>
      <w:rPr>
        <w:rStyle w:val="PageNumber"/>
        <w:rFonts w:cs="Arabic Transparent"/>
      </w:rPr>
      <w:fldChar w:fldCharType="end"/>
    </w:r>
  </w:p>
  <w:p w:rsidR="005F44B2" w:rsidRDefault="005F44B2">
    <w:pPr>
      <w:pStyle w:val="Header"/>
      <w:jc w:val="center"/>
    </w:pPr>
  </w:p>
  <w:p w:rsidR="005F44B2" w:rsidRDefault="005F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E80"/>
    <w:multiLevelType w:val="hybridMultilevel"/>
    <w:tmpl w:val="7DA6B8D0"/>
    <w:lvl w:ilvl="0" w:tplc="939A0F1A">
      <w:start w:val="1"/>
      <w:numFmt w:val="bullet"/>
      <w:lvlText w:val=""/>
      <w:lvlJc w:val="left"/>
      <w:pPr>
        <w:ind w:left="1647" w:hanging="360"/>
      </w:pPr>
      <w:rPr>
        <w:rFonts w:ascii="Symbol" w:hAnsi="Symbol" w:hint="default"/>
      </w:rPr>
    </w:lvl>
    <w:lvl w:ilvl="1" w:tplc="041F0003">
      <w:start w:val="1"/>
      <w:numFmt w:val="bullet"/>
      <w:lvlText w:val="o"/>
      <w:lvlJc w:val="left"/>
      <w:pPr>
        <w:ind w:left="2367" w:hanging="360"/>
      </w:pPr>
      <w:rPr>
        <w:rFonts w:ascii="Courier New" w:hAnsi="Courier New" w:hint="default"/>
      </w:rPr>
    </w:lvl>
    <w:lvl w:ilvl="2" w:tplc="041F0005">
      <w:start w:val="1"/>
      <w:numFmt w:val="bullet"/>
      <w:lvlText w:val=""/>
      <w:lvlJc w:val="left"/>
      <w:pPr>
        <w:ind w:left="3087" w:hanging="360"/>
      </w:pPr>
      <w:rPr>
        <w:rFonts w:ascii="Wingdings" w:hAnsi="Wingdings" w:hint="default"/>
      </w:rPr>
    </w:lvl>
    <w:lvl w:ilvl="3" w:tplc="041F0001">
      <w:start w:val="1"/>
      <w:numFmt w:val="bullet"/>
      <w:lvlText w:val=""/>
      <w:lvlJc w:val="left"/>
      <w:pPr>
        <w:ind w:left="3807" w:hanging="360"/>
      </w:pPr>
      <w:rPr>
        <w:rFonts w:ascii="Symbol" w:hAnsi="Symbol" w:hint="default"/>
      </w:rPr>
    </w:lvl>
    <w:lvl w:ilvl="4" w:tplc="041F0003">
      <w:start w:val="1"/>
      <w:numFmt w:val="bullet"/>
      <w:lvlText w:val="o"/>
      <w:lvlJc w:val="left"/>
      <w:pPr>
        <w:ind w:left="4527" w:hanging="360"/>
      </w:pPr>
      <w:rPr>
        <w:rFonts w:ascii="Courier New" w:hAnsi="Courier New" w:hint="default"/>
      </w:rPr>
    </w:lvl>
    <w:lvl w:ilvl="5" w:tplc="041F0005">
      <w:start w:val="1"/>
      <w:numFmt w:val="bullet"/>
      <w:lvlText w:val=""/>
      <w:lvlJc w:val="left"/>
      <w:pPr>
        <w:ind w:left="5247" w:hanging="360"/>
      </w:pPr>
      <w:rPr>
        <w:rFonts w:ascii="Wingdings" w:hAnsi="Wingdings" w:hint="default"/>
      </w:rPr>
    </w:lvl>
    <w:lvl w:ilvl="6" w:tplc="041F0001">
      <w:start w:val="1"/>
      <w:numFmt w:val="bullet"/>
      <w:lvlText w:val=""/>
      <w:lvlJc w:val="left"/>
      <w:pPr>
        <w:ind w:left="5967" w:hanging="360"/>
      </w:pPr>
      <w:rPr>
        <w:rFonts w:ascii="Symbol" w:hAnsi="Symbol" w:hint="default"/>
      </w:rPr>
    </w:lvl>
    <w:lvl w:ilvl="7" w:tplc="041F0003">
      <w:start w:val="1"/>
      <w:numFmt w:val="bullet"/>
      <w:lvlText w:val="o"/>
      <w:lvlJc w:val="left"/>
      <w:pPr>
        <w:ind w:left="6687" w:hanging="360"/>
      </w:pPr>
      <w:rPr>
        <w:rFonts w:ascii="Courier New" w:hAnsi="Courier New" w:hint="default"/>
      </w:rPr>
    </w:lvl>
    <w:lvl w:ilvl="8" w:tplc="041F0005">
      <w:start w:val="1"/>
      <w:numFmt w:val="bullet"/>
      <w:lvlText w:val=""/>
      <w:lvlJc w:val="left"/>
      <w:pPr>
        <w:ind w:left="7407" w:hanging="360"/>
      </w:pPr>
      <w:rPr>
        <w:rFonts w:ascii="Wingdings" w:hAnsi="Wingdings" w:hint="default"/>
      </w:rPr>
    </w:lvl>
  </w:abstractNum>
  <w:abstractNum w:abstractNumId="1">
    <w:nsid w:val="01EE2BD1"/>
    <w:multiLevelType w:val="hybridMultilevel"/>
    <w:tmpl w:val="6D40BC82"/>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2">
    <w:nsid w:val="03340116"/>
    <w:multiLevelType w:val="hybridMultilevel"/>
    <w:tmpl w:val="CA9C55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67328E8"/>
    <w:multiLevelType w:val="hybridMultilevel"/>
    <w:tmpl w:val="0B62F45C"/>
    <w:lvl w:ilvl="0" w:tplc="64FC804E">
      <w:start w:val="1"/>
      <w:numFmt w:val="arabicAbjad"/>
      <w:lvlText w:val="%1"/>
      <w:lvlJc w:val="left"/>
      <w:pPr>
        <w:ind w:left="1174" w:hanging="360"/>
      </w:pPr>
      <w:rPr>
        <w:rFonts w:cs="Times New Roman" w:hint="default"/>
        <w:sz w:val="2"/>
        <w:szCs w:val="24"/>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4">
    <w:nsid w:val="0CD63083"/>
    <w:multiLevelType w:val="multilevel"/>
    <w:tmpl w:val="041F001D"/>
    <w:styleLink w:val="Stil1"/>
    <w:lvl w:ilvl="0">
      <w:start w:val="1"/>
      <w:numFmt w:val="decimal"/>
      <w:lvlText w:val="%1)"/>
      <w:lvlJc w:val="left"/>
      <w:pPr>
        <w:ind w:left="360" w:hanging="360"/>
      </w:pPr>
      <w:rPr>
        <w:rFonts w:cs="Times New Roman"/>
      </w:rPr>
    </w:lvl>
    <w:lvl w:ilvl="1">
      <w:start w:val="1"/>
      <w:numFmt w:val="arabicAbjad"/>
      <w:lvlText w:val="%2)"/>
      <w:lvlJc w:val="left"/>
      <w:pPr>
        <w:ind w:left="720" w:hanging="360"/>
      </w:pPr>
      <w:rPr>
        <w:rFonts w:cs="Times New Roman"/>
        <w:sz w:val="2"/>
        <w:szCs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576C98"/>
    <w:multiLevelType w:val="hybridMultilevel"/>
    <w:tmpl w:val="95243236"/>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6">
    <w:nsid w:val="13205897"/>
    <w:multiLevelType w:val="hybridMultilevel"/>
    <w:tmpl w:val="C7187CAA"/>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7">
    <w:nsid w:val="196D132C"/>
    <w:multiLevelType w:val="hybridMultilevel"/>
    <w:tmpl w:val="3488AC94"/>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8">
    <w:nsid w:val="1989418C"/>
    <w:multiLevelType w:val="hybridMultilevel"/>
    <w:tmpl w:val="1C705470"/>
    <w:lvl w:ilvl="0" w:tplc="C18ED7A8">
      <w:start w:val="1"/>
      <w:numFmt w:val="arabicAbjad"/>
      <w:lvlText w:val="%1"/>
      <w:lvlJc w:val="left"/>
      <w:pPr>
        <w:ind w:left="720" w:hanging="360"/>
      </w:pPr>
      <w:rPr>
        <w:rFonts w:cs="Times New Roman" w:hint="default"/>
        <w:sz w:val="2"/>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19E06CD6"/>
    <w:multiLevelType w:val="hybridMultilevel"/>
    <w:tmpl w:val="504278E2"/>
    <w:lvl w:ilvl="0" w:tplc="33D6165C">
      <w:start w:val="1"/>
      <w:numFmt w:val="arabicAlpha"/>
      <w:lvlText w:val="%1."/>
      <w:lvlJc w:val="left"/>
      <w:pPr>
        <w:ind w:left="890" w:hanging="360"/>
      </w:pPr>
      <w:rPr>
        <w:rFonts w:cs="Times New Roman" w:hint="default"/>
        <w:sz w:val="2"/>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1BE55D0D"/>
    <w:multiLevelType w:val="hybridMultilevel"/>
    <w:tmpl w:val="F600E050"/>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11">
    <w:nsid w:val="1C965AEA"/>
    <w:multiLevelType w:val="hybridMultilevel"/>
    <w:tmpl w:val="02E20278"/>
    <w:lvl w:ilvl="0" w:tplc="041F000F">
      <w:start w:val="1"/>
      <w:numFmt w:val="decimal"/>
      <w:lvlText w:val="%1."/>
      <w:lvlJc w:val="left"/>
      <w:pPr>
        <w:ind w:left="1250" w:hanging="360"/>
      </w:pPr>
      <w:rPr>
        <w:rFonts w:cs="Times New Roman"/>
      </w:rPr>
    </w:lvl>
    <w:lvl w:ilvl="1" w:tplc="041F0019">
      <w:start w:val="1"/>
      <w:numFmt w:val="lowerLetter"/>
      <w:lvlText w:val="%2."/>
      <w:lvlJc w:val="left"/>
      <w:pPr>
        <w:ind w:left="1970" w:hanging="360"/>
      </w:pPr>
      <w:rPr>
        <w:rFonts w:cs="Times New Roman"/>
      </w:rPr>
    </w:lvl>
    <w:lvl w:ilvl="2" w:tplc="041F001B">
      <w:start w:val="1"/>
      <w:numFmt w:val="lowerRoman"/>
      <w:lvlText w:val="%3."/>
      <w:lvlJc w:val="right"/>
      <w:pPr>
        <w:ind w:left="2690" w:hanging="180"/>
      </w:pPr>
      <w:rPr>
        <w:rFonts w:cs="Times New Roman"/>
      </w:rPr>
    </w:lvl>
    <w:lvl w:ilvl="3" w:tplc="041F000F">
      <w:start w:val="1"/>
      <w:numFmt w:val="decimal"/>
      <w:lvlText w:val="%4."/>
      <w:lvlJc w:val="left"/>
      <w:pPr>
        <w:ind w:left="3410" w:hanging="360"/>
      </w:pPr>
      <w:rPr>
        <w:rFonts w:cs="Times New Roman"/>
      </w:rPr>
    </w:lvl>
    <w:lvl w:ilvl="4" w:tplc="041F0019">
      <w:start w:val="1"/>
      <w:numFmt w:val="lowerLetter"/>
      <w:lvlText w:val="%5."/>
      <w:lvlJc w:val="left"/>
      <w:pPr>
        <w:ind w:left="4130" w:hanging="360"/>
      </w:pPr>
      <w:rPr>
        <w:rFonts w:cs="Times New Roman"/>
      </w:rPr>
    </w:lvl>
    <w:lvl w:ilvl="5" w:tplc="041F001B">
      <w:start w:val="1"/>
      <w:numFmt w:val="lowerRoman"/>
      <w:lvlText w:val="%6."/>
      <w:lvlJc w:val="right"/>
      <w:pPr>
        <w:ind w:left="4850" w:hanging="180"/>
      </w:pPr>
      <w:rPr>
        <w:rFonts w:cs="Times New Roman"/>
      </w:rPr>
    </w:lvl>
    <w:lvl w:ilvl="6" w:tplc="041F000F">
      <w:start w:val="1"/>
      <w:numFmt w:val="decimal"/>
      <w:lvlText w:val="%7."/>
      <w:lvlJc w:val="left"/>
      <w:pPr>
        <w:ind w:left="5570" w:hanging="360"/>
      </w:pPr>
      <w:rPr>
        <w:rFonts w:cs="Times New Roman"/>
      </w:rPr>
    </w:lvl>
    <w:lvl w:ilvl="7" w:tplc="041F0019">
      <w:start w:val="1"/>
      <w:numFmt w:val="lowerLetter"/>
      <w:lvlText w:val="%8."/>
      <w:lvlJc w:val="left"/>
      <w:pPr>
        <w:ind w:left="6290" w:hanging="360"/>
      </w:pPr>
      <w:rPr>
        <w:rFonts w:cs="Times New Roman"/>
      </w:rPr>
    </w:lvl>
    <w:lvl w:ilvl="8" w:tplc="041F001B">
      <w:start w:val="1"/>
      <w:numFmt w:val="lowerRoman"/>
      <w:lvlText w:val="%9."/>
      <w:lvlJc w:val="right"/>
      <w:pPr>
        <w:ind w:left="7010" w:hanging="180"/>
      </w:pPr>
      <w:rPr>
        <w:rFonts w:cs="Times New Roman"/>
      </w:rPr>
    </w:lvl>
  </w:abstractNum>
  <w:abstractNum w:abstractNumId="12">
    <w:nsid w:val="1E810301"/>
    <w:multiLevelType w:val="hybridMultilevel"/>
    <w:tmpl w:val="D86E84D0"/>
    <w:lvl w:ilvl="0" w:tplc="041F000F">
      <w:start w:val="1"/>
      <w:numFmt w:val="decimal"/>
      <w:lvlText w:val="%1."/>
      <w:lvlJc w:val="left"/>
      <w:pPr>
        <w:ind w:left="1250" w:hanging="360"/>
      </w:pPr>
      <w:rPr>
        <w:rFonts w:cs="Times New Roman"/>
      </w:rPr>
    </w:lvl>
    <w:lvl w:ilvl="1" w:tplc="041F0019">
      <w:start w:val="1"/>
      <w:numFmt w:val="lowerLetter"/>
      <w:lvlText w:val="%2."/>
      <w:lvlJc w:val="left"/>
      <w:pPr>
        <w:ind w:left="1970" w:hanging="360"/>
      </w:pPr>
      <w:rPr>
        <w:rFonts w:cs="Times New Roman"/>
      </w:rPr>
    </w:lvl>
    <w:lvl w:ilvl="2" w:tplc="041F001B">
      <w:start w:val="1"/>
      <w:numFmt w:val="lowerRoman"/>
      <w:lvlText w:val="%3."/>
      <w:lvlJc w:val="right"/>
      <w:pPr>
        <w:ind w:left="2690" w:hanging="180"/>
      </w:pPr>
      <w:rPr>
        <w:rFonts w:cs="Times New Roman"/>
      </w:rPr>
    </w:lvl>
    <w:lvl w:ilvl="3" w:tplc="041F000F">
      <w:start w:val="1"/>
      <w:numFmt w:val="decimal"/>
      <w:lvlText w:val="%4."/>
      <w:lvlJc w:val="left"/>
      <w:pPr>
        <w:ind w:left="3410" w:hanging="360"/>
      </w:pPr>
      <w:rPr>
        <w:rFonts w:cs="Times New Roman"/>
      </w:rPr>
    </w:lvl>
    <w:lvl w:ilvl="4" w:tplc="041F0019">
      <w:start w:val="1"/>
      <w:numFmt w:val="lowerLetter"/>
      <w:lvlText w:val="%5."/>
      <w:lvlJc w:val="left"/>
      <w:pPr>
        <w:ind w:left="4130" w:hanging="360"/>
      </w:pPr>
      <w:rPr>
        <w:rFonts w:cs="Times New Roman"/>
      </w:rPr>
    </w:lvl>
    <w:lvl w:ilvl="5" w:tplc="041F001B">
      <w:start w:val="1"/>
      <w:numFmt w:val="lowerRoman"/>
      <w:lvlText w:val="%6."/>
      <w:lvlJc w:val="right"/>
      <w:pPr>
        <w:ind w:left="4850" w:hanging="180"/>
      </w:pPr>
      <w:rPr>
        <w:rFonts w:cs="Times New Roman"/>
      </w:rPr>
    </w:lvl>
    <w:lvl w:ilvl="6" w:tplc="041F000F">
      <w:start w:val="1"/>
      <w:numFmt w:val="decimal"/>
      <w:lvlText w:val="%7."/>
      <w:lvlJc w:val="left"/>
      <w:pPr>
        <w:ind w:left="5570" w:hanging="360"/>
      </w:pPr>
      <w:rPr>
        <w:rFonts w:cs="Times New Roman"/>
      </w:rPr>
    </w:lvl>
    <w:lvl w:ilvl="7" w:tplc="041F0019">
      <w:start w:val="1"/>
      <w:numFmt w:val="lowerLetter"/>
      <w:lvlText w:val="%8."/>
      <w:lvlJc w:val="left"/>
      <w:pPr>
        <w:ind w:left="6290" w:hanging="360"/>
      </w:pPr>
      <w:rPr>
        <w:rFonts w:cs="Times New Roman"/>
      </w:rPr>
    </w:lvl>
    <w:lvl w:ilvl="8" w:tplc="041F001B">
      <w:start w:val="1"/>
      <w:numFmt w:val="lowerRoman"/>
      <w:lvlText w:val="%9."/>
      <w:lvlJc w:val="right"/>
      <w:pPr>
        <w:ind w:left="7010" w:hanging="180"/>
      </w:pPr>
      <w:rPr>
        <w:rFonts w:cs="Times New Roman"/>
      </w:rPr>
    </w:lvl>
  </w:abstractNum>
  <w:abstractNum w:abstractNumId="13">
    <w:nsid w:val="1ED21438"/>
    <w:multiLevelType w:val="hybridMultilevel"/>
    <w:tmpl w:val="DD244B7A"/>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14">
    <w:nsid w:val="223046D8"/>
    <w:multiLevelType w:val="hybridMultilevel"/>
    <w:tmpl w:val="38103D42"/>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15">
    <w:nsid w:val="22EE2D97"/>
    <w:multiLevelType w:val="multilevel"/>
    <w:tmpl w:val="041F001D"/>
    <w:numStyleLink w:val="Stil1"/>
  </w:abstractNum>
  <w:abstractNum w:abstractNumId="16">
    <w:nsid w:val="268461EA"/>
    <w:multiLevelType w:val="hybridMultilevel"/>
    <w:tmpl w:val="54D61FC4"/>
    <w:lvl w:ilvl="0" w:tplc="EF88D00C">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17">
    <w:nsid w:val="27731C1E"/>
    <w:multiLevelType w:val="hybridMultilevel"/>
    <w:tmpl w:val="32B0E984"/>
    <w:lvl w:ilvl="0" w:tplc="64FC804E">
      <w:start w:val="1"/>
      <w:numFmt w:val="arabicAbjad"/>
      <w:lvlText w:val="%1"/>
      <w:lvlJc w:val="left"/>
      <w:pPr>
        <w:ind w:left="1174" w:hanging="360"/>
      </w:pPr>
      <w:rPr>
        <w:rFonts w:cs="Times New Roman" w:hint="default"/>
        <w:sz w:val="2"/>
        <w:szCs w:val="24"/>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18">
    <w:nsid w:val="286744B5"/>
    <w:multiLevelType w:val="hybridMultilevel"/>
    <w:tmpl w:val="A81EFF7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29073648"/>
    <w:multiLevelType w:val="hybridMultilevel"/>
    <w:tmpl w:val="2CC60C4C"/>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20">
    <w:nsid w:val="33EB795F"/>
    <w:multiLevelType w:val="hybridMultilevel"/>
    <w:tmpl w:val="E83603EA"/>
    <w:lvl w:ilvl="0" w:tplc="8EE8E012">
      <w:start w:val="1"/>
      <w:numFmt w:val="arabicAbjad"/>
      <w:lvlText w:val="%1"/>
      <w:lvlJc w:val="left"/>
      <w:pPr>
        <w:ind w:left="890" w:hanging="360"/>
      </w:pPr>
      <w:rPr>
        <w:rFonts w:cs="Times New Roman" w:hint="default"/>
        <w:b/>
        <w:bCs/>
        <w:sz w:val="2"/>
        <w:szCs w:val="24"/>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21">
    <w:nsid w:val="36BA36D0"/>
    <w:multiLevelType w:val="hybridMultilevel"/>
    <w:tmpl w:val="33887314"/>
    <w:lvl w:ilvl="0" w:tplc="C6AEB356">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hint="default"/>
      </w:rPr>
    </w:lvl>
    <w:lvl w:ilvl="8" w:tplc="041F0005">
      <w:start w:val="1"/>
      <w:numFmt w:val="bullet"/>
      <w:lvlText w:val=""/>
      <w:lvlJc w:val="left"/>
      <w:pPr>
        <w:ind w:left="7536" w:hanging="360"/>
      </w:pPr>
      <w:rPr>
        <w:rFonts w:ascii="Wingdings" w:hAnsi="Wingdings" w:hint="default"/>
      </w:rPr>
    </w:lvl>
  </w:abstractNum>
  <w:abstractNum w:abstractNumId="22">
    <w:nsid w:val="371D1984"/>
    <w:multiLevelType w:val="hybridMultilevel"/>
    <w:tmpl w:val="E5F81490"/>
    <w:lvl w:ilvl="0" w:tplc="414A3EF0">
      <w:start w:val="1"/>
      <w:numFmt w:val="arabicAbjad"/>
      <w:lvlText w:val="%1"/>
      <w:lvlJc w:val="left"/>
      <w:pPr>
        <w:ind w:left="1174" w:hanging="360"/>
      </w:pPr>
      <w:rPr>
        <w:rFonts w:cs="Times New Roman" w:hint="default"/>
        <w:b/>
        <w:bCs/>
        <w:sz w:val="2"/>
        <w:szCs w:val="24"/>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23">
    <w:nsid w:val="3BBE39F2"/>
    <w:multiLevelType w:val="hybridMultilevel"/>
    <w:tmpl w:val="0BA87FD2"/>
    <w:lvl w:ilvl="0" w:tplc="07685FBE">
      <w:start w:val="1"/>
      <w:numFmt w:val="arabicAbjad"/>
      <w:lvlText w:val="%1"/>
      <w:lvlJc w:val="left"/>
      <w:pPr>
        <w:ind w:left="1287" w:hanging="360"/>
      </w:pPr>
      <w:rPr>
        <w:rFonts w:cs="Times New Roman" w:hint="default"/>
        <w:sz w:val="2"/>
        <w:szCs w:val="24"/>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24">
    <w:nsid w:val="44D55BC1"/>
    <w:multiLevelType w:val="hybridMultilevel"/>
    <w:tmpl w:val="C8C82C4A"/>
    <w:lvl w:ilvl="0" w:tplc="041F000F">
      <w:start w:val="1"/>
      <w:numFmt w:val="decimal"/>
      <w:lvlText w:val="%1."/>
      <w:lvlJc w:val="left"/>
      <w:pPr>
        <w:ind w:left="1080" w:hanging="360"/>
      </w:pPr>
      <w:rPr>
        <w:rFonts w:cs="Times New Roman" w:hint="default"/>
        <w:b/>
        <w:bCs/>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25">
    <w:nsid w:val="45C60D3A"/>
    <w:multiLevelType w:val="hybridMultilevel"/>
    <w:tmpl w:val="C7B2A306"/>
    <w:lvl w:ilvl="0" w:tplc="747E62DA">
      <w:start w:val="1"/>
      <w:numFmt w:val="bullet"/>
      <w:pStyle w:val="a"/>
      <w:lvlText w:val=""/>
      <w:lvlJc w:val="left"/>
      <w:pPr>
        <w:ind w:left="890" w:hanging="360"/>
      </w:pPr>
      <w:rPr>
        <w:rFonts w:ascii="Symbol" w:hAnsi="Symbol" w:hint="default"/>
        <w:b w:val="0"/>
        <w:i w:val="0"/>
        <w:caps w:val="0"/>
        <w:smallCaps w:val="0"/>
        <w:strike w:val="0"/>
        <w:dstrike w:val="0"/>
        <w:outline w:val="0"/>
        <w:shadow w:val="0"/>
        <w:emboss w:val="0"/>
        <w:imprint w:val="0"/>
        <w:snapToGrid w:val="0"/>
        <w:vanish w:val="0"/>
        <w:color w:val="000000"/>
        <w:spacing w:val="0"/>
        <w:w w:val="0"/>
        <w:kern w:val="0"/>
        <w:position w:val="0"/>
        <w:sz w:val="2"/>
        <w:u w:val="none"/>
        <w:effect w:val="none"/>
        <w:vertAlign w:val="baseline"/>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26">
    <w:nsid w:val="463C1D85"/>
    <w:multiLevelType w:val="hybridMultilevel"/>
    <w:tmpl w:val="2B1C3414"/>
    <w:lvl w:ilvl="0" w:tplc="C6AEB35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4AAD2460"/>
    <w:multiLevelType w:val="hybridMultilevel"/>
    <w:tmpl w:val="E5687CF8"/>
    <w:lvl w:ilvl="0" w:tplc="D28CBD80">
      <w:start w:val="1"/>
      <w:numFmt w:val="bullet"/>
      <w:lvlText w:val=""/>
      <w:lvlJc w:val="left"/>
      <w:pPr>
        <w:ind w:left="890" w:hanging="360"/>
      </w:pPr>
      <w:rPr>
        <w:rFonts w:ascii="Symbol" w:hAnsi="Symbol" w:hint="default"/>
        <w:sz w:val="36"/>
      </w:rPr>
    </w:lvl>
    <w:lvl w:ilvl="1" w:tplc="041F0003">
      <w:start w:val="1"/>
      <w:numFmt w:val="bullet"/>
      <w:lvlText w:val="o"/>
      <w:lvlJc w:val="left"/>
      <w:pPr>
        <w:ind w:left="1610" w:hanging="360"/>
      </w:pPr>
      <w:rPr>
        <w:rFonts w:ascii="Courier New" w:hAnsi="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hint="default"/>
      </w:rPr>
    </w:lvl>
    <w:lvl w:ilvl="8" w:tplc="041F0005">
      <w:start w:val="1"/>
      <w:numFmt w:val="bullet"/>
      <w:lvlText w:val=""/>
      <w:lvlJc w:val="left"/>
      <w:pPr>
        <w:ind w:left="6650" w:hanging="360"/>
      </w:pPr>
      <w:rPr>
        <w:rFonts w:ascii="Wingdings" w:hAnsi="Wingdings" w:hint="default"/>
      </w:rPr>
    </w:lvl>
  </w:abstractNum>
  <w:abstractNum w:abstractNumId="28">
    <w:nsid w:val="4B9008E9"/>
    <w:multiLevelType w:val="multilevel"/>
    <w:tmpl w:val="041F001D"/>
    <w:numStyleLink w:val="Stil1"/>
  </w:abstractNum>
  <w:abstractNum w:abstractNumId="29">
    <w:nsid w:val="4C90725F"/>
    <w:multiLevelType w:val="hybridMultilevel"/>
    <w:tmpl w:val="CF8CDF0A"/>
    <w:lvl w:ilvl="0" w:tplc="C6AEB356">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hint="default"/>
      </w:rPr>
    </w:lvl>
    <w:lvl w:ilvl="8" w:tplc="041F0005">
      <w:start w:val="1"/>
      <w:numFmt w:val="bullet"/>
      <w:lvlText w:val=""/>
      <w:lvlJc w:val="left"/>
      <w:pPr>
        <w:ind w:left="7047" w:hanging="360"/>
      </w:pPr>
      <w:rPr>
        <w:rFonts w:ascii="Wingdings" w:hAnsi="Wingdings" w:hint="default"/>
      </w:rPr>
    </w:lvl>
  </w:abstractNum>
  <w:abstractNum w:abstractNumId="30">
    <w:nsid w:val="565F4735"/>
    <w:multiLevelType w:val="hybridMultilevel"/>
    <w:tmpl w:val="23F6FE20"/>
    <w:lvl w:ilvl="0" w:tplc="64FC804E">
      <w:start w:val="1"/>
      <w:numFmt w:val="arabicAbjad"/>
      <w:lvlText w:val="%1"/>
      <w:lvlJc w:val="left"/>
      <w:pPr>
        <w:ind w:left="1174" w:hanging="360"/>
      </w:pPr>
      <w:rPr>
        <w:rFonts w:cs="Times New Roman" w:hint="default"/>
        <w:sz w:val="2"/>
        <w:szCs w:val="24"/>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31">
    <w:nsid w:val="5B203457"/>
    <w:multiLevelType w:val="hybridMultilevel"/>
    <w:tmpl w:val="4CB403E0"/>
    <w:lvl w:ilvl="0" w:tplc="041F000F">
      <w:start w:val="1"/>
      <w:numFmt w:val="decimal"/>
      <w:lvlText w:val="%1."/>
      <w:lvlJc w:val="left"/>
      <w:pPr>
        <w:ind w:left="890" w:hanging="360"/>
      </w:pPr>
      <w:rPr>
        <w:rFonts w:cs="Times New Roman"/>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32">
    <w:nsid w:val="5C951D46"/>
    <w:multiLevelType w:val="hybridMultilevel"/>
    <w:tmpl w:val="8794B056"/>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3">
    <w:nsid w:val="5E94258C"/>
    <w:multiLevelType w:val="hybridMultilevel"/>
    <w:tmpl w:val="B2D2932C"/>
    <w:lvl w:ilvl="0" w:tplc="69ECF40A">
      <w:start w:val="1"/>
      <w:numFmt w:val="bullet"/>
      <w:pStyle w:val="Subtitle"/>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hint="default"/>
      </w:rPr>
    </w:lvl>
    <w:lvl w:ilvl="8" w:tplc="041F0005">
      <w:start w:val="1"/>
      <w:numFmt w:val="bullet"/>
      <w:lvlText w:val=""/>
      <w:lvlJc w:val="left"/>
      <w:pPr>
        <w:ind w:left="6764" w:hanging="360"/>
      </w:pPr>
      <w:rPr>
        <w:rFonts w:ascii="Wingdings" w:hAnsi="Wingdings" w:hint="default"/>
      </w:rPr>
    </w:lvl>
  </w:abstractNum>
  <w:abstractNum w:abstractNumId="34">
    <w:nsid w:val="689D22BF"/>
    <w:multiLevelType w:val="hybridMultilevel"/>
    <w:tmpl w:val="73AAB978"/>
    <w:lvl w:ilvl="0" w:tplc="64FC804E">
      <w:start w:val="1"/>
      <w:numFmt w:val="arabicAbjad"/>
      <w:lvlText w:val="%1"/>
      <w:lvlJc w:val="left"/>
      <w:pPr>
        <w:ind w:left="890" w:hanging="360"/>
      </w:pPr>
      <w:rPr>
        <w:rFonts w:cs="Times New Roman" w:hint="default"/>
        <w:sz w:val="2"/>
        <w:szCs w:val="24"/>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35">
    <w:nsid w:val="6F6F4202"/>
    <w:multiLevelType w:val="hybridMultilevel"/>
    <w:tmpl w:val="8FDC78D6"/>
    <w:lvl w:ilvl="0" w:tplc="D1D8CF84">
      <w:start w:val="1"/>
      <w:numFmt w:val="decimal"/>
      <w:lvlText w:val="%1-"/>
      <w:lvlJc w:val="left"/>
      <w:pPr>
        <w:ind w:left="814" w:hanging="360"/>
      </w:pPr>
      <w:rPr>
        <w:rFonts w:cs="Times New Roman" w:hint="default"/>
      </w:rPr>
    </w:lvl>
    <w:lvl w:ilvl="1" w:tplc="041F0019">
      <w:start w:val="1"/>
      <w:numFmt w:val="lowerLetter"/>
      <w:lvlText w:val="%2."/>
      <w:lvlJc w:val="left"/>
      <w:pPr>
        <w:ind w:left="1534" w:hanging="360"/>
      </w:pPr>
      <w:rPr>
        <w:rFonts w:cs="Times New Roman"/>
      </w:rPr>
    </w:lvl>
    <w:lvl w:ilvl="2" w:tplc="041F001B">
      <w:start w:val="1"/>
      <w:numFmt w:val="lowerRoman"/>
      <w:lvlText w:val="%3."/>
      <w:lvlJc w:val="right"/>
      <w:pPr>
        <w:ind w:left="2254" w:hanging="180"/>
      </w:pPr>
      <w:rPr>
        <w:rFonts w:cs="Times New Roman"/>
      </w:rPr>
    </w:lvl>
    <w:lvl w:ilvl="3" w:tplc="041F000F">
      <w:start w:val="1"/>
      <w:numFmt w:val="decimal"/>
      <w:lvlText w:val="%4."/>
      <w:lvlJc w:val="left"/>
      <w:pPr>
        <w:ind w:left="2974" w:hanging="360"/>
      </w:pPr>
      <w:rPr>
        <w:rFonts w:cs="Times New Roman"/>
      </w:rPr>
    </w:lvl>
    <w:lvl w:ilvl="4" w:tplc="041F0019">
      <w:start w:val="1"/>
      <w:numFmt w:val="lowerLetter"/>
      <w:lvlText w:val="%5."/>
      <w:lvlJc w:val="left"/>
      <w:pPr>
        <w:ind w:left="3694" w:hanging="360"/>
      </w:pPr>
      <w:rPr>
        <w:rFonts w:cs="Times New Roman"/>
      </w:rPr>
    </w:lvl>
    <w:lvl w:ilvl="5" w:tplc="041F001B">
      <w:start w:val="1"/>
      <w:numFmt w:val="lowerRoman"/>
      <w:lvlText w:val="%6."/>
      <w:lvlJc w:val="right"/>
      <w:pPr>
        <w:ind w:left="4414" w:hanging="180"/>
      </w:pPr>
      <w:rPr>
        <w:rFonts w:cs="Times New Roman"/>
      </w:rPr>
    </w:lvl>
    <w:lvl w:ilvl="6" w:tplc="041F000F">
      <w:start w:val="1"/>
      <w:numFmt w:val="decimal"/>
      <w:lvlText w:val="%7."/>
      <w:lvlJc w:val="left"/>
      <w:pPr>
        <w:ind w:left="5134" w:hanging="360"/>
      </w:pPr>
      <w:rPr>
        <w:rFonts w:cs="Times New Roman"/>
      </w:rPr>
    </w:lvl>
    <w:lvl w:ilvl="7" w:tplc="041F0019">
      <w:start w:val="1"/>
      <w:numFmt w:val="lowerLetter"/>
      <w:lvlText w:val="%8."/>
      <w:lvlJc w:val="left"/>
      <w:pPr>
        <w:ind w:left="5854" w:hanging="360"/>
      </w:pPr>
      <w:rPr>
        <w:rFonts w:cs="Times New Roman"/>
      </w:rPr>
    </w:lvl>
    <w:lvl w:ilvl="8" w:tplc="041F001B">
      <w:start w:val="1"/>
      <w:numFmt w:val="lowerRoman"/>
      <w:lvlText w:val="%9."/>
      <w:lvlJc w:val="right"/>
      <w:pPr>
        <w:ind w:left="6574" w:hanging="180"/>
      </w:pPr>
      <w:rPr>
        <w:rFonts w:cs="Times New Roman"/>
      </w:rPr>
    </w:lvl>
  </w:abstractNum>
  <w:abstractNum w:abstractNumId="36">
    <w:nsid w:val="703A3733"/>
    <w:multiLevelType w:val="hybridMultilevel"/>
    <w:tmpl w:val="C7128F14"/>
    <w:lvl w:ilvl="0" w:tplc="041F000F">
      <w:start w:val="1"/>
      <w:numFmt w:val="decimal"/>
      <w:lvlText w:val="%1."/>
      <w:lvlJc w:val="left"/>
      <w:pPr>
        <w:ind w:left="1250" w:hanging="360"/>
      </w:pPr>
      <w:rPr>
        <w:rFonts w:cs="Times New Roman"/>
      </w:rPr>
    </w:lvl>
    <w:lvl w:ilvl="1" w:tplc="041F0019">
      <w:start w:val="1"/>
      <w:numFmt w:val="lowerLetter"/>
      <w:lvlText w:val="%2."/>
      <w:lvlJc w:val="left"/>
      <w:pPr>
        <w:ind w:left="1970" w:hanging="360"/>
      </w:pPr>
      <w:rPr>
        <w:rFonts w:cs="Times New Roman"/>
      </w:rPr>
    </w:lvl>
    <w:lvl w:ilvl="2" w:tplc="041F001B">
      <w:start w:val="1"/>
      <w:numFmt w:val="lowerRoman"/>
      <w:lvlText w:val="%3."/>
      <w:lvlJc w:val="right"/>
      <w:pPr>
        <w:ind w:left="2690" w:hanging="180"/>
      </w:pPr>
      <w:rPr>
        <w:rFonts w:cs="Times New Roman"/>
      </w:rPr>
    </w:lvl>
    <w:lvl w:ilvl="3" w:tplc="041F000F">
      <w:start w:val="1"/>
      <w:numFmt w:val="decimal"/>
      <w:lvlText w:val="%4."/>
      <w:lvlJc w:val="left"/>
      <w:pPr>
        <w:ind w:left="3410" w:hanging="360"/>
      </w:pPr>
      <w:rPr>
        <w:rFonts w:cs="Times New Roman"/>
      </w:rPr>
    </w:lvl>
    <w:lvl w:ilvl="4" w:tplc="041F0019">
      <w:start w:val="1"/>
      <w:numFmt w:val="lowerLetter"/>
      <w:lvlText w:val="%5."/>
      <w:lvlJc w:val="left"/>
      <w:pPr>
        <w:ind w:left="4130" w:hanging="360"/>
      </w:pPr>
      <w:rPr>
        <w:rFonts w:cs="Times New Roman"/>
      </w:rPr>
    </w:lvl>
    <w:lvl w:ilvl="5" w:tplc="041F001B">
      <w:start w:val="1"/>
      <w:numFmt w:val="lowerRoman"/>
      <w:lvlText w:val="%6."/>
      <w:lvlJc w:val="right"/>
      <w:pPr>
        <w:ind w:left="4850" w:hanging="180"/>
      </w:pPr>
      <w:rPr>
        <w:rFonts w:cs="Times New Roman"/>
      </w:rPr>
    </w:lvl>
    <w:lvl w:ilvl="6" w:tplc="041F000F">
      <w:start w:val="1"/>
      <w:numFmt w:val="decimal"/>
      <w:lvlText w:val="%7."/>
      <w:lvlJc w:val="left"/>
      <w:pPr>
        <w:ind w:left="5570" w:hanging="360"/>
      </w:pPr>
      <w:rPr>
        <w:rFonts w:cs="Times New Roman"/>
      </w:rPr>
    </w:lvl>
    <w:lvl w:ilvl="7" w:tplc="041F0019">
      <w:start w:val="1"/>
      <w:numFmt w:val="lowerLetter"/>
      <w:lvlText w:val="%8."/>
      <w:lvlJc w:val="left"/>
      <w:pPr>
        <w:ind w:left="6290" w:hanging="360"/>
      </w:pPr>
      <w:rPr>
        <w:rFonts w:cs="Times New Roman"/>
      </w:rPr>
    </w:lvl>
    <w:lvl w:ilvl="8" w:tplc="041F001B">
      <w:start w:val="1"/>
      <w:numFmt w:val="lowerRoman"/>
      <w:lvlText w:val="%9."/>
      <w:lvlJc w:val="right"/>
      <w:pPr>
        <w:ind w:left="7010" w:hanging="180"/>
      </w:pPr>
      <w:rPr>
        <w:rFonts w:cs="Times New Roman"/>
      </w:rPr>
    </w:lvl>
  </w:abstractNum>
  <w:abstractNum w:abstractNumId="37">
    <w:nsid w:val="729E735D"/>
    <w:multiLevelType w:val="hybridMultilevel"/>
    <w:tmpl w:val="ECF6307E"/>
    <w:lvl w:ilvl="0" w:tplc="041F000F">
      <w:start w:val="1"/>
      <w:numFmt w:val="decimal"/>
      <w:lvlText w:val="%1."/>
      <w:lvlJc w:val="left"/>
      <w:pPr>
        <w:ind w:left="1610" w:hanging="360"/>
      </w:pPr>
      <w:rPr>
        <w:rFonts w:cs="Times New Roman"/>
      </w:rPr>
    </w:lvl>
    <w:lvl w:ilvl="1" w:tplc="041F0019">
      <w:start w:val="1"/>
      <w:numFmt w:val="lowerLetter"/>
      <w:lvlText w:val="%2."/>
      <w:lvlJc w:val="left"/>
      <w:pPr>
        <w:ind w:left="2330" w:hanging="360"/>
      </w:pPr>
      <w:rPr>
        <w:rFonts w:cs="Times New Roman"/>
      </w:rPr>
    </w:lvl>
    <w:lvl w:ilvl="2" w:tplc="041F001B">
      <w:start w:val="1"/>
      <w:numFmt w:val="lowerRoman"/>
      <w:lvlText w:val="%3."/>
      <w:lvlJc w:val="right"/>
      <w:pPr>
        <w:ind w:left="3050" w:hanging="180"/>
      </w:pPr>
      <w:rPr>
        <w:rFonts w:cs="Times New Roman"/>
      </w:rPr>
    </w:lvl>
    <w:lvl w:ilvl="3" w:tplc="041F000F">
      <w:start w:val="1"/>
      <w:numFmt w:val="decimal"/>
      <w:lvlText w:val="%4."/>
      <w:lvlJc w:val="left"/>
      <w:pPr>
        <w:ind w:left="3770" w:hanging="360"/>
      </w:pPr>
      <w:rPr>
        <w:rFonts w:cs="Times New Roman"/>
      </w:rPr>
    </w:lvl>
    <w:lvl w:ilvl="4" w:tplc="041F0019">
      <w:start w:val="1"/>
      <w:numFmt w:val="lowerLetter"/>
      <w:lvlText w:val="%5."/>
      <w:lvlJc w:val="left"/>
      <w:pPr>
        <w:ind w:left="4490" w:hanging="360"/>
      </w:pPr>
      <w:rPr>
        <w:rFonts w:cs="Times New Roman"/>
      </w:rPr>
    </w:lvl>
    <w:lvl w:ilvl="5" w:tplc="041F001B">
      <w:start w:val="1"/>
      <w:numFmt w:val="lowerRoman"/>
      <w:lvlText w:val="%6."/>
      <w:lvlJc w:val="right"/>
      <w:pPr>
        <w:ind w:left="5210" w:hanging="180"/>
      </w:pPr>
      <w:rPr>
        <w:rFonts w:cs="Times New Roman"/>
      </w:rPr>
    </w:lvl>
    <w:lvl w:ilvl="6" w:tplc="041F000F">
      <w:start w:val="1"/>
      <w:numFmt w:val="decimal"/>
      <w:lvlText w:val="%7."/>
      <w:lvlJc w:val="left"/>
      <w:pPr>
        <w:ind w:left="5930" w:hanging="360"/>
      </w:pPr>
      <w:rPr>
        <w:rFonts w:cs="Times New Roman"/>
      </w:rPr>
    </w:lvl>
    <w:lvl w:ilvl="7" w:tplc="041F0019">
      <w:start w:val="1"/>
      <w:numFmt w:val="lowerLetter"/>
      <w:lvlText w:val="%8."/>
      <w:lvlJc w:val="left"/>
      <w:pPr>
        <w:ind w:left="6650" w:hanging="360"/>
      </w:pPr>
      <w:rPr>
        <w:rFonts w:cs="Times New Roman"/>
      </w:rPr>
    </w:lvl>
    <w:lvl w:ilvl="8" w:tplc="041F001B">
      <w:start w:val="1"/>
      <w:numFmt w:val="lowerRoman"/>
      <w:lvlText w:val="%9."/>
      <w:lvlJc w:val="right"/>
      <w:pPr>
        <w:ind w:left="7370" w:hanging="180"/>
      </w:pPr>
      <w:rPr>
        <w:rFonts w:cs="Times New Roman"/>
      </w:rPr>
    </w:lvl>
  </w:abstractNum>
  <w:abstractNum w:abstractNumId="38">
    <w:nsid w:val="730E22F3"/>
    <w:multiLevelType w:val="hybridMultilevel"/>
    <w:tmpl w:val="FF1448BE"/>
    <w:lvl w:ilvl="0" w:tplc="F92A69D8">
      <w:start w:val="1"/>
      <w:numFmt w:val="arabicAbjad"/>
      <w:lvlText w:val="%1"/>
      <w:lvlJc w:val="left"/>
      <w:pPr>
        <w:ind w:left="1174" w:hanging="360"/>
      </w:pPr>
      <w:rPr>
        <w:rFonts w:cs="Times New Roman" w:hint="default"/>
        <w:b/>
        <w:bCs/>
        <w:sz w:val="2"/>
        <w:szCs w:val="24"/>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39">
    <w:nsid w:val="75F33A9D"/>
    <w:multiLevelType w:val="hybridMultilevel"/>
    <w:tmpl w:val="8836F3A2"/>
    <w:lvl w:ilvl="0" w:tplc="041F000F">
      <w:start w:val="1"/>
      <w:numFmt w:val="decimal"/>
      <w:lvlText w:val="%1."/>
      <w:lvlJc w:val="left"/>
      <w:pPr>
        <w:ind w:left="720" w:hanging="360"/>
      </w:pPr>
      <w:rPr>
        <w:rFonts w:cs="Times New Roman"/>
      </w:rPr>
    </w:lvl>
    <w:lvl w:ilvl="1" w:tplc="8A9604FE">
      <w:start w:val="1"/>
      <w:numFmt w:val="decimal"/>
      <w:lvlText w:val="%2."/>
      <w:lvlJc w:val="left"/>
      <w:pPr>
        <w:ind w:left="1440" w:hanging="360"/>
      </w:pPr>
      <w:rPr>
        <w:rFonts w:cs="Times New Roman"/>
        <w:b/>
        <w:bCs/>
      </w:rPr>
    </w:lvl>
    <w:lvl w:ilvl="2" w:tplc="34306E12">
      <w:start w:val="1"/>
      <w:numFmt w:val="arabicAlpha"/>
      <w:lvlText w:val="%3."/>
      <w:lvlJc w:val="left"/>
      <w:pPr>
        <w:ind w:left="2160" w:hanging="180"/>
      </w:pPr>
      <w:rPr>
        <w:rFonts w:cs="Times New Roman"/>
        <w:b/>
        <w:bCs/>
        <w:sz w:val="2"/>
        <w:szCs w:val="24"/>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nsid w:val="7841210A"/>
    <w:multiLevelType w:val="hybridMultilevel"/>
    <w:tmpl w:val="5128EE7A"/>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41">
    <w:nsid w:val="7D1D280F"/>
    <w:multiLevelType w:val="hybridMultilevel"/>
    <w:tmpl w:val="306C14FA"/>
    <w:lvl w:ilvl="0" w:tplc="112C1C08">
      <w:start w:val="1"/>
      <w:numFmt w:val="arabicAbjad"/>
      <w:lvlText w:val="%1"/>
      <w:lvlJc w:val="left"/>
      <w:pPr>
        <w:ind w:left="1174" w:hanging="360"/>
      </w:pPr>
      <w:rPr>
        <w:rFonts w:cs="Times New Roman" w:hint="default"/>
        <w:b/>
        <w:bCs/>
        <w:sz w:val="2"/>
        <w:szCs w:val="24"/>
        <w:vertAlign w:val="baseline"/>
      </w:rPr>
    </w:lvl>
    <w:lvl w:ilvl="1" w:tplc="041F0019">
      <w:start w:val="1"/>
      <w:numFmt w:val="lowerLetter"/>
      <w:lvlText w:val="%2."/>
      <w:lvlJc w:val="left"/>
      <w:pPr>
        <w:ind w:left="1894" w:hanging="360"/>
      </w:pPr>
      <w:rPr>
        <w:rFonts w:cs="Times New Roman"/>
      </w:rPr>
    </w:lvl>
    <w:lvl w:ilvl="2" w:tplc="041F001B">
      <w:start w:val="1"/>
      <w:numFmt w:val="lowerRoman"/>
      <w:lvlText w:val="%3."/>
      <w:lvlJc w:val="right"/>
      <w:pPr>
        <w:ind w:left="2614" w:hanging="180"/>
      </w:pPr>
      <w:rPr>
        <w:rFonts w:cs="Times New Roman"/>
      </w:rPr>
    </w:lvl>
    <w:lvl w:ilvl="3" w:tplc="041F000F">
      <w:start w:val="1"/>
      <w:numFmt w:val="decimal"/>
      <w:lvlText w:val="%4."/>
      <w:lvlJc w:val="left"/>
      <w:pPr>
        <w:ind w:left="3334" w:hanging="360"/>
      </w:pPr>
      <w:rPr>
        <w:rFonts w:cs="Times New Roman"/>
      </w:rPr>
    </w:lvl>
    <w:lvl w:ilvl="4" w:tplc="041F0019">
      <w:start w:val="1"/>
      <w:numFmt w:val="lowerLetter"/>
      <w:lvlText w:val="%5."/>
      <w:lvlJc w:val="left"/>
      <w:pPr>
        <w:ind w:left="4054" w:hanging="360"/>
      </w:pPr>
      <w:rPr>
        <w:rFonts w:cs="Times New Roman"/>
      </w:rPr>
    </w:lvl>
    <w:lvl w:ilvl="5" w:tplc="041F001B">
      <w:start w:val="1"/>
      <w:numFmt w:val="lowerRoman"/>
      <w:lvlText w:val="%6."/>
      <w:lvlJc w:val="right"/>
      <w:pPr>
        <w:ind w:left="4774" w:hanging="180"/>
      </w:pPr>
      <w:rPr>
        <w:rFonts w:cs="Times New Roman"/>
      </w:rPr>
    </w:lvl>
    <w:lvl w:ilvl="6" w:tplc="041F000F">
      <w:start w:val="1"/>
      <w:numFmt w:val="decimal"/>
      <w:lvlText w:val="%7."/>
      <w:lvlJc w:val="left"/>
      <w:pPr>
        <w:ind w:left="5494" w:hanging="360"/>
      </w:pPr>
      <w:rPr>
        <w:rFonts w:cs="Times New Roman"/>
      </w:rPr>
    </w:lvl>
    <w:lvl w:ilvl="7" w:tplc="041F0019">
      <w:start w:val="1"/>
      <w:numFmt w:val="lowerLetter"/>
      <w:lvlText w:val="%8."/>
      <w:lvlJc w:val="left"/>
      <w:pPr>
        <w:ind w:left="6214" w:hanging="360"/>
      </w:pPr>
      <w:rPr>
        <w:rFonts w:cs="Times New Roman"/>
      </w:rPr>
    </w:lvl>
    <w:lvl w:ilvl="8" w:tplc="041F001B">
      <w:start w:val="1"/>
      <w:numFmt w:val="lowerRoman"/>
      <w:lvlText w:val="%9."/>
      <w:lvlJc w:val="right"/>
      <w:pPr>
        <w:ind w:left="6934" w:hanging="180"/>
      </w:pPr>
      <w:rPr>
        <w:rFonts w:cs="Times New Roman"/>
      </w:rPr>
    </w:lvl>
  </w:abstractNum>
  <w:abstractNum w:abstractNumId="42">
    <w:nsid w:val="7DCC5907"/>
    <w:multiLevelType w:val="hybridMultilevel"/>
    <w:tmpl w:val="8D0C7378"/>
    <w:lvl w:ilvl="0" w:tplc="52C83632">
      <w:start w:val="1"/>
      <w:numFmt w:val="arabicAbjad"/>
      <w:lvlText w:val="%1"/>
      <w:lvlJc w:val="left"/>
      <w:pPr>
        <w:ind w:left="890" w:hanging="360"/>
      </w:pPr>
      <w:rPr>
        <w:rFonts w:cs="Times New Roman" w:hint="default"/>
        <w:b/>
        <w:bCs/>
        <w:sz w:val="2"/>
        <w:szCs w:val="24"/>
      </w:rPr>
    </w:lvl>
    <w:lvl w:ilvl="1" w:tplc="041F0019">
      <w:start w:val="1"/>
      <w:numFmt w:val="lowerLetter"/>
      <w:lvlText w:val="%2."/>
      <w:lvlJc w:val="left"/>
      <w:pPr>
        <w:ind w:left="1610" w:hanging="360"/>
      </w:pPr>
      <w:rPr>
        <w:rFonts w:cs="Times New Roman"/>
      </w:rPr>
    </w:lvl>
    <w:lvl w:ilvl="2" w:tplc="041F001B">
      <w:start w:val="1"/>
      <w:numFmt w:val="lowerRoman"/>
      <w:lvlText w:val="%3."/>
      <w:lvlJc w:val="right"/>
      <w:pPr>
        <w:ind w:left="2330" w:hanging="180"/>
      </w:pPr>
      <w:rPr>
        <w:rFonts w:cs="Times New Roman"/>
      </w:rPr>
    </w:lvl>
    <w:lvl w:ilvl="3" w:tplc="041F000F">
      <w:start w:val="1"/>
      <w:numFmt w:val="decimal"/>
      <w:lvlText w:val="%4."/>
      <w:lvlJc w:val="left"/>
      <w:pPr>
        <w:ind w:left="3050" w:hanging="360"/>
      </w:pPr>
      <w:rPr>
        <w:rFonts w:cs="Times New Roman"/>
      </w:rPr>
    </w:lvl>
    <w:lvl w:ilvl="4" w:tplc="041F0019">
      <w:start w:val="1"/>
      <w:numFmt w:val="lowerLetter"/>
      <w:lvlText w:val="%5."/>
      <w:lvlJc w:val="left"/>
      <w:pPr>
        <w:ind w:left="3770" w:hanging="360"/>
      </w:pPr>
      <w:rPr>
        <w:rFonts w:cs="Times New Roman"/>
      </w:rPr>
    </w:lvl>
    <w:lvl w:ilvl="5" w:tplc="041F001B">
      <w:start w:val="1"/>
      <w:numFmt w:val="lowerRoman"/>
      <w:lvlText w:val="%6."/>
      <w:lvlJc w:val="right"/>
      <w:pPr>
        <w:ind w:left="4490" w:hanging="180"/>
      </w:pPr>
      <w:rPr>
        <w:rFonts w:cs="Times New Roman"/>
      </w:rPr>
    </w:lvl>
    <w:lvl w:ilvl="6" w:tplc="041F000F">
      <w:start w:val="1"/>
      <w:numFmt w:val="decimal"/>
      <w:lvlText w:val="%7."/>
      <w:lvlJc w:val="left"/>
      <w:pPr>
        <w:ind w:left="5210" w:hanging="360"/>
      </w:pPr>
      <w:rPr>
        <w:rFonts w:cs="Times New Roman"/>
      </w:rPr>
    </w:lvl>
    <w:lvl w:ilvl="7" w:tplc="041F0019">
      <w:start w:val="1"/>
      <w:numFmt w:val="lowerLetter"/>
      <w:lvlText w:val="%8."/>
      <w:lvlJc w:val="left"/>
      <w:pPr>
        <w:ind w:left="5930" w:hanging="360"/>
      </w:pPr>
      <w:rPr>
        <w:rFonts w:cs="Times New Roman"/>
      </w:rPr>
    </w:lvl>
    <w:lvl w:ilvl="8" w:tplc="041F001B">
      <w:start w:val="1"/>
      <w:numFmt w:val="lowerRoman"/>
      <w:lvlText w:val="%9."/>
      <w:lvlJc w:val="right"/>
      <w:pPr>
        <w:ind w:left="6650" w:hanging="180"/>
      </w:pPr>
      <w:rPr>
        <w:rFonts w:cs="Times New Roman"/>
      </w:rPr>
    </w:lvl>
  </w:abstractNum>
  <w:abstractNum w:abstractNumId="43">
    <w:nsid w:val="7E3504AB"/>
    <w:multiLevelType w:val="hybridMultilevel"/>
    <w:tmpl w:val="A72481BE"/>
    <w:lvl w:ilvl="0" w:tplc="EF4604AA">
      <w:start w:val="1"/>
      <w:numFmt w:val="decimal"/>
      <w:lvlText w:val="%1."/>
      <w:lvlJc w:val="left"/>
      <w:pPr>
        <w:ind w:left="1797" w:hanging="360"/>
      </w:pPr>
      <w:rPr>
        <w:rFonts w:cs="Times New Roman"/>
        <w:b/>
        <w:bCs/>
      </w:rPr>
    </w:lvl>
    <w:lvl w:ilvl="1" w:tplc="041F0019">
      <w:start w:val="1"/>
      <w:numFmt w:val="lowerLetter"/>
      <w:lvlText w:val="%2."/>
      <w:lvlJc w:val="left"/>
      <w:pPr>
        <w:ind w:left="2517" w:hanging="360"/>
      </w:pPr>
      <w:rPr>
        <w:rFonts w:cs="Times New Roman"/>
      </w:rPr>
    </w:lvl>
    <w:lvl w:ilvl="2" w:tplc="041F001B">
      <w:start w:val="1"/>
      <w:numFmt w:val="lowerRoman"/>
      <w:lvlText w:val="%3."/>
      <w:lvlJc w:val="right"/>
      <w:pPr>
        <w:ind w:left="3237" w:hanging="180"/>
      </w:pPr>
      <w:rPr>
        <w:rFonts w:cs="Times New Roman"/>
      </w:rPr>
    </w:lvl>
    <w:lvl w:ilvl="3" w:tplc="041F000F">
      <w:start w:val="1"/>
      <w:numFmt w:val="decimal"/>
      <w:lvlText w:val="%4."/>
      <w:lvlJc w:val="left"/>
      <w:pPr>
        <w:ind w:left="3957" w:hanging="360"/>
      </w:pPr>
      <w:rPr>
        <w:rFonts w:cs="Times New Roman"/>
      </w:rPr>
    </w:lvl>
    <w:lvl w:ilvl="4" w:tplc="041F0019">
      <w:start w:val="1"/>
      <w:numFmt w:val="lowerLetter"/>
      <w:lvlText w:val="%5."/>
      <w:lvlJc w:val="left"/>
      <w:pPr>
        <w:ind w:left="4677" w:hanging="360"/>
      </w:pPr>
      <w:rPr>
        <w:rFonts w:cs="Times New Roman"/>
      </w:rPr>
    </w:lvl>
    <w:lvl w:ilvl="5" w:tplc="041F001B">
      <w:start w:val="1"/>
      <w:numFmt w:val="lowerRoman"/>
      <w:lvlText w:val="%6."/>
      <w:lvlJc w:val="right"/>
      <w:pPr>
        <w:ind w:left="5397" w:hanging="180"/>
      </w:pPr>
      <w:rPr>
        <w:rFonts w:cs="Times New Roman"/>
      </w:rPr>
    </w:lvl>
    <w:lvl w:ilvl="6" w:tplc="041F000F">
      <w:start w:val="1"/>
      <w:numFmt w:val="decimal"/>
      <w:lvlText w:val="%7."/>
      <w:lvlJc w:val="left"/>
      <w:pPr>
        <w:ind w:left="6117" w:hanging="360"/>
      </w:pPr>
      <w:rPr>
        <w:rFonts w:cs="Times New Roman"/>
      </w:rPr>
    </w:lvl>
    <w:lvl w:ilvl="7" w:tplc="041F0019">
      <w:start w:val="1"/>
      <w:numFmt w:val="lowerLetter"/>
      <w:lvlText w:val="%8."/>
      <w:lvlJc w:val="left"/>
      <w:pPr>
        <w:ind w:left="6837" w:hanging="360"/>
      </w:pPr>
      <w:rPr>
        <w:rFonts w:cs="Times New Roman"/>
      </w:rPr>
    </w:lvl>
    <w:lvl w:ilvl="8" w:tplc="041F001B">
      <w:start w:val="1"/>
      <w:numFmt w:val="lowerRoman"/>
      <w:lvlText w:val="%9."/>
      <w:lvlJc w:val="right"/>
      <w:pPr>
        <w:ind w:left="7557" w:hanging="180"/>
      </w:pPr>
      <w:rPr>
        <w:rFonts w:cs="Times New Roman"/>
      </w:rPr>
    </w:lvl>
  </w:abstractNum>
  <w:abstractNum w:abstractNumId="44">
    <w:nsid w:val="7F540C90"/>
    <w:multiLevelType w:val="hybridMultilevel"/>
    <w:tmpl w:val="335E1C3A"/>
    <w:lvl w:ilvl="0" w:tplc="39609672">
      <w:start w:val="2"/>
      <w:numFmt w:val="arabicAbjad"/>
      <w:lvlText w:val="%1"/>
      <w:lvlJc w:val="left"/>
      <w:pPr>
        <w:ind w:left="1068" w:hanging="360"/>
      </w:pPr>
      <w:rPr>
        <w:rFonts w:cs="Times New Roman" w:hint="default"/>
        <w:sz w:val="2"/>
        <w:szCs w:val="24"/>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num w:numId="1">
    <w:abstractNumId w:val="19"/>
  </w:num>
  <w:num w:numId="2">
    <w:abstractNumId w:val="25"/>
  </w:num>
  <w:num w:numId="3">
    <w:abstractNumId w:val="36"/>
  </w:num>
  <w:num w:numId="4">
    <w:abstractNumId w:val="17"/>
  </w:num>
  <w:num w:numId="5">
    <w:abstractNumId w:val="27"/>
  </w:num>
  <w:num w:numId="6">
    <w:abstractNumId w:val="16"/>
  </w:num>
  <w:num w:numId="7">
    <w:abstractNumId w:val="22"/>
  </w:num>
  <w:num w:numId="8">
    <w:abstractNumId w:val="42"/>
  </w:num>
  <w:num w:numId="9">
    <w:abstractNumId w:val="20"/>
  </w:num>
  <w:num w:numId="10">
    <w:abstractNumId w:val="41"/>
  </w:num>
  <w:num w:numId="11">
    <w:abstractNumId w:val="35"/>
  </w:num>
  <w:num w:numId="12">
    <w:abstractNumId w:val="15"/>
  </w:num>
  <w:num w:numId="13">
    <w:abstractNumId w:val="9"/>
  </w:num>
  <w:num w:numId="14">
    <w:abstractNumId w:val="4"/>
  </w:num>
  <w:num w:numId="15">
    <w:abstractNumId w:val="28"/>
  </w:num>
  <w:num w:numId="16">
    <w:abstractNumId w:val="8"/>
  </w:num>
  <w:num w:numId="17">
    <w:abstractNumId w:val="14"/>
  </w:num>
  <w:num w:numId="18">
    <w:abstractNumId w:val="21"/>
  </w:num>
  <w:num w:numId="19">
    <w:abstractNumId w:val="31"/>
  </w:num>
  <w:num w:numId="20">
    <w:abstractNumId w:val="37"/>
  </w:num>
  <w:num w:numId="21">
    <w:abstractNumId w:val="38"/>
  </w:num>
  <w:num w:numId="22">
    <w:abstractNumId w:val="12"/>
  </w:num>
  <w:num w:numId="23">
    <w:abstractNumId w:val="7"/>
  </w:num>
  <w:num w:numId="24">
    <w:abstractNumId w:val="34"/>
  </w:num>
  <w:num w:numId="25">
    <w:abstractNumId w:val="30"/>
  </w:num>
  <w:num w:numId="26">
    <w:abstractNumId w:val="44"/>
  </w:num>
  <w:num w:numId="27">
    <w:abstractNumId w:val="3"/>
  </w:num>
  <w:num w:numId="28">
    <w:abstractNumId w:val="8"/>
    <w:lvlOverride w:ilvl="0">
      <w:startOverride w:val="1"/>
    </w:lvlOverride>
  </w:num>
  <w:num w:numId="29">
    <w:abstractNumId w:val="8"/>
  </w:num>
  <w:num w:numId="30">
    <w:abstractNumId w:val="8"/>
    <w:lvlOverride w:ilvl="0">
      <w:startOverride w:val="3"/>
    </w:lvlOverride>
  </w:num>
  <w:num w:numId="31">
    <w:abstractNumId w:val="2"/>
  </w:num>
  <w:num w:numId="32">
    <w:abstractNumId w:val="5"/>
  </w:num>
  <w:num w:numId="33">
    <w:abstractNumId w:val="32"/>
  </w:num>
  <w:num w:numId="34">
    <w:abstractNumId w:val="6"/>
  </w:num>
  <w:num w:numId="35">
    <w:abstractNumId w:val="11"/>
  </w:num>
  <w:num w:numId="36">
    <w:abstractNumId w:val="43"/>
  </w:num>
  <w:num w:numId="37">
    <w:abstractNumId w:val="24"/>
  </w:num>
  <w:num w:numId="38">
    <w:abstractNumId w:val="39"/>
  </w:num>
  <w:num w:numId="39">
    <w:abstractNumId w:val="18"/>
  </w:num>
  <w:num w:numId="40">
    <w:abstractNumId w:val="1"/>
  </w:num>
  <w:num w:numId="41">
    <w:abstractNumId w:val="40"/>
  </w:num>
  <w:num w:numId="42">
    <w:abstractNumId w:val="13"/>
  </w:num>
  <w:num w:numId="43">
    <w:abstractNumId w:val="29"/>
  </w:num>
  <w:num w:numId="44">
    <w:abstractNumId w:val="0"/>
  </w:num>
  <w:num w:numId="45">
    <w:abstractNumId w:val="33"/>
  </w:num>
  <w:num w:numId="46">
    <w:abstractNumId w:val="26"/>
  </w:num>
  <w:num w:numId="47">
    <w:abstractNumId w:val="2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9AB"/>
    <w:rsid w:val="000012D7"/>
    <w:rsid w:val="00005AB5"/>
    <w:rsid w:val="00011E6E"/>
    <w:rsid w:val="00014225"/>
    <w:rsid w:val="00015671"/>
    <w:rsid w:val="00016B55"/>
    <w:rsid w:val="00020670"/>
    <w:rsid w:val="000207BD"/>
    <w:rsid w:val="000219BE"/>
    <w:rsid w:val="0002278D"/>
    <w:rsid w:val="000228F9"/>
    <w:rsid w:val="0002398A"/>
    <w:rsid w:val="00026F60"/>
    <w:rsid w:val="00026FAD"/>
    <w:rsid w:val="00027256"/>
    <w:rsid w:val="000279A5"/>
    <w:rsid w:val="00030471"/>
    <w:rsid w:val="000307FA"/>
    <w:rsid w:val="00030CD3"/>
    <w:rsid w:val="00030E6E"/>
    <w:rsid w:val="0003110A"/>
    <w:rsid w:val="000320C5"/>
    <w:rsid w:val="0003237D"/>
    <w:rsid w:val="00033EA8"/>
    <w:rsid w:val="00034BEA"/>
    <w:rsid w:val="00034C7E"/>
    <w:rsid w:val="00035B03"/>
    <w:rsid w:val="00036214"/>
    <w:rsid w:val="000362E6"/>
    <w:rsid w:val="00040475"/>
    <w:rsid w:val="00041B61"/>
    <w:rsid w:val="00044B00"/>
    <w:rsid w:val="00044F70"/>
    <w:rsid w:val="0004629B"/>
    <w:rsid w:val="000500EA"/>
    <w:rsid w:val="000501B6"/>
    <w:rsid w:val="00050B62"/>
    <w:rsid w:val="000513EE"/>
    <w:rsid w:val="00053836"/>
    <w:rsid w:val="000543DE"/>
    <w:rsid w:val="00054E75"/>
    <w:rsid w:val="000568B3"/>
    <w:rsid w:val="00056B22"/>
    <w:rsid w:val="00057223"/>
    <w:rsid w:val="00060358"/>
    <w:rsid w:val="0006085F"/>
    <w:rsid w:val="00060BD4"/>
    <w:rsid w:val="00062779"/>
    <w:rsid w:val="00062F44"/>
    <w:rsid w:val="00063C88"/>
    <w:rsid w:val="00063E2E"/>
    <w:rsid w:val="00067A72"/>
    <w:rsid w:val="00067AAE"/>
    <w:rsid w:val="00071C02"/>
    <w:rsid w:val="00074603"/>
    <w:rsid w:val="000757FD"/>
    <w:rsid w:val="00076772"/>
    <w:rsid w:val="0007707C"/>
    <w:rsid w:val="000778D8"/>
    <w:rsid w:val="00077935"/>
    <w:rsid w:val="00080ED2"/>
    <w:rsid w:val="000823E4"/>
    <w:rsid w:val="00082647"/>
    <w:rsid w:val="00084A61"/>
    <w:rsid w:val="00084F83"/>
    <w:rsid w:val="00085044"/>
    <w:rsid w:val="0008609B"/>
    <w:rsid w:val="0008634D"/>
    <w:rsid w:val="000914B7"/>
    <w:rsid w:val="000914DA"/>
    <w:rsid w:val="00091D2D"/>
    <w:rsid w:val="00092587"/>
    <w:rsid w:val="00092816"/>
    <w:rsid w:val="00095A32"/>
    <w:rsid w:val="00095F67"/>
    <w:rsid w:val="00096FA4"/>
    <w:rsid w:val="000A0225"/>
    <w:rsid w:val="000A0C30"/>
    <w:rsid w:val="000A272F"/>
    <w:rsid w:val="000A2882"/>
    <w:rsid w:val="000A2A4C"/>
    <w:rsid w:val="000A2BCE"/>
    <w:rsid w:val="000A4D74"/>
    <w:rsid w:val="000B00E3"/>
    <w:rsid w:val="000B2234"/>
    <w:rsid w:val="000B2F69"/>
    <w:rsid w:val="000B3052"/>
    <w:rsid w:val="000B536B"/>
    <w:rsid w:val="000B62CC"/>
    <w:rsid w:val="000B6FF6"/>
    <w:rsid w:val="000C014E"/>
    <w:rsid w:val="000C1883"/>
    <w:rsid w:val="000C1D7A"/>
    <w:rsid w:val="000C2566"/>
    <w:rsid w:val="000C3DDF"/>
    <w:rsid w:val="000C4112"/>
    <w:rsid w:val="000C4A4E"/>
    <w:rsid w:val="000D00AB"/>
    <w:rsid w:val="000D1820"/>
    <w:rsid w:val="000D2736"/>
    <w:rsid w:val="000D38E6"/>
    <w:rsid w:val="000D3B6E"/>
    <w:rsid w:val="000D4AD1"/>
    <w:rsid w:val="000D5276"/>
    <w:rsid w:val="000D547E"/>
    <w:rsid w:val="000D71DD"/>
    <w:rsid w:val="000E0919"/>
    <w:rsid w:val="000E0AAD"/>
    <w:rsid w:val="000E1659"/>
    <w:rsid w:val="000E1C0F"/>
    <w:rsid w:val="000E4AC7"/>
    <w:rsid w:val="000F07F3"/>
    <w:rsid w:val="000F116D"/>
    <w:rsid w:val="000F1B21"/>
    <w:rsid w:val="000F49E4"/>
    <w:rsid w:val="0010132E"/>
    <w:rsid w:val="001013CD"/>
    <w:rsid w:val="00101CA8"/>
    <w:rsid w:val="00102BC2"/>
    <w:rsid w:val="001038CE"/>
    <w:rsid w:val="00103B79"/>
    <w:rsid w:val="00104041"/>
    <w:rsid w:val="00105F1B"/>
    <w:rsid w:val="0010784B"/>
    <w:rsid w:val="00107BE4"/>
    <w:rsid w:val="001101CB"/>
    <w:rsid w:val="0011056F"/>
    <w:rsid w:val="00111E04"/>
    <w:rsid w:val="001124F9"/>
    <w:rsid w:val="001138CC"/>
    <w:rsid w:val="00115773"/>
    <w:rsid w:val="0011688E"/>
    <w:rsid w:val="001176F4"/>
    <w:rsid w:val="0012122B"/>
    <w:rsid w:val="00121FF9"/>
    <w:rsid w:val="00122CDD"/>
    <w:rsid w:val="00122D72"/>
    <w:rsid w:val="00122FD6"/>
    <w:rsid w:val="001231A2"/>
    <w:rsid w:val="00124510"/>
    <w:rsid w:val="001259D5"/>
    <w:rsid w:val="00126789"/>
    <w:rsid w:val="001277B3"/>
    <w:rsid w:val="001300E6"/>
    <w:rsid w:val="0013071B"/>
    <w:rsid w:val="001317B5"/>
    <w:rsid w:val="0013237C"/>
    <w:rsid w:val="001333CB"/>
    <w:rsid w:val="00134582"/>
    <w:rsid w:val="001349D3"/>
    <w:rsid w:val="00134EEC"/>
    <w:rsid w:val="00135118"/>
    <w:rsid w:val="00135F4D"/>
    <w:rsid w:val="00141545"/>
    <w:rsid w:val="00144700"/>
    <w:rsid w:val="001467C9"/>
    <w:rsid w:val="00147A23"/>
    <w:rsid w:val="00147D03"/>
    <w:rsid w:val="001509B1"/>
    <w:rsid w:val="00150FFB"/>
    <w:rsid w:val="00152272"/>
    <w:rsid w:val="00154F96"/>
    <w:rsid w:val="001558EC"/>
    <w:rsid w:val="00157C21"/>
    <w:rsid w:val="00160BBD"/>
    <w:rsid w:val="00160E8A"/>
    <w:rsid w:val="001611C0"/>
    <w:rsid w:val="00161ABC"/>
    <w:rsid w:val="00161FC5"/>
    <w:rsid w:val="00165F4A"/>
    <w:rsid w:val="00166824"/>
    <w:rsid w:val="00173FD6"/>
    <w:rsid w:val="0017469F"/>
    <w:rsid w:val="00174708"/>
    <w:rsid w:val="001749EA"/>
    <w:rsid w:val="00175A89"/>
    <w:rsid w:val="00176634"/>
    <w:rsid w:val="0017733E"/>
    <w:rsid w:val="00184E2C"/>
    <w:rsid w:val="001876B0"/>
    <w:rsid w:val="00190AE1"/>
    <w:rsid w:val="00190F77"/>
    <w:rsid w:val="00191346"/>
    <w:rsid w:val="00192700"/>
    <w:rsid w:val="00192C99"/>
    <w:rsid w:val="00193399"/>
    <w:rsid w:val="00194381"/>
    <w:rsid w:val="001946C5"/>
    <w:rsid w:val="0019488E"/>
    <w:rsid w:val="001A012B"/>
    <w:rsid w:val="001A17F8"/>
    <w:rsid w:val="001A7A9A"/>
    <w:rsid w:val="001B25B7"/>
    <w:rsid w:val="001B2CE3"/>
    <w:rsid w:val="001B45AA"/>
    <w:rsid w:val="001C11F6"/>
    <w:rsid w:val="001C43E2"/>
    <w:rsid w:val="001C62DB"/>
    <w:rsid w:val="001C7EC8"/>
    <w:rsid w:val="001D06B0"/>
    <w:rsid w:val="001D0F36"/>
    <w:rsid w:val="001D1D2A"/>
    <w:rsid w:val="001D2433"/>
    <w:rsid w:val="001D38FE"/>
    <w:rsid w:val="001D3D15"/>
    <w:rsid w:val="001D4232"/>
    <w:rsid w:val="001D42AA"/>
    <w:rsid w:val="001D574B"/>
    <w:rsid w:val="001D5F06"/>
    <w:rsid w:val="001D701E"/>
    <w:rsid w:val="001E00DA"/>
    <w:rsid w:val="001E13CF"/>
    <w:rsid w:val="001E1687"/>
    <w:rsid w:val="001E2BB2"/>
    <w:rsid w:val="001E34D8"/>
    <w:rsid w:val="001E4AAB"/>
    <w:rsid w:val="001E6A08"/>
    <w:rsid w:val="001E6FF9"/>
    <w:rsid w:val="001E7EEA"/>
    <w:rsid w:val="001F0A14"/>
    <w:rsid w:val="001F15E5"/>
    <w:rsid w:val="001F29AA"/>
    <w:rsid w:val="001F2BF0"/>
    <w:rsid w:val="001F3165"/>
    <w:rsid w:val="001F3F1A"/>
    <w:rsid w:val="001F5C19"/>
    <w:rsid w:val="001F6798"/>
    <w:rsid w:val="001F7B54"/>
    <w:rsid w:val="001F7B78"/>
    <w:rsid w:val="001F7C5A"/>
    <w:rsid w:val="00201C45"/>
    <w:rsid w:val="002026C7"/>
    <w:rsid w:val="00202A5A"/>
    <w:rsid w:val="00204910"/>
    <w:rsid w:val="00210B6B"/>
    <w:rsid w:val="002140B5"/>
    <w:rsid w:val="002147CB"/>
    <w:rsid w:val="0021579D"/>
    <w:rsid w:val="00216377"/>
    <w:rsid w:val="002164DE"/>
    <w:rsid w:val="002176DC"/>
    <w:rsid w:val="002178C9"/>
    <w:rsid w:val="00220883"/>
    <w:rsid w:val="00220C19"/>
    <w:rsid w:val="00220C98"/>
    <w:rsid w:val="00221EA5"/>
    <w:rsid w:val="00222918"/>
    <w:rsid w:val="00224A80"/>
    <w:rsid w:val="00224E2F"/>
    <w:rsid w:val="00225C88"/>
    <w:rsid w:val="00226056"/>
    <w:rsid w:val="00230DFE"/>
    <w:rsid w:val="0023143E"/>
    <w:rsid w:val="002317CF"/>
    <w:rsid w:val="00231FF0"/>
    <w:rsid w:val="00233C51"/>
    <w:rsid w:val="00234050"/>
    <w:rsid w:val="0023429B"/>
    <w:rsid w:val="002342CD"/>
    <w:rsid w:val="00234CA0"/>
    <w:rsid w:val="00235DD6"/>
    <w:rsid w:val="002362D8"/>
    <w:rsid w:val="00236577"/>
    <w:rsid w:val="002368E5"/>
    <w:rsid w:val="00236D1F"/>
    <w:rsid w:val="00242FD1"/>
    <w:rsid w:val="00243398"/>
    <w:rsid w:val="002502E6"/>
    <w:rsid w:val="002505CA"/>
    <w:rsid w:val="00250AC6"/>
    <w:rsid w:val="002510EB"/>
    <w:rsid w:val="002522E5"/>
    <w:rsid w:val="0025268C"/>
    <w:rsid w:val="00252D2E"/>
    <w:rsid w:val="0025358E"/>
    <w:rsid w:val="00254D61"/>
    <w:rsid w:val="002630A6"/>
    <w:rsid w:val="0026321A"/>
    <w:rsid w:val="00265600"/>
    <w:rsid w:val="002663CA"/>
    <w:rsid w:val="002665DC"/>
    <w:rsid w:val="00270117"/>
    <w:rsid w:val="00271146"/>
    <w:rsid w:val="00274052"/>
    <w:rsid w:val="00275184"/>
    <w:rsid w:val="002808A0"/>
    <w:rsid w:val="002820B9"/>
    <w:rsid w:val="002824E8"/>
    <w:rsid w:val="00282A38"/>
    <w:rsid w:val="00282F93"/>
    <w:rsid w:val="00284697"/>
    <w:rsid w:val="00286CF6"/>
    <w:rsid w:val="002902F3"/>
    <w:rsid w:val="00290C34"/>
    <w:rsid w:val="00291400"/>
    <w:rsid w:val="00291500"/>
    <w:rsid w:val="00292AEE"/>
    <w:rsid w:val="00294499"/>
    <w:rsid w:val="002A102F"/>
    <w:rsid w:val="002A20C2"/>
    <w:rsid w:val="002A26ED"/>
    <w:rsid w:val="002A3422"/>
    <w:rsid w:val="002A3463"/>
    <w:rsid w:val="002A7972"/>
    <w:rsid w:val="002A7F7E"/>
    <w:rsid w:val="002B185B"/>
    <w:rsid w:val="002B1C4B"/>
    <w:rsid w:val="002B2789"/>
    <w:rsid w:val="002B5896"/>
    <w:rsid w:val="002B5EE9"/>
    <w:rsid w:val="002C0E66"/>
    <w:rsid w:val="002C17F0"/>
    <w:rsid w:val="002C2806"/>
    <w:rsid w:val="002C6ED5"/>
    <w:rsid w:val="002C7564"/>
    <w:rsid w:val="002C7836"/>
    <w:rsid w:val="002C7D01"/>
    <w:rsid w:val="002D172A"/>
    <w:rsid w:val="002D1B52"/>
    <w:rsid w:val="002D2074"/>
    <w:rsid w:val="002D3CA6"/>
    <w:rsid w:val="002D4A24"/>
    <w:rsid w:val="002D7137"/>
    <w:rsid w:val="002D740D"/>
    <w:rsid w:val="002E0B17"/>
    <w:rsid w:val="002E49B7"/>
    <w:rsid w:val="002E4EC7"/>
    <w:rsid w:val="002E7758"/>
    <w:rsid w:val="002F0D72"/>
    <w:rsid w:val="002F1009"/>
    <w:rsid w:val="002F331C"/>
    <w:rsid w:val="002F34C2"/>
    <w:rsid w:val="0030022A"/>
    <w:rsid w:val="00300324"/>
    <w:rsid w:val="00300A67"/>
    <w:rsid w:val="00300B51"/>
    <w:rsid w:val="00302FFC"/>
    <w:rsid w:val="003033C3"/>
    <w:rsid w:val="00303AE0"/>
    <w:rsid w:val="00303F60"/>
    <w:rsid w:val="00305D94"/>
    <w:rsid w:val="00306830"/>
    <w:rsid w:val="003074AE"/>
    <w:rsid w:val="00307E54"/>
    <w:rsid w:val="0031019E"/>
    <w:rsid w:val="0031062D"/>
    <w:rsid w:val="00310F52"/>
    <w:rsid w:val="00311C5A"/>
    <w:rsid w:val="00315854"/>
    <w:rsid w:val="00320B62"/>
    <w:rsid w:val="00322CF7"/>
    <w:rsid w:val="003238D1"/>
    <w:rsid w:val="003241D7"/>
    <w:rsid w:val="00324F3A"/>
    <w:rsid w:val="003258A7"/>
    <w:rsid w:val="00325CF1"/>
    <w:rsid w:val="003269BC"/>
    <w:rsid w:val="00326EAC"/>
    <w:rsid w:val="00327408"/>
    <w:rsid w:val="0032752F"/>
    <w:rsid w:val="0033035A"/>
    <w:rsid w:val="003318F0"/>
    <w:rsid w:val="00332278"/>
    <w:rsid w:val="00333A43"/>
    <w:rsid w:val="00333BFD"/>
    <w:rsid w:val="003346B0"/>
    <w:rsid w:val="003348A0"/>
    <w:rsid w:val="00334923"/>
    <w:rsid w:val="00340DE0"/>
    <w:rsid w:val="00340E2C"/>
    <w:rsid w:val="00341012"/>
    <w:rsid w:val="00341F8F"/>
    <w:rsid w:val="00344035"/>
    <w:rsid w:val="00345E33"/>
    <w:rsid w:val="00346600"/>
    <w:rsid w:val="00346A88"/>
    <w:rsid w:val="00347835"/>
    <w:rsid w:val="00347C21"/>
    <w:rsid w:val="0035046A"/>
    <w:rsid w:val="00350C6E"/>
    <w:rsid w:val="00351A85"/>
    <w:rsid w:val="00352299"/>
    <w:rsid w:val="00352862"/>
    <w:rsid w:val="003539D5"/>
    <w:rsid w:val="00354A23"/>
    <w:rsid w:val="00355B13"/>
    <w:rsid w:val="00355CDA"/>
    <w:rsid w:val="0035670E"/>
    <w:rsid w:val="0035698D"/>
    <w:rsid w:val="00356A73"/>
    <w:rsid w:val="003605C0"/>
    <w:rsid w:val="003606CA"/>
    <w:rsid w:val="00360949"/>
    <w:rsid w:val="00360D19"/>
    <w:rsid w:val="003620FD"/>
    <w:rsid w:val="00362190"/>
    <w:rsid w:val="0036231E"/>
    <w:rsid w:val="003628B9"/>
    <w:rsid w:val="00363010"/>
    <w:rsid w:val="0036303D"/>
    <w:rsid w:val="00363845"/>
    <w:rsid w:val="00364A3C"/>
    <w:rsid w:val="0036591C"/>
    <w:rsid w:val="00366201"/>
    <w:rsid w:val="00366C0E"/>
    <w:rsid w:val="003705A7"/>
    <w:rsid w:val="003725FE"/>
    <w:rsid w:val="00372A36"/>
    <w:rsid w:val="00373343"/>
    <w:rsid w:val="0037372A"/>
    <w:rsid w:val="00375C3D"/>
    <w:rsid w:val="00376DB8"/>
    <w:rsid w:val="00377787"/>
    <w:rsid w:val="003777BE"/>
    <w:rsid w:val="00377925"/>
    <w:rsid w:val="00380247"/>
    <w:rsid w:val="00381A80"/>
    <w:rsid w:val="003820D9"/>
    <w:rsid w:val="0038415E"/>
    <w:rsid w:val="0038528D"/>
    <w:rsid w:val="00385D7B"/>
    <w:rsid w:val="00386722"/>
    <w:rsid w:val="0039155F"/>
    <w:rsid w:val="003920BF"/>
    <w:rsid w:val="00392AC0"/>
    <w:rsid w:val="00393581"/>
    <w:rsid w:val="003956E2"/>
    <w:rsid w:val="00396BC5"/>
    <w:rsid w:val="0039756A"/>
    <w:rsid w:val="003978B5"/>
    <w:rsid w:val="00397F04"/>
    <w:rsid w:val="003A0130"/>
    <w:rsid w:val="003A0673"/>
    <w:rsid w:val="003A0DB8"/>
    <w:rsid w:val="003A2386"/>
    <w:rsid w:val="003A491F"/>
    <w:rsid w:val="003A6A71"/>
    <w:rsid w:val="003A6B2B"/>
    <w:rsid w:val="003A7910"/>
    <w:rsid w:val="003A7CAE"/>
    <w:rsid w:val="003B001E"/>
    <w:rsid w:val="003B1129"/>
    <w:rsid w:val="003B3291"/>
    <w:rsid w:val="003B6D38"/>
    <w:rsid w:val="003C0FA8"/>
    <w:rsid w:val="003C5F8D"/>
    <w:rsid w:val="003C65B4"/>
    <w:rsid w:val="003C7B2F"/>
    <w:rsid w:val="003D0A87"/>
    <w:rsid w:val="003D0EAE"/>
    <w:rsid w:val="003D0FED"/>
    <w:rsid w:val="003D159B"/>
    <w:rsid w:val="003D1B67"/>
    <w:rsid w:val="003D1DC4"/>
    <w:rsid w:val="003D4D72"/>
    <w:rsid w:val="003D5455"/>
    <w:rsid w:val="003D62D8"/>
    <w:rsid w:val="003D7BAA"/>
    <w:rsid w:val="003E18E9"/>
    <w:rsid w:val="003E1FA1"/>
    <w:rsid w:val="003E3E62"/>
    <w:rsid w:val="003E4BD3"/>
    <w:rsid w:val="003E69C6"/>
    <w:rsid w:val="003E6B44"/>
    <w:rsid w:val="003F0053"/>
    <w:rsid w:val="003F0069"/>
    <w:rsid w:val="003F0BC8"/>
    <w:rsid w:val="003F39CA"/>
    <w:rsid w:val="003F3F5B"/>
    <w:rsid w:val="003F4337"/>
    <w:rsid w:val="003F4C80"/>
    <w:rsid w:val="003F6D5B"/>
    <w:rsid w:val="003F7916"/>
    <w:rsid w:val="003F7C9C"/>
    <w:rsid w:val="0040002C"/>
    <w:rsid w:val="004001E6"/>
    <w:rsid w:val="00401574"/>
    <w:rsid w:val="00403F74"/>
    <w:rsid w:val="004044B8"/>
    <w:rsid w:val="0040518D"/>
    <w:rsid w:val="0040637F"/>
    <w:rsid w:val="00406733"/>
    <w:rsid w:val="00407085"/>
    <w:rsid w:val="00407C0C"/>
    <w:rsid w:val="00412227"/>
    <w:rsid w:val="00412CD4"/>
    <w:rsid w:val="00414FB7"/>
    <w:rsid w:val="004155C2"/>
    <w:rsid w:val="004158A1"/>
    <w:rsid w:val="00415CAB"/>
    <w:rsid w:val="00416924"/>
    <w:rsid w:val="0042139E"/>
    <w:rsid w:val="004219DB"/>
    <w:rsid w:val="00422144"/>
    <w:rsid w:val="00426BE3"/>
    <w:rsid w:val="00430FEE"/>
    <w:rsid w:val="004322CF"/>
    <w:rsid w:val="004323D3"/>
    <w:rsid w:val="00434246"/>
    <w:rsid w:val="004345EE"/>
    <w:rsid w:val="0043479F"/>
    <w:rsid w:val="004349A5"/>
    <w:rsid w:val="004408C1"/>
    <w:rsid w:val="00443E84"/>
    <w:rsid w:val="00445C93"/>
    <w:rsid w:val="00445F93"/>
    <w:rsid w:val="00450621"/>
    <w:rsid w:val="00452532"/>
    <w:rsid w:val="00453B42"/>
    <w:rsid w:val="00455061"/>
    <w:rsid w:val="00456564"/>
    <w:rsid w:val="004565D1"/>
    <w:rsid w:val="0045660E"/>
    <w:rsid w:val="004576E6"/>
    <w:rsid w:val="00457A5A"/>
    <w:rsid w:val="0046163F"/>
    <w:rsid w:val="0046333E"/>
    <w:rsid w:val="0046335D"/>
    <w:rsid w:val="00463D34"/>
    <w:rsid w:val="00465390"/>
    <w:rsid w:val="00466253"/>
    <w:rsid w:val="00467E8A"/>
    <w:rsid w:val="00467F61"/>
    <w:rsid w:val="0047117F"/>
    <w:rsid w:val="00473243"/>
    <w:rsid w:val="004735BC"/>
    <w:rsid w:val="0047499C"/>
    <w:rsid w:val="00475E7E"/>
    <w:rsid w:val="00476A3C"/>
    <w:rsid w:val="004770D3"/>
    <w:rsid w:val="00477179"/>
    <w:rsid w:val="004800E6"/>
    <w:rsid w:val="00480A5F"/>
    <w:rsid w:val="00480B0C"/>
    <w:rsid w:val="004824B5"/>
    <w:rsid w:val="0048489A"/>
    <w:rsid w:val="00484E92"/>
    <w:rsid w:val="00490F2F"/>
    <w:rsid w:val="0049149E"/>
    <w:rsid w:val="004919EE"/>
    <w:rsid w:val="00491A6B"/>
    <w:rsid w:val="00493E03"/>
    <w:rsid w:val="00495221"/>
    <w:rsid w:val="00495FAC"/>
    <w:rsid w:val="004968C7"/>
    <w:rsid w:val="0049751E"/>
    <w:rsid w:val="004A0E89"/>
    <w:rsid w:val="004A167B"/>
    <w:rsid w:val="004A1AF5"/>
    <w:rsid w:val="004A4EFC"/>
    <w:rsid w:val="004A5694"/>
    <w:rsid w:val="004A5C72"/>
    <w:rsid w:val="004A5EBB"/>
    <w:rsid w:val="004A62E1"/>
    <w:rsid w:val="004A67A4"/>
    <w:rsid w:val="004A6CB8"/>
    <w:rsid w:val="004A70F9"/>
    <w:rsid w:val="004A7408"/>
    <w:rsid w:val="004A7F82"/>
    <w:rsid w:val="004B16F0"/>
    <w:rsid w:val="004B17DD"/>
    <w:rsid w:val="004B1B3F"/>
    <w:rsid w:val="004B4154"/>
    <w:rsid w:val="004B5158"/>
    <w:rsid w:val="004B77AA"/>
    <w:rsid w:val="004B7C33"/>
    <w:rsid w:val="004C052F"/>
    <w:rsid w:val="004C1268"/>
    <w:rsid w:val="004C3210"/>
    <w:rsid w:val="004C5D30"/>
    <w:rsid w:val="004C67AC"/>
    <w:rsid w:val="004C737C"/>
    <w:rsid w:val="004C772C"/>
    <w:rsid w:val="004D089A"/>
    <w:rsid w:val="004D1AF9"/>
    <w:rsid w:val="004D1EEF"/>
    <w:rsid w:val="004D2F01"/>
    <w:rsid w:val="004D3E84"/>
    <w:rsid w:val="004D4069"/>
    <w:rsid w:val="004D4239"/>
    <w:rsid w:val="004D5BD9"/>
    <w:rsid w:val="004D7761"/>
    <w:rsid w:val="004D792A"/>
    <w:rsid w:val="004D7B30"/>
    <w:rsid w:val="004E0356"/>
    <w:rsid w:val="004E1B25"/>
    <w:rsid w:val="004E1F62"/>
    <w:rsid w:val="004E2608"/>
    <w:rsid w:val="004E285A"/>
    <w:rsid w:val="004E44B4"/>
    <w:rsid w:val="004E4ACF"/>
    <w:rsid w:val="004E5100"/>
    <w:rsid w:val="004E59D0"/>
    <w:rsid w:val="004E6BE8"/>
    <w:rsid w:val="004E738B"/>
    <w:rsid w:val="004F053E"/>
    <w:rsid w:val="004F0644"/>
    <w:rsid w:val="004F1B6B"/>
    <w:rsid w:val="004F5A29"/>
    <w:rsid w:val="004F5A4D"/>
    <w:rsid w:val="0050106F"/>
    <w:rsid w:val="0050109F"/>
    <w:rsid w:val="00501C07"/>
    <w:rsid w:val="00501D21"/>
    <w:rsid w:val="00502CA2"/>
    <w:rsid w:val="005046A0"/>
    <w:rsid w:val="00505740"/>
    <w:rsid w:val="00505C5F"/>
    <w:rsid w:val="0051210A"/>
    <w:rsid w:val="005137D4"/>
    <w:rsid w:val="00514BC5"/>
    <w:rsid w:val="00514EA1"/>
    <w:rsid w:val="005174BB"/>
    <w:rsid w:val="005211DB"/>
    <w:rsid w:val="00521FF5"/>
    <w:rsid w:val="0052309E"/>
    <w:rsid w:val="005232C7"/>
    <w:rsid w:val="00524AC8"/>
    <w:rsid w:val="00525A31"/>
    <w:rsid w:val="00530487"/>
    <w:rsid w:val="00532339"/>
    <w:rsid w:val="0053286C"/>
    <w:rsid w:val="00533C44"/>
    <w:rsid w:val="0053457F"/>
    <w:rsid w:val="0053492D"/>
    <w:rsid w:val="00540D6B"/>
    <w:rsid w:val="00541519"/>
    <w:rsid w:val="00542DE0"/>
    <w:rsid w:val="005447C2"/>
    <w:rsid w:val="00545029"/>
    <w:rsid w:val="005450E5"/>
    <w:rsid w:val="005464C7"/>
    <w:rsid w:val="005470D7"/>
    <w:rsid w:val="0054720A"/>
    <w:rsid w:val="0055045C"/>
    <w:rsid w:val="00554463"/>
    <w:rsid w:val="00557D9A"/>
    <w:rsid w:val="00560AEA"/>
    <w:rsid w:val="0056133B"/>
    <w:rsid w:val="00561BCD"/>
    <w:rsid w:val="00563AF0"/>
    <w:rsid w:val="00564555"/>
    <w:rsid w:val="00564969"/>
    <w:rsid w:val="005649AB"/>
    <w:rsid w:val="00567B54"/>
    <w:rsid w:val="0057076B"/>
    <w:rsid w:val="00571DEF"/>
    <w:rsid w:val="00572AE1"/>
    <w:rsid w:val="00573898"/>
    <w:rsid w:val="00574297"/>
    <w:rsid w:val="00575EDC"/>
    <w:rsid w:val="0057637D"/>
    <w:rsid w:val="00576C9F"/>
    <w:rsid w:val="00576CA5"/>
    <w:rsid w:val="00577B3F"/>
    <w:rsid w:val="00581B79"/>
    <w:rsid w:val="00581DE1"/>
    <w:rsid w:val="00582064"/>
    <w:rsid w:val="005823B5"/>
    <w:rsid w:val="005840D2"/>
    <w:rsid w:val="005842F3"/>
    <w:rsid w:val="0058439A"/>
    <w:rsid w:val="005843BD"/>
    <w:rsid w:val="00584521"/>
    <w:rsid w:val="00585633"/>
    <w:rsid w:val="00587430"/>
    <w:rsid w:val="0059110D"/>
    <w:rsid w:val="00591A13"/>
    <w:rsid w:val="005923BA"/>
    <w:rsid w:val="00592C7F"/>
    <w:rsid w:val="0059395D"/>
    <w:rsid w:val="00594A42"/>
    <w:rsid w:val="00597279"/>
    <w:rsid w:val="005A0CCD"/>
    <w:rsid w:val="005A1F10"/>
    <w:rsid w:val="005A2AE9"/>
    <w:rsid w:val="005A385E"/>
    <w:rsid w:val="005A393B"/>
    <w:rsid w:val="005A3FE4"/>
    <w:rsid w:val="005A434A"/>
    <w:rsid w:val="005A7A66"/>
    <w:rsid w:val="005B1A45"/>
    <w:rsid w:val="005B2D53"/>
    <w:rsid w:val="005B4203"/>
    <w:rsid w:val="005B49BB"/>
    <w:rsid w:val="005B5FC9"/>
    <w:rsid w:val="005B6931"/>
    <w:rsid w:val="005B6977"/>
    <w:rsid w:val="005B7318"/>
    <w:rsid w:val="005C0374"/>
    <w:rsid w:val="005C079D"/>
    <w:rsid w:val="005C1B1E"/>
    <w:rsid w:val="005C1D43"/>
    <w:rsid w:val="005C29A8"/>
    <w:rsid w:val="005C61F9"/>
    <w:rsid w:val="005C7058"/>
    <w:rsid w:val="005D0BD3"/>
    <w:rsid w:val="005D0BE1"/>
    <w:rsid w:val="005D17B6"/>
    <w:rsid w:val="005D1850"/>
    <w:rsid w:val="005D2A94"/>
    <w:rsid w:val="005D58BC"/>
    <w:rsid w:val="005D78C5"/>
    <w:rsid w:val="005D7B34"/>
    <w:rsid w:val="005D7C8F"/>
    <w:rsid w:val="005E035B"/>
    <w:rsid w:val="005E0CA8"/>
    <w:rsid w:val="005E10BD"/>
    <w:rsid w:val="005E1281"/>
    <w:rsid w:val="005E3046"/>
    <w:rsid w:val="005E3189"/>
    <w:rsid w:val="005E3D00"/>
    <w:rsid w:val="005E45F0"/>
    <w:rsid w:val="005E6A96"/>
    <w:rsid w:val="005E797E"/>
    <w:rsid w:val="005E7ABD"/>
    <w:rsid w:val="005F040C"/>
    <w:rsid w:val="005F0862"/>
    <w:rsid w:val="005F1EFE"/>
    <w:rsid w:val="005F24D5"/>
    <w:rsid w:val="005F337B"/>
    <w:rsid w:val="005F3F58"/>
    <w:rsid w:val="005F44B2"/>
    <w:rsid w:val="00600C15"/>
    <w:rsid w:val="00600F68"/>
    <w:rsid w:val="0060131A"/>
    <w:rsid w:val="00601DF1"/>
    <w:rsid w:val="00604BF5"/>
    <w:rsid w:val="00610A50"/>
    <w:rsid w:val="00610ECC"/>
    <w:rsid w:val="006130BE"/>
    <w:rsid w:val="00614BA7"/>
    <w:rsid w:val="00614EE9"/>
    <w:rsid w:val="006167BF"/>
    <w:rsid w:val="0062122E"/>
    <w:rsid w:val="00621DA8"/>
    <w:rsid w:val="00622427"/>
    <w:rsid w:val="00622987"/>
    <w:rsid w:val="00623C20"/>
    <w:rsid w:val="00623E5D"/>
    <w:rsid w:val="00623EF9"/>
    <w:rsid w:val="006241D6"/>
    <w:rsid w:val="00624D0A"/>
    <w:rsid w:val="00624DAA"/>
    <w:rsid w:val="00625533"/>
    <w:rsid w:val="00626013"/>
    <w:rsid w:val="006262D2"/>
    <w:rsid w:val="006319FF"/>
    <w:rsid w:val="00633A35"/>
    <w:rsid w:val="00634D1F"/>
    <w:rsid w:val="00634F8F"/>
    <w:rsid w:val="00641902"/>
    <w:rsid w:val="00642CF9"/>
    <w:rsid w:val="006453BD"/>
    <w:rsid w:val="00650B65"/>
    <w:rsid w:val="006532DC"/>
    <w:rsid w:val="006533F8"/>
    <w:rsid w:val="00654230"/>
    <w:rsid w:val="00654CDA"/>
    <w:rsid w:val="006577D4"/>
    <w:rsid w:val="0066010E"/>
    <w:rsid w:val="00660EF0"/>
    <w:rsid w:val="00662272"/>
    <w:rsid w:val="006657CF"/>
    <w:rsid w:val="00667280"/>
    <w:rsid w:val="00671A20"/>
    <w:rsid w:val="00671D31"/>
    <w:rsid w:val="00673581"/>
    <w:rsid w:val="00674F5B"/>
    <w:rsid w:val="00675915"/>
    <w:rsid w:val="00676315"/>
    <w:rsid w:val="006800C9"/>
    <w:rsid w:val="00683934"/>
    <w:rsid w:val="00686DF2"/>
    <w:rsid w:val="00691D1F"/>
    <w:rsid w:val="0069249D"/>
    <w:rsid w:val="00693263"/>
    <w:rsid w:val="00695600"/>
    <w:rsid w:val="006971E6"/>
    <w:rsid w:val="006A170D"/>
    <w:rsid w:val="006A5904"/>
    <w:rsid w:val="006B1878"/>
    <w:rsid w:val="006B3F93"/>
    <w:rsid w:val="006B4E83"/>
    <w:rsid w:val="006B62FE"/>
    <w:rsid w:val="006B6360"/>
    <w:rsid w:val="006B6878"/>
    <w:rsid w:val="006B72F1"/>
    <w:rsid w:val="006B73D0"/>
    <w:rsid w:val="006C0316"/>
    <w:rsid w:val="006C1D4B"/>
    <w:rsid w:val="006C1FE8"/>
    <w:rsid w:val="006C359D"/>
    <w:rsid w:val="006C713E"/>
    <w:rsid w:val="006C755A"/>
    <w:rsid w:val="006C7CAA"/>
    <w:rsid w:val="006D2C5A"/>
    <w:rsid w:val="006D337D"/>
    <w:rsid w:val="006D537B"/>
    <w:rsid w:val="006D59AD"/>
    <w:rsid w:val="006D5C7D"/>
    <w:rsid w:val="006D6E7B"/>
    <w:rsid w:val="006D721C"/>
    <w:rsid w:val="006D7EE9"/>
    <w:rsid w:val="006E069A"/>
    <w:rsid w:val="006E3530"/>
    <w:rsid w:val="006E42C0"/>
    <w:rsid w:val="006E5A8D"/>
    <w:rsid w:val="006E6C6F"/>
    <w:rsid w:val="006E7704"/>
    <w:rsid w:val="006E7F35"/>
    <w:rsid w:val="006F0813"/>
    <w:rsid w:val="006F0908"/>
    <w:rsid w:val="006F0F42"/>
    <w:rsid w:val="006F1590"/>
    <w:rsid w:val="006F1AF9"/>
    <w:rsid w:val="006F1C6B"/>
    <w:rsid w:val="006F238F"/>
    <w:rsid w:val="006F59B2"/>
    <w:rsid w:val="006F5AF9"/>
    <w:rsid w:val="006F600F"/>
    <w:rsid w:val="006F632E"/>
    <w:rsid w:val="00703AE9"/>
    <w:rsid w:val="00704986"/>
    <w:rsid w:val="00705F67"/>
    <w:rsid w:val="0070641A"/>
    <w:rsid w:val="00710AD6"/>
    <w:rsid w:val="00712160"/>
    <w:rsid w:val="00713087"/>
    <w:rsid w:val="00714C96"/>
    <w:rsid w:val="0071673F"/>
    <w:rsid w:val="007167E9"/>
    <w:rsid w:val="00720F17"/>
    <w:rsid w:val="007237C6"/>
    <w:rsid w:val="007248ED"/>
    <w:rsid w:val="0072531D"/>
    <w:rsid w:val="00725B01"/>
    <w:rsid w:val="00727578"/>
    <w:rsid w:val="00730A3C"/>
    <w:rsid w:val="00731B61"/>
    <w:rsid w:val="00731CFD"/>
    <w:rsid w:val="00731E8B"/>
    <w:rsid w:val="00733559"/>
    <w:rsid w:val="00735555"/>
    <w:rsid w:val="00736D10"/>
    <w:rsid w:val="00737FAA"/>
    <w:rsid w:val="00740F8B"/>
    <w:rsid w:val="00741375"/>
    <w:rsid w:val="0074290F"/>
    <w:rsid w:val="007431CD"/>
    <w:rsid w:val="00743688"/>
    <w:rsid w:val="00743FA1"/>
    <w:rsid w:val="00745855"/>
    <w:rsid w:val="00746321"/>
    <w:rsid w:val="00746E48"/>
    <w:rsid w:val="007475E0"/>
    <w:rsid w:val="00747623"/>
    <w:rsid w:val="00747A63"/>
    <w:rsid w:val="00750288"/>
    <w:rsid w:val="007525A4"/>
    <w:rsid w:val="00753E22"/>
    <w:rsid w:val="00756354"/>
    <w:rsid w:val="00760570"/>
    <w:rsid w:val="00761A6A"/>
    <w:rsid w:val="00761F86"/>
    <w:rsid w:val="00763418"/>
    <w:rsid w:val="0076342C"/>
    <w:rsid w:val="00764513"/>
    <w:rsid w:val="00764576"/>
    <w:rsid w:val="0076657F"/>
    <w:rsid w:val="00767060"/>
    <w:rsid w:val="007678E5"/>
    <w:rsid w:val="007702FD"/>
    <w:rsid w:val="00770F6E"/>
    <w:rsid w:val="00772B1B"/>
    <w:rsid w:val="007734A1"/>
    <w:rsid w:val="0077491C"/>
    <w:rsid w:val="007766B3"/>
    <w:rsid w:val="00776FCE"/>
    <w:rsid w:val="00777B84"/>
    <w:rsid w:val="00777C7C"/>
    <w:rsid w:val="00777FB2"/>
    <w:rsid w:val="007806C4"/>
    <w:rsid w:val="00781458"/>
    <w:rsid w:val="007838E4"/>
    <w:rsid w:val="007842C7"/>
    <w:rsid w:val="007865AD"/>
    <w:rsid w:val="007870F5"/>
    <w:rsid w:val="007913C7"/>
    <w:rsid w:val="007931B8"/>
    <w:rsid w:val="00795BC2"/>
    <w:rsid w:val="00795BF6"/>
    <w:rsid w:val="00795E97"/>
    <w:rsid w:val="00797FAD"/>
    <w:rsid w:val="007A0612"/>
    <w:rsid w:val="007A0786"/>
    <w:rsid w:val="007A2597"/>
    <w:rsid w:val="007A2669"/>
    <w:rsid w:val="007A2D10"/>
    <w:rsid w:val="007A2DB5"/>
    <w:rsid w:val="007A44EC"/>
    <w:rsid w:val="007A592F"/>
    <w:rsid w:val="007B22BE"/>
    <w:rsid w:val="007B3107"/>
    <w:rsid w:val="007B3416"/>
    <w:rsid w:val="007B47DD"/>
    <w:rsid w:val="007B6769"/>
    <w:rsid w:val="007B7162"/>
    <w:rsid w:val="007C3F81"/>
    <w:rsid w:val="007C5651"/>
    <w:rsid w:val="007C6BC8"/>
    <w:rsid w:val="007C7812"/>
    <w:rsid w:val="007C7AE9"/>
    <w:rsid w:val="007D06F9"/>
    <w:rsid w:val="007D1023"/>
    <w:rsid w:val="007D20B8"/>
    <w:rsid w:val="007D3110"/>
    <w:rsid w:val="007D3CB0"/>
    <w:rsid w:val="007D3E86"/>
    <w:rsid w:val="007D4697"/>
    <w:rsid w:val="007D4F08"/>
    <w:rsid w:val="007D5BA2"/>
    <w:rsid w:val="007D6913"/>
    <w:rsid w:val="007E0A12"/>
    <w:rsid w:val="007E2D39"/>
    <w:rsid w:val="007E376A"/>
    <w:rsid w:val="007E5385"/>
    <w:rsid w:val="007E683D"/>
    <w:rsid w:val="007F0272"/>
    <w:rsid w:val="007F0DE3"/>
    <w:rsid w:val="007F1D0E"/>
    <w:rsid w:val="007F3696"/>
    <w:rsid w:val="007F725F"/>
    <w:rsid w:val="007F75A2"/>
    <w:rsid w:val="007F764B"/>
    <w:rsid w:val="00801C94"/>
    <w:rsid w:val="00802DF6"/>
    <w:rsid w:val="008038B9"/>
    <w:rsid w:val="008040A1"/>
    <w:rsid w:val="008049C4"/>
    <w:rsid w:val="00804C7E"/>
    <w:rsid w:val="00805BA3"/>
    <w:rsid w:val="008105A0"/>
    <w:rsid w:val="008120F7"/>
    <w:rsid w:val="008128BB"/>
    <w:rsid w:val="008133D1"/>
    <w:rsid w:val="008148A7"/>
    <w:rsid w:val="008157A8"/>
    <w:rsid w:val="00815F7A"/>
    <w:rsid w:val="008167C9"/>
    <w:rsid w:val="00816A17"/>
    <w:rsid w:val="00816B0E"/>
    <w:rsid w:val="00816C0C"/>
    <w:rsid w:val="008171A1"/>
    <w:rsid w:val="00821C60"/>
    <w:rsid w:val="00822844"/>
    <w:rsid w:val="00823570"/>
    <w:rsid w:val="008244A9"/>
    <w:rsid w:val="008308D7"/>
    <w:rsid w:val="00830FB7"/>
    <w:rsid w:val="008317C6"/>
    <w:rsid w:val="00831885"/>
    <w:rsid w:val="008339AB"/>
    <w:rsid w:val="00834A46"/>
    <w:rsid w:val="00836E28"/>
    <w:rsid w:val="00836FFF"/>
    <w:rsid w:val="008372A5"/>
    <w:rsid w:val="00837B56"/>
    <w:rsid w:val="008403E4"/>
    <w:rsid w:val="008408F0"/>
    <w:rsid w:val="00841AF9"/>
    <w:rsid w:val="00842654"/>
    <w:rsid w:val="00842B41"/>
    <w:rsid w:val="00844536"/>
    <w:rsid w:val="008448EE"/>
    <w:rsid w:val="00846E4B"/>
    <w:rsid w:val="008472E8"/>
    <w:rsid w:val="00847488"/>
    <w:rsid w:val="00852184"/>
    <w:rsid w:val="00852461"/>
    <w:rsid w:val="00852A92"/>
    <w:rsid w:val="00852C99"/>
    <w:rsid w:val="008533F1"/>
    <w:rsid w:val="008550B8"/>
    <w:rsid w:val="00860419"/>
    <w:rsid w:val="0086134A"/>
    <w:rsid w:val="00861D3E"/>
    <w:rsid w:val="00861F59"/>
    <w:rsid w:val="00862E8C"/>
    <w:rsid w:val="008630E0"/>
    <w:rsid w:val="008633E3"/>
    <w:rsid w:val="00863D93"/>
    <w:rsid w:val="00863F39"/>
    <w:rsid w:val="00864336"/>
    <w:rsid w:val="00864E56"/>
    <w:rsid w:val="00865AC9"/>
    <w:rsid w:val="00865BB8"/>
    <w:rsid w:val="00866BA3"/>
    <w:rsid w:val="00871E09"/>
    <w:rsid w:val="0087248C"/>
    <w:rsid w:val="00874418"/>
    <w:rsid w:val="00877655"/>
    <w:rsid w:val="00885CA5"/>
    <w:rsid w:val="00890378"/>
    <w:rsid w:val="00892136"/>
    <w:rsid w:val="008947AC"/>
    <w:rsid w:val="00895FAC"/>
    <w:rsid w:val="008969F8"/>
    <w:rsid w:val="00896B64"/>
    <w:rsid w:val="00896F71"/>
    <w:rsid w:val="008A0ACA"/>
    <w:rsid w:val="008A1BBB"/>
    <w:rsid w:val="008A1C97"/>
    <w:rsid w:val="008A353D"/>
    <w:rsid w:val="008A3A46"/>
    <w:rsid w:val="008A56B2"/>
    <w:rsid w:val="008A6C74"/>
    <w:rsid w:val="008B2341"/>
    <w:rsid w:val="008B745A"/>
    <w:rsid w:val="008C1B42"/>
    <w:rsid w:val="008C27DD"/>
    <w:rsid w:val="008C2CBD"/>
    <w:rsid w:val="008C592B"/>
    <w:rsid w:val="008C5AA4"/>
    <w:rsid w:val="008D36CE"/>
    <w:rsid w:val="008D388C"/>
    <w:rsid w:val="008D3E63"/>
    <w:rsid w:val="008D5C50"/>
    <w:rsid w:val="008D6A7E"/>
    <w:rsid w:val="008E1C25"/>
    <w:rsid w:val="008E20E7"/>
    <w:rsid w:val="008E3930"/>
    <w:rsid w:val="008E42F5"/>
    <w:rsid w:val="008E49C4"/>
    <w:rsid w:val="008F0082"/>
    <w:rsid w:val="008F06B4"/>
    <w:rsid w:val="008F1DCA"/>
    <w:rsid w:val="008F33C1"/>
    <w:rsid w:val="008F356A"/>
    <w:rsid w:val="008F3581"/>
    <w:rsid w:val="008F55AC"/>
    <w:rsid w:val="008F5776"/>
    <w:rsid w:val="008F64F5"/>
    <w:rsid w:val="008F6525"/>
    <w:rsid w:val="008F66DE"/>
    <w:rsid w:val="008F7073"/>
    <w:rsid w:val="00900FC2"/>
    <w:rsid w:val="009016E9"/>
    <w:rsid w:val="00904056"/>
    <w:rsid w:val="009041BC"/>
    <w:rsid w:val="00904375"/>
    <w:rsid w:val="009047D8"/>
    <w:rsid w:val="00906892"/>
    <w:rsid w:val="009075A9"/>
    <w:rsid w:val="00907609"/>
    <w:rsid w:val="00910506"/>
    <w:rsid w:val="009110B3"/>
    <w:rsid w:val="0091244C"/>
    <w:rsid w:val="00912FA9"/>
    <w:rsid w:val="0091332D"/>
    <w:rsid w:val="009140B2"/>
    <w:rsid w:val="0091712F"/>
    <w:rsid w:val="009217C8"/>
    <w:rsid w:val="00921AE5"/>
    <w:rsid w:val="0092247B"/>
    <w:rsid w:val="00922FEF"/>
    <w:rsid w:val="0092484F"/>
    <w:rsid w:val="00925EF5"/>
    <w:rsid w:val="00926826"/>
    <w:rsid w:val="00927092"/>
    <w:rsid w:val="00927885"/>
    <w:rsid w:val="009310BC"/>
    <w:rsid w:val="00931518"/>
    <w:rsid w:val="0093211B"/>
    <w:rsid w:val="00932F44"/>
    <w:rsid w:val="00936C55"/>
    <w:rsid w:val="00941BAB"/>
    <w:rsid w:val="00943568"/>
    <w:rsid w:val="00945CC3"/>
    <w:rsid w:val="00946330"/>
    <w:rsid w:val="00946C41"/>
    <w:rsid w:val="0095194C"/>
    <w:rsid w:val="00951B79"/>
    <w:rsid w:val="00952308"/>
    <w:rsid w:val="00952D3B"/>
    <w:rsid w:val="00952EF9"/>
    <w:rsid w:val="00954E4F"/>
    <w:rsid w:val="00955E9A"/>
    <w:rsid w:val="00956200"/>
    <w:rsid w:val="00956A07"/>
    <w:rsid w:val="009570DD"/>
    <w:rsid w:val="00960558"/>
    <w:rsid w:val="00960D0F"/>
    <w:rsid w:val="00960E2A"/>
    <w:rsid w:val="00962E1D"/>
    <w:rsid w:val="00964240"/>
    <w:rsid w:val="009645D3"/>
    <w:rsid w:val="00966023"/>
    <w:rsid w:val="0097140A"/>
    <w:rsid w:val="00971623"/>
    <w:rsid w:val="00972974"/>
    <w:rsid w:val="00974D1E"/>
    <w:rsid w:val="0097651C"/>
    <w:rsid w:val="00982FBA"/>
    <w:rsid w:val="00983881"/>
    <w:rsid w:val="00984508"/>
    <w:rsid w:val="0098534E"/>
    <w:rsid w:val="00985833"/>
    <w:rsid w:val="0098679F"/>
    <w:rsid w:val="00990CDA"/>
    <w:rsid w:val="00992179"/>
    <w:rsid w:val="009922FA"/>
    <w:rsid w:val="00992AF9"/>
    <w:rsid w:val="00992DF1"/>
    <w:rsid w:val="009967EA"/>
    <w:rsid w:val="009A12BD"/>
    <w:rsid w:val="009A148F"/>
    <w:rsid w:val="009A1C9D"/>
    <w:rsid w:val="009A339E"/>
    <w:rsid w:val="009A465E"/>
    <w:rsid w:val="009A4A00"/>
    <w:rsid w:val="009A503C"/>
    <w:rsid w:val="009A51C2"/>
    <w:rsid w:val="009A51E6"/>
    <w:rsid w:val="009A57FB"/>
    <w:rsid w:val="009A6B9B"/>
    <w:rsid w:val="009B0811"/>
    <w:rsid w:val="009B0C42"/>
    <w:rsid w:val="009B3B62"/>
    <w:rsid w:val="009B525A"/>
    <w:rsid w:val="009B6F87"/>
    <w:rsid w:val="009B7002"/>
    <w:rsid w:val="009B7008"/>
    <w:rsid w:val="009B775D"/>
    <w:rsid w:val="009B7B82"/>
    <w:rsid w:val="009C54A7"/>
    <w:rsid w:val="009C587F"/>
    <w:rsid w:val="009D1C87"/>
    <w:rsid w:val="009D27C6"/>
    <w:rsid w:val="009D4561"/>
    <w:rsid w:val="009D76D1"/>
    <w:rsid w:val="009D7F55"/>
    <w:rsid w:val="009E0080"/>
    <w:rsid w:val="009E1F2C"/>
    <w:rsid w:val="009E56AB"/>
    <w:rsid w:val="009E7F6B"/>
    <w:rsid w:val="009F0272"/>
    <w:rsid w:val="009F07CC"/>
    <w:rsid w:val="009F0C92"/>
    <w:rsid w:val="009F1C41"/>
    <w:rsid w:val="009F3E86"/>
    <w:rsid w:val="009F533C"/>
    <w:rsid w:val="009F5E53"/>
    <w:rsid w:val="009F7367"/>
    <w:rsid w:val="00A009EF"/>
    <w:rsid w:val="00A00CC9"/>
    <w:rsid w:val="00A01C86"/>
    <w:rsid w:val="00A02E7D"/>
    <w:rsid w:val="00A032B4"/>
    <w:rsid w:val="00A03CBA"/>
    <w:rsid w:val="00A041B4"/>
    <w:rsid w:val="00A05CDD"/>
    <w:rsid w:val="00A11F40"/>
    <w:rsid w:val="00A12B1F"/>
    <w:rsid w:val="00A139E0"/>
    <w:rsid w:val="00A1400D"/>
    <w:rsid w:val="00A141CB"/>
    <w:rsid w:val="00A14B74"/>
    <w:rsid w:val="00A17C31"/>
    <w:rsid w:val="00A20162"/>
    <w:rsid w:val="00A20C08"/>
    <w:rsid w:val="00A210DB"/>
    <w:rsid w:val="00A2147B"/>
    <w:rsid w:val="00A26B2F"/>
    <w:rsid w:val="00A26FEE"/>
    <w:rsid w:val="00A31A48"/>
    <w:rsid w:val="00A323B5"/>
    <w:rsid w:val="00A32BE8"/>
    <w:rsid w:val="00A334E8"/>
    <w:rsid w:val="00A33765"/>
    <w:rsid w:val="00A33CC3"/>
    <w:rsid w:val="00A33D70"/>
    <w:rsid w:val="00A34141"/>
    <w:rsid w:val="00A3582A"/>
    <w:rsid w:val="00A370EF"/>
    <w:rsid w:val="00A378BA"/>
    <w:rsid w:val="00A37C93"/>
    <w:rsid w:val="00A40334"/>
    <w:rsid w:val="00A40938"/>
    <w:rsid w:val="00A41CDB"/>
    <w:rsid w:val="00A42C44"/>
    <w:rsid w:val="00A43858"/>
    <w:rsid w:val="00A44018"/>
    <w:rsid w:val="00A45273"/>
    <w:rsid w:val="00A512AE"/>
    <w:rsid w:val="00A5273E"/>
    <w:rsid w:val="00A5305A"/>
    <w:rsid w:val="00A54CC3"/>
    <w:rsid w:val="00A56F56"/>
    <w:rsid w:val="00A5708F"/>
    <w:rsid w:val="00A60C57"/>
    <w:rsid w:val="00A60DA1"/>
    <w:rsid w:val="00A63206"/>
    <w:rsid w:val="00A63861"/>
    <w:rsid w:val="00A63894"/>
    <w:rsid w:val="00A63A47"/>
    <w:rsid w:val="00A63FE8"/>
    <w:rsid w:val="00A6538D"/>
    <w:rsid w:val="00A65E4B"/>
    <w:rsid w:val="00A66101"/>
    <w:rsid w:val="00A6699B"/>
    <w:rsid w:val="00A705E9"/>
    <w:rsid w:val="00A70D1A"/>
    <w:rsid w:val="00A732B6"/>
    <w:rsid w:val="00A73CF6"/>
    <w:rsid w:val="00A74FA2"/>
    <w:rsid w:val="00A77215"/>
    <w:rsid w:val="00A774AB"/>
    <w:rsid w:val="00A8125A"/>
    <w:rsid w:val="00A82A2C"/>
    <w:rsid w:val="00A833CD"/>
    <w:rsid w:val="00A83D13"/>
    <w:rsid w:val="00A8619D"/>
    <w:rsid w:val="00A863E0"/>
    <w:rsid w:val="00A86D9C"/>
    <w:rsid w:val="00A86DBD"/>
    <w:rsid w:val="00A91B7A"/>
    <w:rsid w:val="00A93089"/>
    <w:rsid w:val="00A97037"/>
    <w:rsid w:val="00AA0E26"/>
    <w:rsid w:val="00AA0F01"/>
    <w:rsid w:val="00AA0FDB"/>
    <w:rsid w:val="00AA172D"/>
    <w:rsid w:val="00AA1EA1"/>
    <w:rsid w:val="00AA206F"/>
    <w:rsid w:val="00AA30B6"/>
    <w:rsid w:val="00AA48D7"/>
    <w:rsid w:val="00AA52BF"/>
    <w:rsid w:val="00AB0F8D"/>
    <w:rsid w:val="00AB4B9C"/>
    <w:rsid w:val="00AC075E"/>
    <w:rsid w:val="00AC124F"/>
    <w:rsid w:val="00AC1364"/>
    <w:rsid w:val="00AC1731"/>
    <w:rsid w:val="00AC20D2"/>
    <w:rsid w:val="00AC289D"/>
    <w:rsid w:val="00AC2E6C"/>
    <w:rsid w:val="00AC3873"/>
    <w:rsid w:val="00AC3F6C"/>
    <w:rsid w:val="00AC7859"/>
    <w:rsid w:val="00AD0A88"/>
    <w:rsid w:val="00AD2393"/>
    <w:rsid w:val="00AD2C3A"/>
    <w:rsid w:val="00AD2D37"/>
    <w:rsid w:val="00AD3A2C"/>
    <w:rsid w:val="00AD3B45"/>
    <w:rsid w:val="00AD3BEA"/>
    <w:rsid w:val="00AD44DF"/>
    <w:rsid w:val="00AD491E"/>
    <w:rsid w:val="00AD4EA7"/>
    <w:rsid w:val="00AD4F78"/>
    <w:rsid w:val="00AD559F"/>
    <w:rsid w:val="00AD68F8"/>
    <w:rsid w:val="00AD7207"/>
    <w:rsid w:val="00AE0E76"/>
    <w:rsid w:val="00AE16A9"/>
    <w:rsid w:val="00AE17A6"/>
    <w:rsid w:val="00AE1C40"/>
    <w:rsid w:val="00AE20FA"/>
    <w:rsid w:val="00AE217F"/>
    <w:rsid w:val="00AE7F94"/>
    <w:rsid w:val="00AF05A1"/>
    <w:rsid w:val="00AF34D3"/>
    <w:rsid w:val="00AF3544"/>
    <w:rsid w:val="00AF3CBE"/>
    <w:rsid w:val="00AF3D5B"/>
    <w:rsid w:val="00AF4522"/>
    <w:rsid w:val="00AF47CF"/>
    <w:rsid w:val="00AF4C75"/>
    <w:rsid w:val="00AF5EA8"/>
    <w:rsid w:val="00AF676A"/>
    <w:rsid w:val="00AF772B"/>
    <w:rsid w:val="00AF7BE5"/>
    <w:rsid w:val="00B02042"/>
    <w:rsid w:val="00B022B2"/>
    <w:rsid w:val="00B04727"/>
    <w:rsid w:val="00B04C31"/>
    <w:rsid w:val="00B05D65"/>
    <w:rsid w:val="00B05F83"/>
    <w:rsid w:val="00B066C3"/>
    <w:rsid w:val="00B11141"/>
    <w:rsid w:val="00B14050"/>
    <w:rsid w:val="00B14243"/>
    <w:rsid w:val="00B15063"/>
    <w:rsid w:val="00B16C44"/>
    <w:rsid w:val="00B1742A"/>
    <w:rsid w:val="00B20342"/>
    <w:rsid w:val="00B214D6"/>
    <w:rsid w:val="00B21968"/>
    <w:rsid w:val="00B21DAA"/>
    <w:rsid w:val="00B21DC7"/>
    <w:rsid w:val="00B22122"/>
    <w:rsid w:val="00B2258C"/>
    <w:rsid w:val="00B22C14"/>
    <w:rsid w:val="00B2375E"/>
    <w:rsid w:val="00B25DE9"/>
    <w:rsid w:val="00B25FEC"/>
    <w:rsid w:val="00B26FB5"/>
    <w:rsid w:val="00B27D2B"/>
    <w:rsid w:val="00B300C3"/>
    <w:rsid w:val="00B3034A"/>
    <w:rsid w:val="00B30ED3"/>
    <w:rsid w:val="00B34FDA"/>
    <w:rsid w:val="00B36C98"/>
    <w:rsid w:val="00B3781F"/>
    <w:rsid w:val="00B4010A"/>
    <w:rsid w:val="00B41A1A"/>
    <w:rsid w:val="00B41CA0"/>
    <w:rsid w:val="00B44448"/>
    <w:rsid w:val="00B45475"/>
    <w:rsid w:val="00B46686"/>
    <w:rsid w:val="00B46C75"/>
    <w:rsid w:val="00B47572"/>
    <w:rsid w:val="00B5000A"/>
    <w:rsid w:val="00B50DF4"/>
    <w:rsid w:val="00B51A3B"/>
    <w:rsid w:val="00B52559"/>
    <w:rsid w:val="00B52B60"/>
    <w:rsid w:val="00B530DD"/>
    <w:rsid w:val="00B547E6"/>
    <w:rsid w:val="00B55A93"/>
    <w:rsid w:val="00B565CF"/>
    <w:rsid w:val="00B609C1"/>
    <w:rsid w:val="00B62C72"/>
    <w:rsid w:val="00B63E6A"/>
    <w:rsid w:val="00B64114"/>
    <w:rsid w:val="00B65684"/>
    <w:rsid w:val="00B70078"/>
    <w:rsid w:val="00B7164D"/>
    <w:rsid w:val="00B73267"/>
    <w:rsid w:val="00B73FE4"/>
    <w:rsid w:val="00B7606D"/>
    <w:rsid w:val="00B763B0"/>
    <w:rsid w:val="00B76846"/>
    <w:rsid w:val="00B806E7"/>
    <w:rsid w:val="00B81D63"/>
    <w:rsid w:val="00B83118"/>
    <w:rsid w:val="00B85490"/>
    <w:rsid w:val="00B863B6"/>
    <w:rsid w:val="00B86A15"/>
    <w:rsid w:val="00B87479"/>
    <w:rsid w:val="00B9012C"/>
    <w:rsid w:val="00B90945"/>
    <w:rsid w:val="00B9095D"/>
    <w:rsid w:val="00B90B25"/>
    <w:rsid w:val="00B90BAD"/>
    <w:rsid w:val="00B91AC6"/>
    <w:rsid w:val="00B9295B"/>
    <w:rsid w:val="00B93C12"/>
    <w:rsid w:val="00B93E27"/>
    <w:rsid w:val="00B94B6E"/>
    <w:rsid w:val="00B94FCE"/>
    <w:rsid w:val="00B950E7"/>
    <w:rsid w:val="00B95F6C"/>
    <w:rsid w:val="00B96075"/>
    <w:rsid w:val="00B9664A"/>
    <w:rsid w:val="00B9774D"/>
    <w:rsid w:val="00BA0478"/>
    <w:rsid w:val="00BA16DB"/>
    <w:rsid w:val="00BA1941"/>
    <w:rsid w:val="00BA4793"/>
    <w:rsid w:val="00BA65B0"/>
    <w:rsid w:val="00BB147C"/>
    <w:rsid w:val="00BB1B37"/>
    <w:rsid w:val="00BB1DEF"/>
    <w:rsid w:val="00BB2726"/>
    <w:rsid w:val="00BB284C"/>
    <w:rsid w:val="00BB2C02"/>
    <w:rsid w:val="00BB399E"/>
    <w:rsid w:val="00BB3C04"/>
    <w:rsid w:val="00BB4DD7"/>
    <w:rsid w:val="00BB504B"/>
    <w:rsid w:val="00BB5A3D"/>
    <w:rsid w:val="00BB73B7"/>
    <w:rsid w:val="00BC144E"/>
    <w:rsid w:val="00BC164C"/>
    <w:rsid w:val="00BC2C85"/>
    <w:rsid w:val="00BC42B6"/>
    <w:rsid w:val="00BC4A46"/>
    <w:rsid w:val="00BC5A40"/>
    <w:rsid w:val="00BC75B5"/>
    <w:rsid w:val="00BC7EB5"/>
    <w:rsid w:val="00BD3F75"/>
    <w:rsid w:val="00BE06AB"/>
    <w:rsid w:val="00BE161D"/>
    <w:rsid w:val="00BE48B9"/>
    <w:rsid w:val="00BE6727"/>
    <w:rsid w:val="00BF077B"/>
    <w:rsid w:val="00BF287A"/>
    <w:rsid w:val="00BF2DA7"/>
    <w:rsid w:val="00BF33B7"/>
    <w:rsid w:val="00BF4E25"/>
    <w:rsid w:val="00BF5356"/>
    <w:rsid w:val="00BF6107"/>
    <w:rsid w:val="00BF6D46"/>
    <w:rsid w:val="00C000A5"/>
    <w:rsid w:val="00C02069"/>
    <w:rsid w:val="00C02A99"/>
    <w:rsid w:val="00C02C6D"/>
    <w:rsid w:val="00C03800"/>
    <w:rsid w:val="00C041F0"/>
    <w:rsid w:val="00C048F2"/>
    <w:rsid w:val="00C04D7A"/>
    <w:rsid w:val="00C059EF"/>
    <w:rsid w:val="00C068C5"/>
    <w:rsid w:val="00C079A6"/>
    <w:rsid w:val="00C109D2"/>
    <w:rsid w:val="00C10A14"/>
    <w:rsid w:val="00C11A6E"/>
    <w:rsid w:val="00C11B83"/>
    <w:rsid w:val="00C11ED7"/>
    <w:rsid w:val="00C12348"/>
    <w:rsid w:val="00C12CC2"/>
    <w:rsid w:val="00C131E6"/>
    <w:rsid w:val="00C13E35"/>
    <w:rsid w:val="00C1434A"/>
    <w:rsid w:val="00C14C6E"/>
    <w:rsid w:val="00C14DC0"/>
    <w:rsid w:val="00C14E46"/>
    <w:rsid w:val="00C15FBF"/>
    <w:rsid w:val="00C1618D"/>
    <w:rsid w:val="00C16E2D"/>
    <w:rsid w:val="00C20CC1"/>
    <w:rsid w:val="00C21A51"/>
    <w:rsid w:val="00C22A56"/>
    <w:rsid w:val="00C22B56"/>
    <w:rsid w:val="00C22B78"/>
    <w:rsid w:val="00C23C48"/>
    <w:rsid w:val="00C2472E"/>
    <w:rsid w:val="00C24F17"/>
    <w:rsid w:val="00C260C5"/>
    <w:rsid w:val="00C26E0A"/>
    <w:rsid w:val="00C301DA"/>
    <w:rsid w:val="00C32F74"/>
    <w:rsid w:val="00C33C68"/>
    <w:rsid w:val="00C35347"/>
    <w:rsid w:val="00C35FE8"/>
    <w:rsid w:val="00C37A9A"/>
    <w:rsid w:val="00C41778"/>
    <w:rsid w:val="00C44173"/>
    <w:rsid w:val="00C44DF0"/>
    <w:rsid w:val="00C4532A"/>
    <w:rsid w:val="00C461B4"/>
    <w:rsid w:val="00C4750D"/>
    <w:rsid w:val="00C50458"/>
    <w:rsid w:val="00C5175A"/>
    <w:rsid w:val="00C542C5"/>
    <w:rsid w:val="00C563C4"/>
    <w:rsid w:val="00C57133"/>
    <w:rsid w:val="00C61448"/>
    <w:rsid w:val="00C622A8"/>
    <w:rsid w:val="00C62803"/>
    <w:rsid w:val="00C630B1"/>
    <w:rsid w:val="00C643CB"/>
    <w:rsid w:val="00C64CC3"/>
    <w:rsid w:val="00C657FA"/>
    <w:rsid w:val="00C65AD7"/>
    <w:rsid w:val="00C717A5"/>
    <w:rsid w:val="00C71A00"/>
    <w:rsid w:val="00C74295"/>
    <w:rsid w:val="00C74C2C"/>
    <w:rsid w:val="00C81BA8"/>
    <w:rsid w:val="00C829A7"/>
    <w:rsid w:val="00C83404"/>
    <w:rsid w:val="00C84556"/>
    <w:rsid w:val="00C85441"/>
    <w:rsid w:val="00C90CA2"/>
    <w:rsid w:val="00C92183"/>
    <w:rsid w:val="00C92A4D"/>
    <w:rsid w:val="00C92F08"/>
    <w:rsid w:val="00C932C9"/>
    <w:rsid w:val="00C9414E"/>
    <w:rsid w:val="00C94C10"/>
    <w:rsid w:val="00C955C7"/>
    <w:rsid w:val="00C966EB"/>
    <w:rsid w:val="00C976EC"/>
    <w:rsid w:val="00CA07FE"/>
    <w:rsid w:val="00CA1592"/>
    <w:rsid w:val="00CA3232"/>
    <w:rsid w:val="00CA54FA"/>
    <w:rsid w:val="00CA5C34"/>
    <w:rsid w:val="00CB24AA"/>
    <w:rsid w:val="00CB2752"/>
    <w:rsid w:val="00CB2F7D"/>
    <w:rsid w:val="00CB6204"/>
    <w:rsid w:val="00CC0BB1"/>
    <w:rsid w:val="00CC0F85"/>
    <w:rsid w:val="00CC2955"/>
    <w:rsid w:val="00CC31E4"/>
    <w:rsid w:val="00CC3224"/>
    <w:rsid w:val="00CC5326"/>
    <w:rsid w:val="00CC58F7"/>
    <w:rsid w:val="00CC66FB"/>
    <w:rsid w:val="00CD1DF3"/>
    <w:rsid w:val="00CD2375"/>
    <w:rsid w:val="00CD3267"/>
    <w:rsid w:val="00CD5452"/>
    <w:rsid w:val="00CD64F1"/>
    <w:rsid w:val="00CD6D43"/>
    <w:rsid w:val="00CD6F76"/>
    <w:rsid w:val="00CD7447"/>
    <w:rsid w:val="00CD7938"/>
    <w:rsid w:val="00CD7C82"/>
    <w:rsid w:val="00CE33EC"/>
    <w:rsid w:val="00CE793A"/>
    <w:rsid w:val="00CE7AB1"/>
    <w:rsid w:val="00CF0323"/>
    <w:rsid w:val="00CF24DA"/>
    <w:rsid w:val="00CF36C0"/>
    <w:rsid w:val="00CF405F"/>
    <w:rsid w:val="00CF58C8"/>
    <w:rsid w:val="00CF622A"/>
    <w:rsid w:val="00CF7B40"/>
    <w:rsid w:val="00D00914"/>
    <w:rsid w:val="00D021F2"/>
    <w:rsid w:val="00D03A1E"/>
    <w:rsid w:val="00D03A87"/>
    <w:rsid w:val="00D0498A"/>
    <w:rsid w:val="00D060A0"/>
    <w:rsid w:val="00D06C4A"/>
    <w:rsid w:val="00D1001A"/>
    <w:rsid w:val="00D10D76"/>
    <w:rsid w:val="00D10F1D"/>
    <w:rsid w:val="00D14FD5"/>
    <w:rsid w:val="00D151C8"/>
    <w:rsid w:val="00D16042"/>
    <w:rsid w:val="00D17AB3"/>
    <w:rsid w:val="00D20032"/>
    <w:rsid w:val="00D202C9"/>
    <w:rsid w:val="00D20BFC"/>
    <w:rsid w:val="00D20C54"/>
    <w:rsid w:val="00D211A7"/>
    <w:rsid w:val="00D21285"/>
    <w:rsid w:val="00D22949"/>
    <w:rsid w:val="00D262A5"/>
    <w:rsid w:val="00D274F2"/>
    <w:rsid w:val="00D2757D"/>
    <w:rsid w:val="00D30F84"/>
    <w:rsid w:val="00D3227C"/>
    <w:rsid w:val="00D3604D"/>
    <w:rsid w:val="00D36582"/>
    <w:rsid w:val="00D36929"/>
    <w:rsid w:val="00D37897"/>
    <w:rsid w:val="00D37EAC"/>
    <w:rsid w:val="00D40C37"/>
    <w:rsid w:val="00D411E6"/>
    <w:rsid w:val="00D41F11"/>
    <w:rsid w:val="00D43BAF"/>
    <w:rsid w:val="00D474CC"/>
    <w:rsid w:val="00D4757A"/>
    <w:rsid w:val="00D50DEB"/>
    <w:rsid w:val="00D51F8A"/>
    <w:rsid w:val="00D529BA"/>
    <w:rsid w:val="00D534FF"/>
    <w:rsid w:val="00D5394D"/>
    <w:rsid w:val="00D539C9"/>
    <w:rsid w:val="00D53B04"/>
    <w:rsid w:val="00D541DC"/>
    <w:rsid w:val="00D54DFD"/>
    <w:rsid w:val="00D54EB1"/>
    <w:rsid w:val="00D55D2C"/>
    <w:rsid w:val="00D5742E"/>
    <w:rsid w:val="00D61E89"/>
    <w:rsid w:val="00D62D6D"/>
    <w:rsid w:val="00D63721"/>
    <w:rsid w:val="00D64C65"/>
    <w:rsid w:val="00D66B61"/>
    <w:rsid w:val="00D67222"/>
    <w:rsid w:val="00D67A14"/>
    <w:rsid w:val="00D67CAC"/>
    <w:rsid w:val="00D7261F"/>
    <w:rsid w:val="00D72C61"/>
    <w:rsid w:val="00D751DA"/>
    <w:rsid w:val="00D763C5"/>
    <w:rsid w:val="00D76EA8"/>
    <w:rsid w:val="00D7779C"/>
    <w:rsid w:val="00D82A6F"/>
    <w:rsid w:val="00D84E18"/>
    <w:rsid w:val="00D860A4"/>
    <w:rsid w:val="00D86BB9"/>
    <w:rsid w:val="00D90315"/>
    <w:rsid w:val="00D90374"/>
    <w:rsid w:val="00D91399"/>
    <w:rsid w:val="00D9305E"/>
    <w:rsid w:val="00D94AC6"/>
    <w:rsid w:val="00D96382"/>
    <w:rsid w:val="00D96693"/>
    <w:rsid w:val="00DA0B54"/>
    <w:rsid w:val="00DA2A99"/>
    <w:rsid w:val="00DA4C0A"/>
    <w:rsid w:val="00DA5D27"/>
    <w:rsid w:val="00DA6657"/>
    <w:rsid w:val="00DA70C0"/>
    <w:rsid w:val="00DA75F8"/>
    <w:rsid w:val="00DA7E22"/>
    <w:rsid w:val="00DB0CCC"/>
    <w:rsid w:val="00DB12ED"/>
    <w:rsid w:val="00DB130A"/>
    <w:rsid w:val="00DB3DF0"/>
    <w:rsid w:val="00DB40A2"/>
    <w:rsid w:val="00DB462C"/>
    <w:rsid w:val="00DB5AE1"/>
    <w:rsid w:val="00DB722B"/>
    <w:rsid w:val="00DC110D"/>
    <w:rsid w:val="00DC157D"/>
    <w:rsid w:val="00DC257D"/>
    <w:rsid w:val="00DC3027"/>
    <w:rsid w:val="00DC4256"/>
    <w:rsid w:val="00DC51FE"/>
    <w:rsid w:val="00DC7D8C"/>
    <w:rsid w:val="00DC7E07"/>
    <w:rsid w:val="00DD087D"/>
    <w:rsid w:val="00DD1DD2"/>
    <w:rsid w:val="00DD6024"/>
    <w:rsid w:val="00DD6485"/>
    <w:rsid w:val="00DD6A02"/>
    <w:rsid w:val="00DD6C4B"/>
    <w:rsid w:val="00DD6E11"/>
    <w:rsid w:val="00DD7C02"/>
    <w:rsid w:val="00DE01C3"/>
    <w:rsid w:val="00DE1F25"/>
    <w:rsid w:val="00DE3096"/>
    <w:rsid w:val="00DE3D8C"/>
    <w:rsid w:val="00DE3F65"/>
    <w:rsid w:val="00DE4AB3"/>
    <w:rsid w:val="00DE4ED0"/>
    <w:rsid w:val="00DE56E4"/>
    <w:rsid w:val="00DE5940"/>
    <w:rsid w:val="00DE5E12"/>
    <w:rsid w:val="00DE691C"/>
    <w:rsid w:val="00DF02C9"/>
    <w:rsid w:val="00DF2608"/>
    <w:rsid w:val="00DF306C"/>
    <w:rsid w:val="00DF4085"/>
    <w:rsid w:val="00DF464F"/>
    <w:rsid w:val="00DF4B92"/>
    <w:rsid w:val="00DF6384"/>
    <w:rsid w:val="00DF7F62"/>
    <w:rsid w:val="00E0046D"/>
    <w:rsid w:val="00E00DD6"/>
    <w:rsid w:val="00E00F8F"/>
    <w:rsid w:val="00E011D4"/>
    <w:rsid w:val="00E012F3"/>
    <w:rsid w:val="00E01580"/>
    <w:rsid w:val="00E01B5D"/>
    <w:rsid w:val="00E051E2"/>
    <w:rsid w:val="00E0643B"/>
    <w:rsid w:val="00E069A0"/>
    <w:rsid w:val="00E07C3A"/>
    <w:rsid w:val="00E11550"/>
    <w:rsid w:val="00E11BB1"/>
    <w:rsid w:val="00E14D4D"/>
    <w:rsid w:val="00E14E88"/>
    <w:rsid w:val="00E15368"/>
    <w:rsid w:val="00E15596"/>
    <w:rsid w:val="00E159B1"/>
    <w:rsid w:val="00E20801"/>
    <w:rsid w:val="00E23F32"/>
    <w:rsid w:val="00E241E2"/>
    <w:rsid w:val="00E24E0F"/>
    <w:rsid w:val="00E25134"/>
    <w:rsid w:val="00E25804"/>
    <w:rsid w:val="00E260D2"/>
    <w:rsid w:val="00E305B4"/>
    <w:rsid w:val="00E30B20"/>
    <w:rsid w:val="00E31805"/>
    <w:rsid w:val="00E319AB"/>
    <w:rsid w:val="00E35B92"/>
    <w:rsid w:val="00E3738C"/>
    <w:rsid w:val="00E40B61"/>
    <w:rsid w:val="00E417AD"/>
    <w:rsid w:val="00E435BF"/>
    <w:rsid w:val="00E4366B"/>
    <w:rsid w:val="00E43A26"/>
    <w:rsid w:val="00E44521"/>
    <w:rsid w:val="00E46C32"/>
    <w:rsid w:val="00E50E72"/>
    <w:rsid w:val="00E5244D"/>
    <w:rsid w:val="00E52CFD"/>
    <w:rsid w:val="00E548A4"/>
    <w:rsid w:val="00E54F98"/>
    <w:rsid w:val="00E575C5"/>
    <w:rsid w:val="00E606FF"/>
    <w:rsid w:val="00E61213"/>
    <w:rsid w:val="00E61C6C"/>
    <w:rsid w:val="00E621CD"/>
    <w:rsid w:val="00E6258B"/>
    <w:rsid w:val="00E670C9"/>
    <w:rsid w:val="00E6765D"/>
    <w:rsid w:val="00E67732"/>
    <w:rsid w:val="00E70037"/>
    <w:rsid w:val="00E70260"/>
    <w:rsid w:val="00E72F11"/>
    <w:rsid w:val="00E73D29"/>
    <w:rsid w:val="00E73E6C"/>
    <w:rsid w:val="00E74C4E"/>
    <w:rsid w:val="00E75C12"/>
    <w:rsid w:val="00E7614D"/>
    <w:rsid w:val="00E8311C"/>
    <w:rsid w:val="00E8355E"/>
    <w:rsid w:val="00E84D6B"/>
    <w:rsid w:val="00E84E43"/>
    <w:rsid w:val="00E8610A"/>
    <w:rsid w:val="00E8678D"/>
    <w:rsid w:val="00E8699D"/>
    <w:rsid w:val="00E86F19"/>
    <w:rsid w:val="00E9032A"/>
    <w:rsid w:val="00E911CC"/>
    <w:rsid w:val="00E93CBC"/>
    <w:rsid w:val="00E93D4E"/>
    <w:rsid w:val="00E944DA"/>
    <w:rsid w:val="00E94AB2"/>
    <w:rsid w:val="00E968B7"/>
    <w:rsid w:val="00EA05D5"/>
    <w:rsid w:val="00EA2975"/>
    <w:rsid w:val="00EA2F12"/>
    <w:rsid w:val="00EA3042"/>
    <w:rsid w:val="00EA32C1"/>
    <w:rsid w:val="00EA3928"/>
    <w:rsid w:val="00EA6DEC"/>
    <w:rsid w:val="00EB0219"/>
    <w:rsid w:val="00EB0FE9"/>
    <w:rsid w:val="00EB1FD1"/>
    <w:rsid w:val="00EB21E4"/>
    <w:rsid w:val="00EB2858"/>
    <w:rsid w:val="00EB287D"/>
    <w:rsid w:val="00EB3179"/>
    <w:rsid w:val="00EB34D7"/>
    <w:rsid w:val="00EB437F"/>
    <w:rsid w:val="00EB4810"/>
    <w:rsid w:val="00EB5DF5"/>
    <w:rsid w:val="00EB5E88"/>
    <w:rsid w:val="00EB5ECD"/>
    <w:rsid w:val="00EB698F"/>
    <w:rsid w:val="00EC100B"/>
    <w:rsid w:val="00EC14BD"/>
    <w:rsid w:val="00EC1D6A"/>
    <w:rsid w:val="00EC44AB"/>
    <w:rsid w:val="00EC4F78"/>
    <w:rsid w:val="00EC5A86"/>
    <w:rsid w:val="00EC61EA"/>
    <w:rsid w:val="00ED072D"/>
    <w:rsid w:val="00ED1DD8"/>
    <w:rsid w:val="00ED34E9"/>
    <w:rsid w:val="00ED3E51"/>
    <w:rsid w:val="00ED3F67"/>
    <w:rsid w:val="00ED4956"/>
    <w:rsid w:val="00ED7328"/>
    <w:rsid w:val="00EE171B"/>
    <w:rsid w:val="00EF1957"/>
    <w:rsid w:val="00EF1C10"/>
    <w:rsid w:val="00EF354B"/>
    <w:rsid w:val="00EF3D13"/>
    <w:rsid w:val="00EF4D84"/>
    <w:rsid w:val="00EF6431"/>
    <w:rsid w:val="00F0643B"/>
    <w:rsid w:val="00F10EC5"/>
    <w:rsid w:val="00F12305"/>
    <w:rsid w:val="00F1253B"/>
    <w:rsid w:val="00F12642"/>
    <w:rsid w:val="00F13327"/>
    <w:rsid w:val="00F144D5"/>
    <w:rsid w:val="00F15B61"/>
    <w:rsid w:val="00F214EE"/>
    <w:rsid w:val="00F23410"/>
    <w:rsid w:val="00F2345B"/>
    <w:rsid w:val="00F265A5"/>
    <w:rsid w:val="00F26B59"/>
    <w:rsid w:val="00F2753C"/>
    <w:rsid w:val="00F30716"/>
    <w:rsid w:val="00F31F6E"/>
    <w:rsid w:val="00F31F6F"/>
    <w:rsid w:val="00F3230E"/>
    <w:rsid w:val="00F3465E"/>
    <w:rsid w:val="00F353B7"/>
    <w:rsid w:val="00F3574F"/>
    <w:rsid w:val="00F35FF3"/>
    <w:rsid w:val="00F37260"/>
    <w:rsid w:val="00F41A7D"/>
    <w:rsid w:val="00F4211D"/>
    <w:rsid w:val="00F42891"/>
    <w:rsid w:val="00F42E26"/>
    <w:rsid w:val="00F45197"/>
    <w:rsid w:val="00F4597A"/>
    <w:rsid w:val="00F459C1"/>
    <w:rsid w:val="00F46027"/>
    <w:rsid w:val="00F51C24"/>
    <w:rsid w:val="00F52B77"/>
    <w:rsid w:val="00F54B23"/>
    <w:rsid w:val="00F55DE5"/>
    <w:rsid w:val="00F619A5"/>
    <w:rsid w:val="00F63469"/>
    <w:rsid w:val="00F643A6"/>
    <w:rsid w:val="00F657CF"/>
    <w:rsid w:val="00F702FD"/>
    <w:rsid w:val="00F70301"/>
    <w:rsid w:val="00F712FB"/>
    <w:rsid w:val="00F71988"/>
    <w:rsid w:val="00F72001"/>
    <w:rsid w:val="00F729D0"/>
    <w:rsid w:val="00F74163"/>
    <w:rsid w:val="00F75E69"/>
    <w:rsid w:val="00F75FCB"/>
    <w:rsid w:val="00F776F1"/>
    <w:rsid w:val="00F810CF"/>
    <w:rsid w:val="00F813B4"/>
    <w:rsid w:val="00F8304A"/>
    <w:rsid w:val="00F850DB"/>
    <w:rsid w:val="00F86F8D"/>
    <w:rsid w:val="00F90BE3"/>
    <w:rsid w:val="00F91217"/>
    <w:rsid w:val="00F92093"/>
    <w:rsid w:val="00F93049"/>
    <w:rsid w:val="00F95C50"/>
    <w:rsid w:val="00F969AE"/>
    <w:rsid w:val="00FA07AE"/>
    <w:rsid w:val="00FA1178"/>
    <w:rsid w:val="00FA3C4B"/>
    <w:rsid w:val="00FA43C6"/>
    <w:rsid w:val="00FA5AA0"/>
    <w:rsid w:val="00FA65B4"/>
    <w:rsid w:val="00FB110C"/>
    <w:rsid w:val="00FB26E6"/>
    <w:rsid w:val="00FB4121"/>
    <w:rsid w:val="00FB47CE"/>
    <w:rsid w:val="00FB5347"/>
    <w:rsid w:val="00FB5853"/>
    <w:rsid w:val="00FB6134"/>
    <w:rsid w:val="00FB684C"/>
    <w:rsid w:val="00FC0C85"/>
    <w:rsid w:val="00FC24D2"/>
    <w:rsid w:val="00FC3F47"/>
    <w:rsid w:val="00FC4330"/>
    <w:rsid w:val="00FC48AA"/>
    <w:rsid w:val="00FC4F10"/>
    <w:rsid w:val="00FC6A24"/>
    <w:rsid w:val="00FD036F"/>
    <w:rsid w:val="00FD144B"/>
    <w:rsid w:val="00FD1812"/>
    <w:rsid w:val="00FD1A8B"/>
    <w:rsid w:val="00FD32AE"/>
    <w:rsid w:val="00FD48E8"/>
    <w:rsid w:val="00FD4EE1"/>
    <w:rsid w:val="00FD7BD3"/>
    <w:rsid w:val="00FE06AD"/>
    <w:rsid w:val="00FE25B6"/>
    <w:rsid w:val="00FE2846"/>
    <w:rsid w:val="00FE2B8E"/>
    <w:rsid w:val="00FE3532"/>
    <w:rsid w:val="00FE4312"/>
    <w:rsid w:val="00FE4D7E"/>
    <w:rsid w:val="00FE5D6C"/>
    <w:rsid w:val="00FE6A2E"/>
    <w:rsid w:val="00FE7802"/>
    <w:rsid w:val="00FF0ED2"/>
    <w:rsid w:val="00FF1744"/>
    <w:rsid w:val="00FF25E5"/>
    <w:rsid w:val="00FF49E7"/>
    <w:rsid w:val="00FF4FEB"/>
    <w:rsid w:val="00FF5443"/>
    <w:rsid w:val="00FF62C8"/>
    <w:rsid w:val="00FF6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41E2"/>
    <w:pPr>
      <w:bidi/>
      <w:spacing w:after="160"/>
    </w:pPr>
    <w:rPr>
      <w:rFonts w:ascii="Arabic Transparent" w:hAnsi="Arabic Transparent" w:cs="Arabic Transparent"/>
      <w:sz w:val="24"/>
      <w:szCs w:val="24"/>
      <w:lang w:val="tr-TR" w:bidi="ar-JO"/>
    </w:rPr>
  </w:style>
  <w:style w:type="paragraph" w:styleId="Heading1">
    <w:name w:val="heading 1"/>
    <w:aliases w:val="فرع"/>
    <w:basedOn w:val="Heading4"/>
    <w:next w:val="a0"/>
    <w:link w:val="Heading1Char"/>
    <w:autoRedefine/>
    <w:uiPriority w:val="99"/>
    <w:qFormat/>
    <w:rsid w:val="000778D8"/>
    <w:pPr>
      <w:spacing w:before="240" w:after="120"/>
      <w:ind w:left="170"/>
      <w:outlineLvl w:val="0"/>
    </w:pPr>
    <w:rPr>
      <w:rFonts w:ascii="Arabic Transparent" w:eastAsia="Calibri" w:hAnsi="Arabic Transparent" w:cs="Arabic Transparent"/>
      <w:b/>
      <w:bCs/>
      <w:i w:val="0"/>
      <w:iCs w:val="0"/>
      <w:color w:val="auto"/>
      <w:sz w:val="28"/>
      <w:szCs w:val="28"/>
    </w:rPr>
  </w:style>
  <w:style w:type="paragraph" w:styleId="Heading2">
    <w:name w:val="heading 2"/>
    <w:basedOn w:val="Normal"/>
    <w:next w:val="Normal"/>
    <w:link w:val="Heading2Char"/>
    <w:uiPriority w:val="99"/>
    <w:qFormat/>
    <w:rsid w:val="000B536B"/>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397F04"/>
    <w:pPr>
      <w:keepNext/>
      <w:keepLines/>
      <w:bidi w:val="0"/>
      <w:spacing w:before="40" w:after="0" w:line="259" w:lineRule="auto"/>
      <w:jc w:val="right"/>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9"/>
    <w:qFormat/>
    <w:rsid w:val="000778D8"/>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رع Char"/>
    <w:basedOn w:val="DefaultParagraphFont"/>
    <w:link w:val="Heading1"/>
    <w:uiPriority w:val="99"/>
    <w:locked/>
    <w:rsid w:val="000778D8"/>
    <w:rPr>
      <w:rFonts w:ascii="Arabic Transparent" w:eastAsia="Times New Roman" w:hAnsi="Arabic Transparent" w:cs="Arabic Transparent"/>
      <w:b/>
      <w:bCs/>
      <w:sz w:val="28"/>
      <w:szCs w:val="28"/>
      <w:lang w:bidi="ar-JO"/>
    </w:rPr>
  </w:style>
  <w:style w:type="character" w:customStyle="1" w:styleId="Heading2Char">
    <w:name w:val="Heading 2 Char"/>
    <w:basedOn w:val="DefaultParagraphFont"/>
    <w:link w:val="Heading2"/>
    <w:uiPriority w:val="99"/>
    <w:semiHidden/>
    <w:locked/>
    <w:rsid w:val="000B536B"/>
    <w:rPr>
      <w:rFonts w:ascii="Calibri Light" w:hAnsi="Calibri Light" w:cs="Times New Roman"/>
      <w:color w:val="2E74B5"/>
      <w:sz w:val="26"/>
      <w:szCs w:val="26"/>
      <w:lang w:bidi="ar-JO"/>
    </w:rPr>
  </w:style>
  <w:style w:type="character" w:customStyle="1" w:styleId="Heading3Char">
    <w:name w:val="Heading 3 Char"/>
    <w:basedOn w:val="DefaultParagraphFont"/>
    <w:link w:val="Heading3"/>
    <w:uiPriority w:val="99"/>
    <w:semiHidden/>
    <w:locked/>
    <w:rsid w:val="00397F04"/>
    <w:rPr>
      <w:rFonts w:ascii="Calibri Light" w:hAnsi="Calibri Light" w:cs="Times New Roman"/>
      <w:color w:val="1F4D78"/>
      <w:sz w:val="24"/>
      <w:szCs w:val="24"/>
      <w:lang w:bidi="ar-JO"/>
    </w:rPr>
  </w:style>
  <w:style w:type="character" w:customStyle="1" w:styleId="Heading4Char">
    <w:name w:val="Heading 4 Char"/>
    <w:basedOn w:val="DefaultParagraphFont"/>
    <w:link w:val="Heading4"/>
    <w:uiPriority w:val="99"/>
    <w:semiHidden/>
    <w:locked/>
    <w:rsid w:val="000778D8"/>
    <w:rPr>
      <w:rFonts w:ascii="Calibri Light" w:hAnsi="Calibri Light" w:cs="Times New Roman"/>
      <w:i/>
      <w:iCs/>
      <w:color w:val="2E74B5"/>
      <w:sz w:val="24"/>
      <w:szCs w:val="24"/>
      <w:lang w:bidi="ar-JO"/>
    </w:rPr>
  </w:style>
  <w:style w:type="paragraph" w:styleId="FootnoteText">
    <w:name w:val="footnote text"/>
    <w:basedOn w:val="Normal"/>
    <w:link w:val="FootnoteTextChar"/>
    <w:uiPriority w:val="99"/>
    <w:semiHidden/>
    <w:rsid w:val="00FE5D6C"/>
    <w:pPr>
      <w:spacing w:after="0"/>
    </w:pPr>
    <w:rPr>
      <w:sz w:val="20"/>
      <w:szCs w:val="20"/>
    </w:rPr>
  </w:style>
  <w:style w:type="character" w:customStyle="1" w:styleId="FootnoteTextChar">
    <w:name w:val="Footnote Text Char"/>
    <w:basedOn w:val="DefaultParagraphFont"/>
    <w:link w:val="FootnoteText"/>
    <w:uiPriority w:val="99"/>
    <w:semiHidden/>
    <w:locked/>
    <w:rsid w:val="00FE5D6C"/>
    <w:rPr>
      <w:rFonts w:ascii="Arabic Transparent" w:hAnsi="Arabic Transparent" w:cs="Arabic Transparent"/>
      <w:sz w:val="20"/>
      <w:szCs w:val="20"/>
      <w:lang w:bidi="ar-JO"/>
    </w:rPr>
  </w:style>
  <w:style w:type="character" w:styleId="FootnoteReference">
    <w:name w:val="footnote reference"/>
    <w:basedOn w:val="DefaultParagraphFont"/>
    <w:uiPriority w:val="99"/>
    <w:semiHidden/>
    <w:rsid w:val="00FE5D6C"/>
    <w:rPr>
      <w:rFonts w:cs="Times New Roman"/>
      <w:vertAlign w:val="superscript"/>
    </w:rPr>
  </w:style>
  <w:style w:type="paragraph" w:customStyle="1" w:styleId="a0">
    <w:name w:val="النص العادي"/>
    <w:basedOn w:val="BodyText"/>
    <w:uiPriority w:val="99"/>
    <w:rsid w:val="007B6769"/>
    <w:pPr>
      <w:spacing w:after="0" w:line="360" w:lineRule="auto"/>
      <w:ind w:firstLine="567"/>
      <w:jc w:val="both"/>
    </w:pPr>
    <w:rPr>
      <w:sz w:val="28"/>
      <w:szCs w:val="28"/>
    </w:rPr>
  </w:style>
  <w:style w:type="paragraph" w:customStyle="1" w:styleId="a1">
    <w:name w:val="الفصل الأول"/>
    <w:basedOn w:val="Heading1"/>
    <w:uiPriority w:val="99"/>
    <w:rsid w:val="00480B0C"/>
    <w:pPr>
      <w:spacing w:before="0" w:line="360" w:lineRule="auto"/>
      <w:ind w:firstLine="567"/>
      <w:jc w:val="both"/>
    </w:pPr>
    <w:rPr>
      <w:color w:val="000000"/>
      <w:szCs w:val="32"/>
    </w:rPr>
  </w:style>
  <w:style w:type="paragraph" w:styleId="BodyText">
    <w:name w:val="Body Text"/>
    <w:basedOn w:val="Normal"/>
    <w:link w:val="BodyTextChar"/>
    <w:uiPriority w:val="99"/>
    <w:semiHidden/>
    <w:rsid w:val="00E011D4"/>
    <w:pPr>
      <w:spacing w:after="120"/>
    </w:pPr>
  </w:style>
  <w:style w:type="character" w:customStyle="1" w:styleId="BodyTextChar">
    <w:name w:val="Body Text Char"/>
    <w:basedOn w:val="DefaultParagraphFont"/>
    <w:link w:val="BodyText"/>
    <w:uiPriority w:val="99"/>
    <w:semiHidden/>
    <w:locked/>
    <w:rsid w:val="00E011D4"/>
    <w:rPr>
      <w:rFonts w:ascii="Arabic Transparent" w:hAnsi="Arabic Transparent" w:cs="Arabic Transparent"/>
      <w:sz w:val="28"/>
      <w:szCs w:val="28"/>
      <w:lang w:bidi="ar-JO"/>
    </w:rPr>
  </w:style>
  <w:style w:type="paragraph" w:customStyle="1" w:styleId="a2">
    <w:name w:val="المبحث"/>
    <w:basedOn w:val="a1"/>
    <w:next w:val="a0"/>
    <w:autoRedefine/>
    <w:uiPriority w:val="99"/>
    <w:rsid w:val="00480B0C"/>
    <w:pPr>
      <w:spacing w:before="360" w:after="480"/>
      <w:outlineLvl w:val="1"/>
    </w:pPr>
    <w:rPr>
      <w:sz w:val="32"/>
    </w:rPr>
  </w:style>
  <w:style w:type="paragraph" w:customStyle="1" w:styleId="a3">
    <w:name w:val="المطلب"/>
    <w:basedOn w:val="a1"/>
    <w:next w:val="a0"/>
    <w:autoRedefine/>
    <w:uiPriority w:val="99"/>
    <w:rsid w:val="00F0643B"/>
    <w:pPr>
      <w:spacing w:before="360" w:after="360"/>
      <w:ind w:left="0"/>
      <w:jc w:val="left"/>
      <w:outlineLvl w:val="2"/>
    </w:pPr>
    <w:rPr>
      <w:sz w:val="32"/>
    </w:rPr>
  </w:style>
  <w:style w:type="paragraph" w:customStyle="1" w:styleId="a">
    <w:name w:val="المادة"/>
    <w:basedOn w:val="a0"/>
    <w:uiPriority w:val="99"/>
    <w:rsid w:val="004824B5"/>
    <w:pPr>
      <w:numPr>
        <w:numId w:val="2"/>
      </w:numPr>
      <w:ind w:left="357" w:hanging="357"/>
    </w:pPr>
  </w:style>
  <w:style w:type="paragraph" w:styleId="NoSpacing">
    <w:name w:val="No Spacing"/>
    <w:aliases w:val="عنوان داخل المطلب"/>
    <w:next w:val="a0"/>
    <w:link w:val="NoSpacingChar"/>
    <w:uiPriority w:val="99"/>
    <w:qFormat/>
    <w:rsid w:val="008171A1"/>
    <w:pPr>
      <w:bidi/>
      <w:spacing w:before="240" w:after="160" w:line="360" w:lineRule="auto"/>
      <w:ind w:left="567"/>
      <w:outlineLvl w:val="3"/>
    </w:pPr>
    <w:rPr>
      <w:rFonts w:ascii="Arabic Transparent" w:hAnsi="Arabic Transparent" w:cs="Arabic Transparent"/>
      <w:b/>
      <w:bCs/>
      <w:color w:val="000000"/>
      <w:sz w:val="32"/>
      <w:szCs w:val="32"/>
      <w:lang w:val="tr-TR" w:bidi="ar-JO"/>
    </w:rPr>
  </w:style>
  <w:style w:type="paragraph" w:customStyle="1" w:styleId="a4">
    <w:name w:val="الهوامش"/>
    <w:basedOn w:val="a0"/>
    <w:uiPriority w:val="99"/>
    <w:rsid w:val="009A503C"/>
    <w:pPr>
      <w:spacing w:before="120"/>
      <w:ind w:firstLine="0"/>
    </w:pPr>
    <w:rPr>
      <w:sz w:val="24"/>
      <w:szCs w:val="24"/>
      <w:vertAlign w:val="superscript"/>
    </w:rPr>
  </w:style>
  <w:style w:type="paragraph" w:styleId="Header">
    <w:name w:val="header"/>
    <w:basedOn w:val="Normal"/>
    <w:link w:val="HeaderChar"/>
    <w:uiPriority w:val="99"/>
    <w:rsid w:val="009A503C"/>
    <w:pPr>
      <w:tabs>
        <w:tab w:val="center" w:pos="4153"/>
        <w:tab w:val="right" w:pos="8306"/>
      </w:tabs>
      <w:spacing w:after="0"/>
    </w:pPr>
  </w:style>
  <w:style w:type="character" w:customStyle="1" w:styleId="HeaderChar">
    <w:name w:val="Header Char"/>
    <w:basedOn w:val="DefaultParagraphFont"/>
    <w:link w:val="Header"/>
    <w:uiPriority w:val="99"/>
    <w:locked/>
    <w:rsid w:val="009A503C"/>
    <w:rPr>
      <w:rFonts w:ascii="Arabic Transparent" w:hAnsi="Arabic Transparent" w:cs="Arabic Transparent"/>
      <w:sz w:val="24"/>
      <w:szCs w:val="24"/>
      <w:lang w:bidi="ar-JO"/>
    </w:rPr>
  </w:style>
  <w:style w:type="paragraph" w:styleId="Footer">
    <w:name w:val="footer"/>
    <w:basedOn w:val="Normal"/>
    <w:link w:val="FooterChar"/>
    <w:uiPriority w:val="99"/>
    <w:rsid w:val="009A503C"/>
    <w:pPr>
      <w:tabs>
        <w:tab w:val="center" w:pos="4153"/>
        <w:tab w:val="right" w:pos="8306"/>
      </w:tabs>
      <w:spacing w:after="0"/>
    </w:pPr>
  </w:style>
  <w:style w:type="character" w:customStyle="1" w:styleId="FooterChar">
    <w:name w:val="Footer Char"/>
    <w:basedOn w:val="DefaultParagraphFont"/>
    <w:link w:val="Footer"/>
    <w:uiPriority w:val="99"/>
    <w:locked/>
    <w:rsid w:val="009A503C"/>
    <w:rPr>
      <w:rFonts w:ascii="Arabic Transparent" w:hAnsi="Arabic Transparent" w:cs="Arabic Transparent"/>
      <w:sz w:val="24"/>
      <w:szCs w:val="24"/>
      <w:lang w:bidi="ar-JO"/>
    </w:rPr>
  </w:style>
  <w:style w:type="paragraph" w:styleId="ListParagraph">
    <w:name w:val="List Paragraph"/>
    <w:basedOn w:val="Normal"/>
    <w:uiPriority w:val="99"/>
    <w:qFormat/>
    <w:rsid w:val="00EC1D6A"/>
    <w:pPr>
      <w:bidi w:val="0"/>
      <w:spacing w:line="259" w:lineRule="auto"/>
      <w:ind w:left="720"/>
      <w:jc w:val="right"/>
    </w:pPr>
    <w:rPr>
      <w:sz w:val="28"/>
      <w:szCs w:val="28"/>
    </w:rPr>
  </w:style>
  <w:style w:type="character" w:styleId="Hyperlink">
    <w:name w:val="Hyperlink"/>
    <w:basedOn w:val="DefaultParagraphFont"/>
    <w:uiPriority w:val="99"/>
    <w:rsid w:val="00C65AD7"/>
    <w:rPr>
      <w:rFonts w:cs="Times New Roman"/>
      <w:color w:val="0563C1"/>
      <w:u w:val="single"/>
    </w:rPr>
  </w:style>
  <w:style w:type="character" w:customStyle="1" w:styleId="NoSpacingChar">
    <w:name w:val="No Spacing Char"/>
    <w:aliases w:val="عنوان داخل المطلب Char"/>
    <w:basedOn w:val="DefaultParagraphFont"/>
    <w:link w:val="NoSpacing"/>
    <w:uiPriority w:val="99"/>
    <w:locked/>
    <w:rsid w:val="008171A1"/>
    <w:rPr>
      <w:rFonts w:ascii="Arabic Transparent" w:eastAsia="Times New Roman" w:hAnsi="Arabic Transparent" w:cs="Arabic Transparent"/>
      <w:b/>
      <w:bCs/>
      <w:color w:val="000000"/>
      <w:sz w:val="32"/>
      <w:szCs w:val="32"/>
      <w:lang w:val="tr-TR" w:eastAsia="en-US" w:bidi="ar-JO"/>
    </w:rPr>
  </w:style>
  <w:style w:type="character" w:customStyle="1" w:styleId="apple-converted-space">
    <w:name w:val="apple-converted-space"/>
    <w:basedOn w:val="DefaultParagraphFont"/>
    <w:uiPriority w:val="99"/>
    <w:rsid w:val="004E1F62"/>
    <w:rPr>
      <w:rFonts w:cs="Times New Roman"/>
    </w:rPr>
  </w:style>
  <w:style w:type="paragraph" w:styleId="TOCHeading">
    <w:name w:val="TOC Heading"/>
    <w:basedOn w:val="Heading1"/>
    <w:next w:val="Normal"/>
    <w:uiPriority w:val="99"/>
    <w:qFormat/>
    <w:rsid w:val="00E46C32"/>
    <w:pPr>
      <w:bidi w:val="0"/>
      <w:spacing w:after="0" w:line="259" w:lineRule="auto"/>
      <w:ind w:left="0"/>
      <w:outlineLvl w:val="9"/>
    </w:pPr>
    <w:rPr>
      <w:rFonts w:ascii="Calibri Light" w:hAnsi="Calibri Light" w:cs="Times New Roman"/>
      <w:b w:val="0"/>
      <w:bCs w:val="0"/>
      <w:color w:val="2E74B5"/>
      <w:sz w:val="32"/>
      <w:szCs w:val="32"/>
      <w:lang w:eastAsia="tr-TR" w:bidi="ar-SA"/>
    </w:rPr>
  </w:style>
  <w:style w:type="paragraph" w:styleId="TOC3">
    <w:name w:val="toc 3"/>
    <w:basedOn w:val="Normal"/>
    <w:next w:val="Normal"/>
    <w:autoRedefine/>
    <w:uiPriority w:val="99"/>
    <w:semiHidden/>
    <w:rsid w:val="00CA54FA"/>
    <w:pPr>
      <w:tabs>
        <w:tab w:val="right" w:leader="dot" w:pos="9062"/>
      </w:tabs>
      <w:spacing w:after="100"/>
      <w:ind w:left="480"/>
    </w:pPr>
  </w:style>
  <w:style w:type="paragraph" w:styleId="TOC1">
    <w:name w:val="toc 1"/>
    <w:basedOn w:val="Normal"/>
    <w:next w:val="Normal"/>
    <w:autoRedefine/>
    <w:uiPriority w:val="99"/>
    <w:semiHidden/>
    <w:rsid w:val="00F3230E"/>
    <w:pPr>
      <w:tabs>
        <w:tab w:val="right" w:leader="dot" w:pos="8493"/>
      </w:tabs>
      <w:spacing w:after="100"/>
    </w:pPr>
    <w:rPr>
      <w:rFonts w:ascii="Calibri" w:hAnsi="Calibri"/>
      <w:b/>
      <w:bCs/>
      <w:noProof/>
      <w:sz w:val="28"/>
      <w:szCs w:val="28"/>
    </w:rPr>
  </w:style>
  <w:style w:type="paragraph" w:styleId="TOC2">
    <w:name w:val="toc 2"/>
    <w:basedOn w:val="Normal"/>
    <w:next w:val="Normal"/>
    <w:autoRedefine/>
    <w:uiPriority w:val="99"/>
    <w:semiHidden/>
    <w:rsid w:val="00E46C32"/>
    <w:pPr>
      <w:spacing w:after="100"/>
      <w:ind w:left="240"/>
    </w:pPr>
  </w:style>
  <w:style w:type="paragraph" w:styleId="TOC4">
    <w:name w:val="toc 4"/>
    <w:basedOn w:val="Normal"/>
    <w:next w:val="Normal"/>
    <w:autoRedefine/>
    <w:uiPriority w:val="99"/>
    <w:semiHidden/>
    <w:rsid w:val="00E46C32"/>
    <w:pPr>
      <w:bidi w:val="0"/>
      <w:spacing w:after="100" w:line="259" w:lineRule="auto"/>
      <w:ind w:left="660"/>
    </w:pPr>
    <w:rPr>
      <w:rFonts w:ascii="Calibri" w:eastAsia="Times New Roman" w:hAnsi="Calibri" w:cs="Arial"/>
      <w:sz w:val="22"/>
      <w:szCs w:val="22"/>
      <w:lang w:eastAsia="tr-TR" w:bidi="ar-SA"/>
    </w:rPr>
  </w:style>
  <w:style w:type="paragraph" w:styleId="TOC5">
    <w:name w:val="toc 5"/>
    <w:basedOn w:val="Normal"/>
    <w:next w:val="Normal"/>
    <w:autoRedefine/>
    <w:uiPriority w:val="99"/>
    <w:semiHidden/>
    <w:rsid w:val="00E46C32"/>
    <w:pPr>
      <w:bidi w:val="0"/>
      <w:spacing w:after="100" w:line="259" w:lineRule="auto"/>
      <w:ind w:left="880"/>
    </w:pPr>
    <w:rPr>
      <w:rFonts w:ascii="Calibri" w:eastAsia="Times New Roman" w:hAnsi="Calibri" w:cs="Arial"/>
      <w:sz w:val="22"/>
      <w:szCs w:val="22"/>
      <w:lang w:eastAsia="tr-TR" w:bidi="ar-SA"/>
    </w:rPr>
  </w:style>
  <w:style w:type="paragraph" w:styleId="TOC6">
    <w:name w:val="toc 6"/>
    <w:basedOn w:val="Normal"/>
    <w:next w:val="Normal"/>
    <w:autoRedefine/>
    <w:uiPriority w:val="99"/>
    <w:semiHidden/>
    <w:rsid w:val="00E46C32"/>
    <w:pPr>
      <w:bidi w:val="0"/>
      <w:spacing w:after="100" w:line="259" w:lineRule="auto"/>
      <w:ind w:left="1100"/>
    </w:pPr>
    <w:rPr>
      <w:rFonts w:ascii="Calibri" w:eastAsia="Times New Roman" w:hAnsi="Calibri" w:cs="Arial"/>
      <w:sz w:val="22"/>
      <w:szCs w:val="22"/>
      <w:lang w:eastAsia="tr-TR" w:bidi="ar-SA"/>
    </w:rPr>
  </w:style>
  <w:style w:type="paragraph" w:styleId="TOC7">
    <w:name w:val="toc 7"/>
    <w:basedOn w:val="Normal"/>
    <w:next w:val="Normal"/>
    <w:autoRedefine/>
    <w:uiPriority w:val="99"/>
    <w:semiHidden/>
    <w:rsid w:val="00E46C32"/>
    <w:pPr>
      <w:bidi w:val="0"/>
      <w:spacing w:after="100" w:line="259" w:lineRule="auto"/>
      <w:ind w:left="1320"/>
    </w:pPr>
    <w:rPr>
      <w:rFonts w:ascii="Calibri" w:eastAsia="Times New Roman" w:hAnsi="Calibri" w:cs="Arial"/>
      <w:sz w:val="22"/>
      <w:szCs w:val="22"/>
      <w:lang w:eastAsia="tr-TR" w:bidi="ar-SA"/>
    </w:rPr>
  </w:style>
  <w:style w:type="paragraph" w:styleId="TOC8">
    <w:name w:val="toc 8"/>
    <w:basedOn w:val="Normal"/>
    <w:next w:val="Normal"/>
    <w:autoRedefine/>
    <w:uiPriority w:val="99"/>
    <w:semiHidden/>
    <w:rsid w:val="00E46C32"/>
    <w:pPr>
      <w:bidi w:val="0"/>
      <w:spacing w:after="100" w:line="259" w:lineRule="auto"/>
      <w:ind w:left="1540"/>
    </w:pPr>
    <w:rPr>
      <w:rFonts w:ascii="Calibri" w:eastAsia="Times New Roman" w:hAnsi="Calibri" w:cs="Arial"/>
      <w:sz w:val="22"/>
      <w:szCs w:val="22"/>
      <w:lang w:eastAsia="tr-TR" w:bidi="ar-SA"/>
    </w:rPr>
  </w:style>
  <w:style w:type="paragraph" w:styleId="TOC9">
    <w:name w:val="toc 9"/>
    <w:basedOn w:val="Normal"/>
    <w:next w:val="Normal"/>
    <w:autoRedefine/>
    <w:uiPriority w:val="99"/>
    <w:semiHidden/>
    <w:rsid w:val="00E46C32"/>
    <w:pPr>
      <w:bidi w:val="0"/>
      <w:spacing w:after="100" w:line="259" w:lineRule="auto"/>
      <w:ind w:left="1760"/>
    </w:pPr>
    <w:rPr>
      <w:rFonts w:ascii="Calibri" w:eastAsia="Times New Roman" w:hAnsi="Calibri" w:cs="Arial"/>
      <w:sz w:val="22"/>
      <w:szCs w:val="22"/>
      <w:lang w:eastAsia="tr-TR" w:bidi="ar-SA"/>
    </w:rPr>
  </w:style>
  <w:style w:type="paragraph" w:styleId="Subtitle">
    <w:name w:val="Subtitle"/>
    <w:basedOn w:val="Normal"/>
    <w:next w:val="Normal"/>
    <w:link w:val="SubtitleChar"/>
    <w:uiPriority w:val="99"/>
    <w:qFormat/>
    <w:rsid w:val="009B525A"/>
    <w:pPr>
      <w:numPr>
        <w:numId w:val="45"/>
      </w:numPr>
      <w:spacing w:line="360" w:lineRule="auto"/>
      <w:ind w:left="0" w:firstLine="0"/>
    </w:pPr>
    <w:rPr>
      <w:rFonts w:eastAsia="Times New Roman"/>
      <w:color w:val="000000"/>
      <w:spacing w:val="15"/>
      <w:sz w:val="28"/>
      <w:szCs w:val="28"/>
    </w:rPr>
  </w:style>
  <w:style w:type="character" w:customStyle="1" w:styleId="SubtitleChar">
    <w:name w:val="Subtitle Char"/>
    <w:basedOn w:val="DefaultParagraphFont"/>
    <w:link w:val="Subtitle"/>
    <w:uiPriority w:val="99"/>
    <w:locked/>
    <w:rsid w:val="009B525A"/>
    <w:rPr>
      <w:rFonts w:ascii="Arabic Transparent" w:hAnsi="Arabic Transparent" w:cs="Arabic Transparent"/>
      <w:color w:val="000000"/>
      <w:spacing w:val="15"/>
      <w:sz w:val="28"/>
      <w:szCs w:val="28"/>
      <w:lang w:bidi="ar-JO"/>
    </w:rPr>
  </w:style>
  <w:style w:type="character" w:styleId="PageNumber">
    <w:name w:val="page number"/>
    <w:basedOn w:val="DefaultParagraphFont"/>
    <w:uiPriority w:val="99"/>
    <w:rsid w:val="0093211B"/>
    <w:rPr>
      <w:rFonts w:cs="Times New Roman"/>
    </w:rPr>
  </w:style>
  <w:style w:type="numbering" w:customStyle="1" w:styleId="Stil1">
    <w:name w:val="Stil1"/>
    <w:rsid w:val="00793AD9"/>
    <w:pPr>
      <w:numPr>
        <w:numId w:val="14"/>
      </w:numPr>
    </w:pPr>
  </w:style>
</w:styles>
</file>

<file path=word/webSettings.xml><?xml version="1.0" encoding="utf-8"?>
<w:webSettings xmlns:r="http://schemas.openxmlformats.org/officeDocument/2006/relationships" xmlns:w="http://schemas.openxmlformats.org/wordprocessingml/2006/main">
  <w:divs>
    <w:div w:id="1588231529">
      <w:marLeft w:val="0"/>
      <w:marRight w:val="0"/>
      <w:marTop w:val="0"/>
      <w:marBottom w:val="0"/>
      <w:divBdr>
        <w:top w:val="none" w:sz="0" w:space="0" w:color="auto"/>
        <w:left w:val="none" w:sz="0" w:space="0" w:color="auto"/>
        <w:bottom w:val="none" w:sz="0" w:space="0" w:color="auto"/>
        <w:right w:val="none" w:sz="0" w:space="0" w:color="auto"/>
      </w:divBdr>
    </w:div>
    <w:div w:id="1588231530">
      <w:marLeft w:val="0"/>
      <w:marRight w:val="0"/>
      <w:marTop w:val="0"/>
      <w:marBottom w:val="0"/>
      <w:divBdr>
        <w:top w:val="none" w:sz="0" w:space="0" w:color="auto"/>
        <w:left w:val="none" w:sz="0" w:space="0" w:color="auto"/>
        <w:bottom w:val="none" w:sz="0" w:space="0" w:color="auto"/>
        <w:right w:val="none" w:sz="0" w:space="0" w:color="auto"/>
      </w:divBdr>
    </w:div>
    <w:div w:id="1588231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lamqa.info/ar/20163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slamqa.info/ar/2016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slamqa.info/ar/201633" TargetMode="External"/><Relationship Id="rId1" Type="http://schemas.openxmlformats.org/officeDocument/2006/relationships/hyperlink" Target="https://islamqa.info/ar/20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140</Pages>
  <Words>24700</Words>
  <Characters>-32766</Characters>
  <Application>Microsoft Office Outlook</Application>
  <DocSecurity>0</DocSecurity>
  <Lines>0</Lines>
  <Paragraphs>0</Paragraphs>
  <ScaleCrop>false</ScaleCrop>
  <Company>Silentall Unattended Installer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Sıtkı İLHAN</dc:creator>
  <cp:keywords/>
  <dc:description/>
  <cp:lastModifiedBy>tareq</cp:lastModifiedBy>
  <cp:revision>1243</cp:revision>
  <cp:lastPrinted>2016-04-03T07:20:00Z</cp:lastPrinted>
  <dcterms:created xsi:type="dcterms:W3CDTF">2015-01-27T08:51:00Z</dcterms:created>
  <dcterms:modified xsi:type="dcterms:W3CDTF">2016-05-08T11:36:00Z</dcterms:modified>
</cp:coreProperties>
</file>