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B0" w:rsidRDefault="00E713B0" w:rsidP="00E713B0">
      <w:pPr>
        <w:pStyle w:val="2"/>
      </w:pPr>
      <w:r>
        <w:rPr>
          <w:rtl/>
        </w:rPr>
        <w:t xml:space="preserve">  حكم التدليس ، وحكم من عرف بِهِ :</w:t>
      </w:r>
    </w:p>
    <w:p w:rsidR="00E713B0" w:rsidRDefault="00E713B0" w:rsidP="00E713B0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>مضى بنا في أنّ مجموع معانيه تؤول إلى إخفاء العيب ، وليس من معانيه الكذب ، ومع ذَلِكَ فَقَدْ اختلف العلماء في حكمه وحكم أهله .</w:t>
      </w:r>
    </w:p>
    <w:p w:rsidR="00E713B0" w:rsidRDefault="00E713B0" w:rsidP="00E713B0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فَقَدْ ورد عن بعضهم ومنهم - شعبة - التشديد فِيْهِ  ، فروي عَنْهُ أنه قَالَ : </w:t>
      </w:r>
      <w:r>
        <w:rPr>
          <w:rFonts w:cs="Traditional Arabic"/>
          <w:szCs w:val="32"/>
          <w:rtl/>
        </w:rPr>
        <w:br/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التدليس أخو الكذب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وَقَالَ أَيْضاً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</w:t>
      </w:r>
      <w:proofErr w:type="spellStart"/>
      <w:r>
        <w:rPr>
          <w:rFonts w:cs="Traditional Arabic"/>
          <w:szCs w:val="32"/>
          <w:rtl/>
        </w:rPr>
        <w:t>لإنْ</w:t>
      </w:r>
      <w:proofErr w:type="spellEnd"/>
      <w:r>
        <w:rPr>
          <w:rFonts w:cs="Traditional Arabic"/>
          <w:szCs w:val="32"/>
          <w:rtl/>
        </w:rPr>
        <w:t xml:space="preserve"> أزني أحب إليّ من أن أدلس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E713B0" w:rsidRDefault="00E713B0" w:rsidP="00E713B0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ومنهم من سهّل أمره وتسامح فِيْهِ  كثيراً ، قَالَ أبو بكر البزار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التدليس ليس بكذب ، وإنما هُوَ تحسين لظاهر الإسناد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E713B0" w:rsidRDefault="00E713B0" w:rsidP="00E713B0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>وَالصَّحِيْح</w:t>
      </w:r>
      <w:r>
        <w:rPr>
          <w:rFonts w:cs="Traditional Arabic"/>
          <w:sz w:val="8"/>
          <w:szCs w:val="20"/>
          <w:rtl/>
        </w:rPr>
        <w:t xml:space="preserve"> </w:t>
      </w:r>
      <w:r>
        <w:rPr>
          <w:rFonts w:cs="Traditional Arabic"/>
          <w:szCs w:val="32"/>
          <w:rtl/>
        </w:rPr>
        <w:t>الَّذِيْ عليه</w:t>
      </w:r>
      <w:r>
        <w:rPr>
          <w:rFonts w:cs="Traditional Arabic"/>
          <w:sz w:val="8"/>
          <w:szCs w:val="20"/>
          <w:rtl/>
        </w:rPr>
        <w:t xml:space="preserve"> </w:t>
      </w:r>
      <w:r>
        <w:rPr>
          <w:rFonts w:cs="Traditional Arabic"/>
          <w:szCs w:val="32"/>
          <w:rtl/>
        </w:rPr>
        <w:t>الجمهور أنه ليس بكذب يصح به</w:t>
      </w:r>
      <w:r>
        <w:rPr>
          <w:rFonts w:cs="Traditional Arabic"/>
          <w:sz w:val="8"/>
          <w:szCs w:val="20"/>
          <w:rtl/>
        </w:rPr>
        <w:t xml:space="preserve"> </w:t>
      </w:r>
      <w:r>
        <w:rPr>
          <w:rFonts w:cs="Traditional Arabic"/>
          <w:szCs w:val="32"/>
          <w:rtl/>
        </w:rPr>
        <w:t>القدح</w:t>
      </w:r>
      <w:r>
        <w:rPr>
          <w:rFonts w:cs="Traditional Arabic"/>
          <w:sz w:val="4"/>
          <w:szCs w:val="16"/>
          <w:rtl/>
        </w:rPr>
        <w:t xml:space="preserve"> </w:t>
      </w:r>
      <w:r>
        <w:rPr>
          <w:rFonts w:cs="Traditional Arabic"/>
          <w:szCs w:val="32"/>
          <w:rtl/>
        </w:rPr>
        <w:t>في</w:t>
      </w:r>
      <w:r>
        <w:rPr>
          <w:rFonts w:cs="Traditional Arabic"/>
          <w:sz w:val="6"/>
          <w:szCs w:val="18"/>
          <w:rtl/>
        </w:rPr>
        <w:t xml:space="preserve"> </w:t>
      </w:r>
      <w:r>
        <w:rPr>
          <w:rFonts w:cs="Traditional Arabic"/>
          <w:szCs w:val="32"/>
          <w:rtl/>
        </w:rPr>
        <w:t>عدالة</w:t>
      </w:r>
      <w:r>
        <w:rPr>
          <w:rFonts w:cs="Traditional Arabic"/>
          <w:sz w:val="10"/>
          <w:szCs w:val="22"/>
          <w:rtl/>
        </w:rPr>
        <w:t xml:space="preserve"> </w:t>
      </w:r>
      <w:r>
        <w:rPr>
          <w:rFonts w:cs="Traditional Arabic"/>
          <w:szCs w:val="32"/>
          <w:rtl/>
        </w:rPr>
        <w:t xml:space="preserve">الرَّاوِي حَتَّى نرد جميع حديثه، وإنما هُوَ ضَرْبٌ من الإيهام، وعلى هَذَا نصّ الشَّافِعِيّ –رحمه الله– فَقَالَ: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ومن عرفناه دلّس مرة فَقَدْ أبان لنا عورته في روايته، وليست تِلْكَ العورة بالكذب فنرد بِهَا </w:t>
      </w:r>
      <w:proofErr w:type="spellStart"/>
      <w:r>
        <w:rPr>
          <w:rFonts w:cs="Traditional Arabic"/>
          <w:szCs w:val="32"/>
          <w:rtl/>
        </w:rPr>
        <w:t>حديثه،ولا</w:t>
      </w:r>
      <w:proofErr w:type="spellEnd"/>
      <w:r>
        <w:rPr>
          <w:rFonts w:cs="Traditional Arabic"/>
          <w:szCs w:val="32"/>
          <w:rtl/>
        </w:rPr>
        <w:t xml:space="preserve"> النصيحة في </w:t>
      </w:r>
      <w:proofErr w:type="spellStart"/>
      <w:r>
        <w:rPr>
          <w:rFonts w:cs="Traditional Arabic"/>
          <w:szCs w:val="32"/>
          <w:rtl/>
        </w:rPr>
        <w:t>الصدق،فنقبل</w:t>
      </w:r>
      <w:proofErr w:type="spellEnd"/>
      <w:r>
        <w:rPr>
          <w:rFonts w:cs="Traditional Arabic"/>
          <w:szCs w:val="32"/>
          <w:rtl/>
        </w:rPr>
        <w:t xml:space="preserve"> مِنْهُ ما قبلنا من أهل النصيحة في الصدق</w:t>
      </w:r>
      <w:r>
        <w:rPr>
          <w:rFonts w:cs="Traditional Arabic"/>
          <w:szCs w:val="18"/>
          <w:rtl/>
        </w:rPr>
        <w:t>))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>.</w:t>
      </w:r>
    </w:p>
    <w:p w:rsidR="00E713B0" w:rsidRDefault="00E713B0" w:rsidP="00E713B0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ويمكن حمل التشدد الوارد عن شعبة عَلَى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المبالغة في الزجر عَنْهُ والتنفير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E713B0" w:rsidRDefault="00E713B0" w:rsidP="00E713B0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>وإذا تقرر هَذَا ، فما حكم حَدِيْث من عرف بِهِ ؟ للعلماء فِيْهِ أربعة مذاهب :</w:t>
      </w:r>
    </w:p>
    <w:p w:rsidR="00E713B0" w:rsidRDefault="00E713B0" w:rsidP="00E713B0">
      <w:pPr>
        <w:ind w:left="706" w:hanging="706"/>
        <w:jc w:val="lowKashida"/>
        <w:rPr>
          <w:rFonts w:cs="Traditional Arabic"/>
          <w:szCs w:val="32"/>
          <w:rtl/>
        </w:rPr>
      </w:pPr>
      <w:r>
        <w:rPr>
          <w:rFonts w:cs="Traditional Arabic"/>
          <w:b/>
          <w:bCs/>
          <w:szCs w:val="32"/>
          <w:rtl/>
        </w:rPr>
        <w:t>الأول</w:t>
      </w:r>
      <w:r>
        <w:rPr>
          <w:rFonts w:cs="Traditional Arabic"/>
          <w:szCs w:val="32"/>
          <w:rtl/>
        </w:rPr>
        <w:t xml:space="preserve"> : لا تقبل رِوَايَة المدلس ، سواء صرح بالسماع أم لا ، حكاه ابن الصَّلاَحِ عن فريق من أهل الْحَدِيْث والفقه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6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وهذا مبني عَلَى القَوْل بأنّ التدليس نفسه جرح تسقط بِهِ عدالة من عُرِف بِهِ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7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 وهذا الَّذِيْ </w:t>
      </w:r>
      <w:proofErr w:type="spellStart"/>
      <w:r>
        <w:rPr>
          <w:rFonts w:cs="Traditional Arabic"/>
          <w:szCs w:val="32"/>
          <w:rtl/>
        </w:rPr>
        <w:t>استظهره</w:t>
      </w:r>
      <w:proofErr w:type="spellEnd"/>
      <w:r>
        <w:rPr>
          <w:rFonts w:cs="Traditional Arabic"/>
          <w:szCs w:val="32"/>
          <w:rtl/>
        </w:rPr>
        <w:t xml:space="preserve"> عَلَى أصول مذهب الإمام مالك القاضي عَبْد الوهاب في الملخص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8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E713B0" w:rsidRDefault="00E713B0" w:rsidP="00E713B0">
      <w:pPr>
        <w:ind w:left="706" w:hanging="706"/>
        <w:jc w:val="lowKashida"/>
        <w:rPr>
          <w:rFonts w:cs="Traditional Arabic"/>
          <w:szCs w:val="32"/>
          <w:rtl/>
        </w:rPr>
      </w:pPr>
      <w:r>
        <w:rPr>
          <w:rFonts w:cs="Traditional Arabic"/>
          <w:b/>
          <w:bCs/>
          <w:szCs w:val="32"/>
          <w:rtl/>
        </w:rPr>
        <w:t xml:space="preserve">الثاني : </w:t>
      </w:r>
      <w:r>
        <w:rPr>
          <w:rFonts w:cs="Traditional Arabic"/>
          <w:szCs w:val="32"/>
          <w:rtl/>
        </w:rPr>
        <w:t xml:space="preserve">قبول رِوَايَة المدلس مطلقاً ، وَهُوَ فرع لمذهب من قَبِلَ المرسل ونقله الْخَطِيْب البغدادي عن جمهور من قَبِلَ المراسيل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9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وحكاه الزركشي عن بعض شارحي أصول </w:t>
      </w:r>
      <w:proofErr w:type="spellStart"/>
      <w:r>
        <w:rPr>
          <w:rFonts w:cs="Traditional Arabic"/>
          <w:szCs w:val="32"/>
          <w:rtl/>
        </w:rPr>
        <w:t>البزدوي</w:t>
      </w:r>
      <w:proofErr w:type="spellEnd"/>
      <w:r>
        <w:rPr>
          <w:rFonts w:cs="Traditional Arabic"/>
          <w:szCs w:val="32"/>
          <w:rtl/>
        </w:rPr>
        <w:t xml:space="preserve"> من الحنفية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0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 </w:t>
      </w:r>
      <w:r>
        <w:rPr>
          <w:rFonts w:cs="Traditional Arabic"/>
          <w:szCs w:val="32"/>
          <w:rtl/>
        </w:rPr>
        <w:lastRenderedPageBreak/>
        <w:t xml:space="preserve">وبنوا هَذَا عَلَى ما بنوا عَلَيْهِ قبول المرسل ؛ من أنّ إضراب الثقة عن ذكر الرَّاوِي تعديل لَهُ ، فإن من مقتضيات ثقته التصريح باسم من روى عَنْهُ إذا كَانَ غَيْر ثقة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1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E713B0" w:rsidRDefault="00E713B0" w:rsidP="00E713B0">
      <w:pPr>
        <w:ind w:left="706" w:hanging="706"/>
        <w:jc w:val="lowKashida"/>
        <w:rPr>
          <w:rFonts w:cs="Traditional Arabic"/>
          <w:szCs w:val="32"/>
          <w:rtl/>
        </w:rPr>
      </w:pPr>
      <w:r>
        <w:rPr>
          <w:rFonts w:cs="Traditional Arabic"/>
          <w:b/>
          <w:bCs/>
          <w:szCs w:val="32"/>
          <w:rtl/>
        </w:rPr>
        <w:t>الثالث :</w:t>
      </w:r>
      <w:r>
        <w:rPr>
          <w:rFonts w:cs="Traditional Arabic"/>
          <w:szCs w:val="32"/>
          <w:rtl/>
        </w:rPr>
        <w:t xml:space="preserve"> إذا كَانَ الغالب عَلَى تدليسه أن يَكُوْن عن الثقات فهو مقبول كيفما كانت صيغة التحديث ، وإن كَانَ عن غَيْر الثقة هُوَ الغالب رد حديثه حَتَّى يصرح بالسماع ، حكاه الْخَطِيْب عن بعض أهل العلم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2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ونقله الزركشي عن أبي الفتح الأزدي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3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E713B0" w:rsidRDefault="00E713B0" w:rsidP="00E713B0">
      <w:pPr>
        <w:spacing w:line="228" w:lineRule="auto"/>
        <w:ind w:left="706" w:hanging="706"/>
        <w:jc w:val="lowKashida"/>
        <w:rPr>
          <w:rFonts w:cs="Traditional Arabic"/>
          <w:szCs w:val="32"/>
          <w:rtl/>
        </w:rPr>
      </w:pPr>
      <w:r>
        <w:rPr>
          <w:rFonts w:cs="Traditional Arabic"/>
          <w:b/>
          <w:bCs/>
          <w:szCs w:val="32"/>
          <w:rtl/>
        </w:rPr>
        <w:t>الرابع :</w:t>
      </w:r>
      <w:r>
        <w:rPr>
          <w:rFonts w:cs="Traditional Arabic"/>
          <w:szCs w:val="32"/>
          <w:rtl/>
        </w:rPr>
        <w:t xml:space="preserve"> التفصيل بَيْنَ أن يروي بصيغة مبينة للسماع، فيقبل حديثه، وبين أن يروي بصيغة محتملة للسماع وغيره فلا يقبل. وهذا الَّذِيْ عَلَيْهِ جمهور أَهْل الْحَدِيْث وغيرهم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4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وصححه جمع ، مِنْهُمْ : الْخَطِيْب البغدادي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5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وابن الصَّلاَحِ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6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وغيرهما .</w:t>
      </w:r>
    </w:p>
    <w:p w:rsidR="00E713B0" w:rsidRDefault="00E713B0" w:rsidP="00E713B0">
      <w:pPr>
        <w:spacing w:line="228" w:lineRule="auto"/>
        <w:ind w:left="706" w:hanging="706"/>
        <w:jc w:val="lowKashida"/>
        <w:rPr>
          <w:rFonts w:cs="Traditional Arabic"/>
          <w:sz w:val="12"/>
          <w:szCs w:val="2"/>
          <w:rtl/>
        </w:rPr>
      </w:pPr>
    </w:p>
    <w:p w:rsidR="00E713B0" w:rsidRDefault="00E713B0" w:rsidP="00E713B0">
      <w:pPr>
        <w:pStyle w:val="5"/>
        <w:spacing w:line="228" w:lineRule="auto"/>
        <w:rPr>
          <w:rtl/>
        </w:rPr>
      </w:pPr>
      <w:r>
        <w:rPr>
          <w:rtl/>
        </w:rPr>
        <w:t>ثالثاً . حكم الْحَدِيْث المدلس :</w:t>
      </w:r>
    </w:p>
    <w:p w:rsidR="00E713B0" w:rsidRDefault="00E713B0" w:rsidP="00E713B0">
      <w:pPr>
        <w:spacing w:line="228" w:lineRule="auto"/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لما كَانَ في حَدِيْث المدلس شبهة وجود انقطاع بَيْنَ المدلس ومن </w:t>
      </w:r>
      <w:proofErr w:type="spellStart"/>
      <w:r>
        <w:rPr>
          <w:rFonts w:cs="Traditional Arabic"/>
          <w:szCs w:val="32"/>
          <w:rtl/>
        </w:rPr>
        <w:t>عنعن</w:t>
      </w:r>
      <w:proofErr w:type="spellEnd"/>
      <w:r>
        <w:rPr>
          <w:rFonts w:cs="Traditional Arabic"/>
          <w:szCs w:val="32"/>
          <w:rtl/>
        </w:rPr>
        <w:t xml:space="preserve"> عَنْهُ ، بحيث قَدْ يَكُوْن الساقط شخصاً أو أكثر ، وَقَدْ يَكُوْن ثقة أَوْ ضعيفاً . فلما توافرت هَذِهِ الشبهة اقتضى ذَلِكَ الحكم بضعفه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7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E713B0" w:rsidRDefault="00E713B0" w:rsidP="00E713B0">
      <w:pPr>
        <w:ind w:firstLine="565"/>
        <w:jc w:val="lowKashida"/>
        <w:rPr>
          <w:rFonts w:cs="Traditional Arabic"/>
          <w:szCs w:val="10"/>
          <w:rtl/>
        </w:rPr>
      </w:pPr>
    </w:p>
    <w:p w:rsidR="00E713B0" w:rsidRDefault="00E713B0" w:rsidP="00E713B0">
      <w:pPr>
        <w:jc w:val="center"/>
        <w:rPr>
          <w:rtl/>
        </w:rPr>
      </w:pPr>
    </w:p>
    <w:p w:rsidR="00E713B0" w:rsidRDefault="00E713B0" w:rsidP="00E713B0">
      <w:pPr>
        <w:jc w:val="center"/>
        <w:rPr>
          <w:sz w:val="32"/>
          <w:szCs w:val="32"/>
          <w:rtl/>
        </w:rPr>
      </w:pPr>
      <w:r>
        <w:rPr>
          <w:rtl/>
        </w:rPr>
        <w:t xml:space="preserve"> </w:t>
      </w:r>
      <w:r>
        <w:rPr>
          <w:sz w:val="32"/>
          <w:szCs w:val="32"/>
          <w:rtl/>
        </w:rPr>
        <w:t>الدكتور ماهر ياسين الفحل</w:t>
      </w:r>
    </w:p>
    <w:p w:rsidR="00E713B0" w:rsidRDefault="00E713B0" w:rsidP="00E713B0"/>
    <w:p w:rsidR="00AF2BF1" w:rsidRDefault="00431F0D">
      <w:pPr>
        <w:rPr>
          <w:rFonts w:hint="cs"/>
        </w:rPr>
      </w:pPr>
      <w:bookmarkStart w:id="0" w:name="_GoBack"/>
      <w:bookmarkEnd w:id="0"/>
    </w:p>
    <w:sectPr w:rsidR="00AF2BF1" w:rsidSect="008908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0D" w:rsidRDefault="00431F0D" w:rsidP="00E713B0">
      <w:r>
        <w:separator/>
      </w:r>
    </w:p>
  </w:endnote>
  <w:endnote w:type="continuationSeparator" w:id="0">
    <w:p w:rsidR="00431F0D" w:rsidRDefault="00431F0D" w:rsidP="00E7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0D" w:rsidRDefault="00431F0D" w:rsidP="00E713B0">
      <w:r>
        <w:separator/>
      </w:r>
    </w:p>
  </w:footnote>
  <w:footnote w:type="continuationSeparator" w:id="0">
    <w:p w:rsidR="00431F0D" w:rsidRDefault="00431F0D" w:rsidP="00E713B0">
      <w:r>
        <w:continuationSeparator/>
      </w:r>
    </w:p>
  </w:footnote>
  <w:footnote w:id="1">
    <w:p w:rsidR="00E713B0" w:rsidRDefault="00E713B0" w:rsidP="00E713B0">
      <w:pPr>
        <w:pStyle w:val="a3"/>
        <w:spacing w:line="216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رَوَاهُ ابن عدي في الكامل 1/107، والبيهقي في مناقب الشَّافِعِيّ 2/35،والخطيب في الكفاية (508 ت ، 355 ه</w:t>
      </w:r>
      <w:r>
        <w:t>‍</w:t>
      </w:r>
      <w:r>
        <w:rPr>
          <w:rtl/>
        </w:rPr>
        <w:t>) .</w:t>
      </w:r>
    </w:p>
  </w:footnote>
  <w:footnote w:id="2">
    <w:p w:rsidR="00E713B0" w:rsidRDefault="00E713B0" w:rsidP="00E713B0">
      <w:pPr>
        <w:pStyle w:val="a3"/>
        <w:spacing w:line="216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رَوَاهُ ابن أبي حاتم في تقدمة الجرح والتعديل 1/173 ، وابن عدي في الكامل 1/107 ، والخطيب في الكفاية ( 508 ت ، 356 ه</w:t>
      </w:r>
      <w:r>
        <w:t>‍</w:t>
      </w:r>
      <w:r>
        <w:rPr>
          <w:rtl/>
        </w:rPr>
        <w:t>) .</w:t>
      </w:r>
    </w:p>
  </w:footnote>
  <w:footnote w:id="3">
    <w:p w:rsidR="00E713B0" w:rsidRDefault="00E713B0" w:rsidP="00E713B0">
      <w:pPr>
        <w:pStyle w:val="a3"/>
        <w:spacing w:line="216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نكت الزركشي 2/81 .</w:t>
      </w:r>
    </w:p>
  </w:footnote>
  <w:footnote w:id="4">
    <w:p w:rsidR="00E713B0" w:rsidRDefault="00E713B0" w:rsidP="00E713B0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الرسالة : 379 الفقرة ( 1033 و 1034 ) .</w:t>
      </w:r>
    </w:p>
  </w:footnote>
  <w:footnote w:id="5">
    <w:p w:rsidR="00E713B0" w:rsidRDefault="00E713B0" w:rsidP="00E713B0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مَعْرِفَة أنواع علم الْحَدِيْث : 67 ، وطبعتنا 159.</w:t>
      </w:r>
    </w:p>
  </w:footnote>
  <w:footnote w:id="6">
    <w:p w:rsidR="00E713B0" w:rsidRDefault="00E713B0" w:rsidP="00E713B0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المصدر نفسه . وسبقه بالنقل الْخَطِيْب في كفايته ( 515 ت ، 361 ه</w:t>
      </w:r>
      <w:r>
        <w:t>‍</w:t>
      </w:r>
      <w:r>
        <w:rPr>
          <w:rtl/>
        </w:rPr>
        <w:t>) .</w:t>
      </w:r>
    </w:p>
  </w:footnote>
  <w:footnote w:id="7">
    <w:p w:rsidR="00E713B0" w:rsidRDefault="00E713B0" w:rsidP="00E713B0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شرح السيوطي عَلَى ألفية العراقي : 174 .</w:t>
      </w:r>
    </w:p>
  </w:footnote>
  <w:footnote w:id="8">
    <w:p w:rsidR="00E713B0" w:rsidRDefault="00E713B0" w:rsidP="00E713B0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نكت الزركشي 2/87 .</w:t>
      </w:r>
    </w:p>
  </w:footnote>
  <w:footnote w:id="9">
    <w:p w:rsidR="00E713B0" w:rsidRDefault="00E713B0" w:rsidP="00E713B0">
      <w:pPr>
        <w:pStyle w:val="a3"/>
        <w:spacing w:line="216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الكفاية ( 515 ت ، 361 ه</w:t>
      </w:r>
      <w:r>
        <w:t>‍</w:t>
      </w:r>
      <w:r>
        <w:rPr>
          <w:rtl/>
        </w:rPr>
        <w:t>) .</w:t>
      </w:r>
    </w:p>
  </w:footnote>
  <w:footnote w:id="10">
    <w:p w:rsidR="00E713B0" w:rsidRDefault="00E713B0" w:rsidP="00E713B0">
      <w:pPr>
        <w:pStyle w:val="a3"/>
        <w:spacing w:line="216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نكت الزركشي 2/87-88 ، وانظر : تدريب الراوي 1/229 .</w:t>
      </w:r>
    </w:p>
  </w:footnote>
  <w:footnote w:id="11">
    <w:p w:rsidR="00E713B0" w:rsidRDefault="00E713B0" w:rsidP="00E713B0">
      <w:pPr>
        <w:pStyle w:val="a3"/>
        <w:spacing w:line="216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انظر : الكفاية ( 515 ت ، 361 ه</w:t>
      </w:r>
      <w:r>
        <w:t>‍</w:t>
      </w:r>
      <w:r>
        <w:rPr>
          <w:rtl/>
        </w:rPr>
        <w:t>) .</w:t>
      </w:r>
    </w:p>
  </w:footnote>
  <w:footnote w:id="12">
    <w:p w:rsidR="00E713B0" w:rsidRDefault="00E713B0" w:rsidP="00E713B0">
      <w:pPr>
        <w:pStyle w:val="a3"/>
        <w:spacing w:line="204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الكفاية ( 515 ت ، 361 ه</w:t>
      </w:r>
      <w:r>
        <w:t>‍</w:t>
      </w:r>
      <w:r>
        <w:rPr>
          <w:rtl/>
        </w:rPr>
        <w:t>) .</w:t>
      </w:r>
    </w:p>
  </w:footnote>
  <w:footnote w:id="13">
    <w:p w:rsidR="00E713B0" w:rsidRDefault="00E713B0" w:rsidP="00E713B0">
      <w:pPr>
        <w:pStyle w:val="a3"/>
        <w:spacing w:line="204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نكت الزركشي 2/89 .</w:t>
      </w:r>
    </w:p>
  </w:footnote>
  <w:footnote w:id="14">
    <w:p w:rsidR="00E713B0" w:rsidRDefault="00E713B0" w:rsidP="00E713B0">
      <w:pPr>
        <w:pStyle w:val="a3"/>
        <w:spacing w:line="204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جامع التحصيل : 98 .</w:t>
      </w:r>
    </w:p>
  </w:footnote>
  <w:footnote w:id="15">
    <w:p w:rsidR="00E713B0" w:rsidRDefault="00E713B0" w:rsidP="00E713B0">
      <w:pPr>
        <w:pStyle w:val="a3"/>
        <w:spacing w:line="204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الكفاية ( 515 ت ، 361 ه</w:t>
      </w:r>
      <w:r>
        <w:t>‍</w:t>
      </w:r>
      <w:r>
        <w:rPr>
          <w:rtl/>
        </w:rPr>
        <w:t>)</w:t>
      </w:r>
    </w:p>
  </w:footnote>
  <w:footnote w:id="16">
    <w:p w:rsidR="00E713B0" w:rsidRDefault="00E713B0" w:rsidP="00E713B0">
      <w:pPr>
        <w:pStyle w:val="a3"/>
        <w:spacing w:line="204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مَعْرِفَة أنواع علم الْحَدِيْث : 167 ، وطبعتنا : 159 .</w:t>
      </w:r>
    </w:p>
  </w:footnote>
  <w:footnote w:id="17">
    <w:p w:rsidR="00E713B0" w:rsidRDefault="00E713B0" w:rsidP="00E713B0">
      <w:pPr>
        <w:pStyle w:val="a3"/>
        <w:spacing w:line="204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tl/>
        </w:rPr>
        <w:t xml:space="preserve"> انظر : المنهل الروي : 72 ، </w:t>
      </w:r>
      <w:proofErr w:type="spellStart"/>
      <w:r>
        <w:rPr>
          <w:rtl/>
        </w:rPr>
        <w:t>الشذا</w:t>
      </w:r>
      <w:proofErr w:type="spellEnd"/>
      <w:r>
        <w:rPr>
          <w:rtl/>
        </w:rPr>
        <w:t xml:space="preserve"> الفياح 1/177 ، ونزهة النظر : 113 ، ومنهج النقد في علوم الْحَدِيْث : 383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B0"/>
    <w:rsid w:val="00431F0D"/>
    <w:rsid w:val="0089082F"/>
    <w:rsid w:val="00A85B3D"/>
    <w:rsid w:val="00E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B0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30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E713B0"/>
    <w:pPr>
      <w:keepNext/>
      <w:jc w:val="lowKashida"/>
      <w:outlineLvl w:val="1"/>
    </w:pPr>
    <w:rPr>
      <w:rFonts w:cs="Traditional Arabic"/>
      <w:b/>
      <w:bCs/>
      <w:szCs w:val="36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E713B0"/>
    <w:pPr>
      <w:keepNext/>
      <w:ind w:left="706" w:hanging="706"/>
      <w:jc w:val="lowKashida"/>
      <w:outlineLvl w:val="4"/>
    </w:pPr>
    <w:rPr>
      <w:rFonts w:cs="Traditional Arabic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9"/>
    <w:semiHidden/>
    <w:rsid w:val="00E713B0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5Char">
    <w:name w:val="عنوان 5 Char"/>
    <w:basedOn w:val="a0"/>
    <w:link w:val="5"/>
    <w:uiPriority w:val="99"/>
    <w:semiHidden/>
    <w:rsid w:val="00E713B0"/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a3">
    <w:name w:val="footnote text"/>
    <w:basedOn w:val="a"/>
    <w:link w:val="Char"/>
    <w:autoRedefine/>
    <w:uiPriority w:val="99"/>
    <w:semiHidden/>
    <w:unhideWhenUsed/>
    <w:rsid w:val="00E713B0"/>
    <w:rPr>
      <w:rFonts w:cs="Traditional Arabic"/>
      <w:szCs w:val="26"/>
    </w:rPr>
  </w:style>
  <w:style w:type="character" w:customStyle="1" w:styleId="Char">
    <w:name w:val="نص حاشية سفلية Char"/>
    <w:basedOn w:val="a0"/>
    <w:link w:val="a3"/>
    <w:uiPriority w:val="99"/>
    <w:semiHidden/>
    <w:rsid w:val="00E713B0"/>
    <w:rPr>
      <w:rFonts w:ascii="Times New Roman" w:eastAsia="Times New Roman" w:hAnsi="Times New Roman" w:cs="Traditional Arabic"/>
      <w:sz w:val="20"/>
      <w:szCs w:val="26"/>
    </w:rPr>
  </w:style>
  <w:style w:type="character" w:styleId="a4">
    <w:name w:val="footnote reference"/>
    <w:basedOn w:val="a0"/>
    <w:uiPriority w:val="99"/>
    <w:semiHidden/>
    <w:unhideWhenUsed/>
    <w:rsid w:val="00E713B0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B0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30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E713B0"/>
    <w:pPr>
      <w:keepNext/>
      <w:jc w:val="lowKashida"/>
      <w:outlineLvl w:val="1"/>
    </w:pPr>
    <w:rPr>
      <w:rFonts w:cs="Traditional Arabic"/>
      <w:b/>
      <w:bCs/>
      <w:szCs w:val="36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E713B0"/>
    <w:pPr>
      <w:keepNext/>
      <w:ind w:left="706" w:hanging="706"/>
      <w:jc w:val="lowKashida"/>
      <w:outlineLvl w:val="4"/>
    </w:pPr>
    <w:rPr>
      <w:rFonts w:cs="Traditional Arabic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9"/>
    <w:semiHidden/>
    <w:rsid w:val="00E713B0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5Char">
    <w:name w:val="عنوان 5 Char"/>
    <w:basedOn w:val="a0"/>
    <w:link w:val="5"/>
    <w:uiPriority w:val="99"/>
    <w:semiHidden/>
    <w:rsid w:val="00E713B0"/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a3">
    <w:name w:val="footnote text"/>
    <w:basedOn w:val="a"/>
    <w:link w:val="Char"/>
    <w:autoRedefine/>
    <w:uiPriority w:val="99"/>
    <w:semiHidden/>
    <w:unhideWhenUsed/>
    <w:rsid w:val="00E713B0"/>
    <w:rPr>
      <w:rFonts w:cs="Traditional Arabic"/>
      <w:szCs w:val="26"/>
    </w:rPr>
  </w:style>
  <w:style w:type="character" w:customStyle="1" w:styleId="Char">
    <w:name w:val="نص حاشية سفلية Char"/>
    <w:basedOn w:val="a0"/>
    <w:link w:val="a3"/>
    <w:uiPriority w:val="99"/>
    <w:semiHidden/>
    <w:rsid w:val="00E713B0"/>
    <w:rPr>
      <w:rFonts w:ascii="Times New Roman" w:eastAsia="Times New Roman" w:hAnsi="Times New Roman" w:cs="Traditional Arabic"/>
      <w:sz w:val="20"/>
      <w:szCs w:val="26"/>
    </w:rPr>
  </w:style>
  <w:style w:type="character" w:styleId="a4">
    <w:name w:val="footnote reference"/>
    <w:basedOn w:val="a0"/>
    <w:uiPriority w:val="99"/>
    <w:semiHidden/>
    <w:unhideWhenUsed/>
    <w:rsid w:val="00E713B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2019-11-15T21:09:00Z</dcterms:created>
  <dcterms:modified xsi:type="dcterms:W3CDTF">2019-11-15T21:09:00Z</dcterms:modified>
</cp:coreProperties>
</file>